
<file path=[Content_Types].xml><?xml version="1.0" encoding="utf-8"?>
<Types xmlns="http://schemas.openxmlformats.org/package/2006/content-types">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Default Extension="gif" ContentType="image/gif"/>
  <Default Extension="jpg" ContentType="image/jpeg"/>
  <Default Extension="png" ContentType="image/png"/>
  <Default Extension="jpeg" ContentType="image/jpeg"/>
  <Default Extension="svg" ContentType="image/svg+xml"/>
  <Default Extension="xml" ContentType="application/xml"/>
  <Default Extension="rels" ContentType="application/vnd.openxmlformats-package.relationships+xml"/>
  <Default Extension="odttf" ContentType="application/vnd.openxmlformats-officedocument.obfuscatedFont"/>
</Types>
</file>

<file path=_rels/.rels><?xml version='1.0' encoding='utf-8'?>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http://schemas.openxmlformats.org/wordprocessingml/2006/main" xmlns:a="http://schemas.openxmlformats.org/drawingml/2006/main" xmlns:pic="http://schemas.openxmlformats.org/drawingml/2006/picture" xmlns:wp="http://schemas.openxmlformats.org/drawingml/2006/wordprocessingDrawing" xmlns:r="http://schemas.openxmlformats.org/officeDocument/2006/relationships">
  <w:body>
    <w:p>
      <w:r>
        <w:drawing>
          <wp:anchor distL="0" distR="0" distT="0" distB="0" simplePos="0" relativeHeight="1" behindDoc="0" locked="0" layoutInCell="1" allowOverlap="1">
            <wp:simplePos x="0" y="0"/>
            <wp:positionH relativeFrom="page">
              <wp:align>center</wp:align>
            </wp:positionH>
            <wp:positionV relativeFrom="page">
              <wp:align>center</wp:align>
            </wp:positionV>
            <wp:extent cx="7772400" cy="10058400"/>
            <wp:effectExtent l="0" r="0" t="0" b="0"/>
            <wp:wrapTopAndBottom/>
            <wp:docPr id="42" name="cover.jpg" descr="Cover"/>
            <wp:cNvGraphicFramePr>
              <a:graphicFrameLocks noChangeAspect="1"/>
            </wp:cNvGraphicFramePr>
            <a:graphic>
              <a:graphicData uri="http://schemas.openxmlformats.org/drawingml/2006/picture">
                <pic:pic>
                  <pic:nvPicPr>
                    <pic:cNvPr id="0" name="cover.jpg" descr="Cover"/>
                    <pic:cNvPicPr/>
                  </pic:nvPicPr>
                  <pic:blipFill>
                    <a:blip r:embed="rId31"/>
                    <a:stretch>
                      <a:fillRect/>
                    </a:stretch>
                  </pic:blipFill>
                  <pic:spPr>
                    <a:xfrm>
                      <a:off x="0" y="0"/>
                      <a:ext cx="7772400" cy="10058400"/>
                    </a:xfrm>
                    <a:prstGeom prst="rect">
                      <a:avLst/>
                    </a:prstGeom>
                  </pic:spPr>
                </pic:pic>
              </a:graphicData>
            </a:graphic>
          </wp:anchor>
        </w:drawing>
      </w:r>
    </w:p>
    <w:p>
      <w:pPr>
        <w:pStyle w:val="Heading 1"/>
        <w:pageBreakBefore w:val="on"/>
      </w:pPr>
      <w:r>
        <w:t>Mục lục</w:t>
      </w:r>
    </w:p>
    <w:p>
      <w:pPr>
        <w:pStyle w:val="Normal"/>
        <w:ind w:left="0" w:firstLineChars="0" w:firstLine="0" w:leftChars="0"/>
        <w:pageBreakBefore w:val="off"/>
      </w:pPr>
      <w:r>
        <w:fldChar w:fldCharType="begin"/>
      </w:r>
      <w:r>
        <w:instrText xml:space="preserve"> TOC \h </w:instrText>
      </w:r>
      <w:r>
        <w:fldChar w:fldCharType="separate"/>
      </w:r>
      <w:hyperlink w:anchor="Top_of_0_title_xhtml">
        <w:r>
          <w:rPr>
            <w:color w:val="0000FF" w:themeColor="hyperlink"/>
            <w:u w:val="single"/>
          </w:rPr>
          <w:t>Trang tiêu đề tuyển tập</w:t>
        </w:r>
      </w:hyperlink>
    </w:p>
    <w:p>
      <w:pPr>
        <w:pStyle w:val="Normal"/>
        <w:ind w:left="0" w:firstLineChars="0" w:firstLine="0" w:leftChars="0"/>
      </w:pPr>
      <w:hyperlink w:anchor="Top_of_0_content_xhtml">
        <w:r>
          <w:rPr>
            <w:color w:val="0000FF" w:themeColor="hyperlink"/>
            <w:u w:val="single"/>
          </w:rPr>
          <w:t>Nội dung tuyển tập</w:t>
        </w:r>
      </w:hyperlink>
    </w:p>
    <w:p>
      <w:pPr>
        <w:pStyle w:val="Normal"/>
        <w:ind w:left="0" w:firstLineChars="0" w:firstLine="0" w:leftChars="0"/>
      </w:pPr>
      <w:hyperlink w:anchor="Top_of_01_Argyris_Teaching_01_co">
        <w:r>
          <w:rPr>
            <w:color w:val="0000FF" w:themeColor="hyperlink"/>
            <w:u w:val="single"/>
          </w:rPr>
          <w:t>Dạy người thông minh cách học</w:t>
        </w:r>
      </w:hyperlink>
    </w:p>
    <w:p>
      <w:pPr>
        <w:pStyle w:val="Normal"/>
        <w:ind w:left="0" w:firstLineChars="0" w:firstLine="0" w:leftChars="200"/>
      </w:pPr>
      <w:hyperlink w:anchor="Top_of_01_Argyris_Teaching_07_Ch">
        <w:r>
          <w:rPr>
            <w:color w:val="0000FF" w:themeColor="hyperlink"/>
            <w:u w:val="single"/>
          </w:rPr>
          <w:t>Dạy người thông minh cách học</w:t>
        </w:r>
      </w:hyperlink>
    </w:p>
    <w:p>
      <w:pPr>
        <w:pStyle w:val="Normal"/>
        <w:ind w:left="0" w:firstLineChars="0" w:firstLine="0" w:leftChars="400"/>
      </w:pPr>
      <w:hyperlink w:anchor="sec1">
        <w:r>
          <w:rPr>
            <w:color w:val="0000FF" w:themeColor="hyperlink"/>
            <w:u w:val="single"/>
          </w:rPr>
          <w:t>Cách người chuyên môn tránh học hỏi</w:t>
        </w:r>
      </w:hyperlink>
    </w:p>
    <w:p>
      <w:pPr>
        <w:pStyle w:val="Normal"/>
        <w:ind w:left="0" w:firstLineChars="0" w:firstLine="0" w:leftChars="400"/>
      </w:pPr>
      <w:hyperlink w:anchor="sec2">
        <w:r>
          <w:rPr>
            <w:color w:val="0000FF" w:themeColor="hyperlink"/>
            <w:u w:val="single"/>
          </w:rPr>
          <w:t>Tư duy phòng thủ và vòng lặp diệt vong</w:t>
        </w:r>
      </w:hyperlink>
    </w:p>
    <w:p>
      <w:pPr>
        <w:pStyle w:val="Normal"/>
        <w:ind w:left="0" w:firstLineChars="0" w:firstLine="0" w:leftChars="400"/>
      </w:pPr>
      <w:hyperlink w:anchor="sec3">
        <w:r>
          <w:rPr>
            <w:color w:val="0000FF" w:themeColor="hyperlink"/>
            <w:u w:val="single"/>
          </w:rPr>
          <w:t>Học cách suy luận hiệu quả</w:t>
        </w:r>
      </w:hyperlink>
    </w:p>
    <w:p>
      <w:pPr>
        <w:pStyle w:val="Normal"/>
        <w:ind w:left="0" w:firstLineChars="0" w:firstLine="0" w:leftChars="200"/>
      </w:pPr>
      <w:hyperlink w:anchor="Top_of_01_Argyris_Teaching_08_ab">
        <w:r>
          <w:rPr>
            <w:color w:val="0000FF" w:themeColor="hyperlink"/>
            <w:u w:val="single"/>
          </w:rPr>
          <w:t>Về tác giả</w:t>
        </w:r>
      </w:hyperlink>
    </w:p>
    <w:p>
      <w:pPr>
        <w:pStyle w:val="Normal"/>
        <w:ind w:left="0" w:firstLineChars="0" w:firstLine="0" w:leftChars="200"/>
      </w:pPr>
      <w:hyperlink w:anchor="Top_of_01_Argyris_Teaching_09_al">
        <w:r>
          <w:rPr>
            <w:color w:val="0000FF" w:themeColor="hyperlink"/>
            <w:u w:val="single"/>
          </w:rPr>
          <w:t>Các tác phẩm khác của tác giả</w:t>
        </w:r>
      </w:hyperlink>
    </w:p>
    <w:p>
      <w:pPr>
        <w:pStyle w:val="Normal"/>
        <w:ind w:left="0" w:firstLineChars="0" w:firstLine="0" w:leftChars="200"/>
      </w:pPr>
      <w:hyperlink w:anchor="Top_of_01_Argyris_Teaching_10_ar">
        <w:r>
          <w:rPr>
            <w:color w:val="0000FF" w:themeColor="hyperlink"/>
            <w:u w:val="single"/>
          </w:rPr>
          <w:t>Tóm tắt bài viết</w:t>
        </w:r>
      </w:hyperlink>
    </w:p>
    <w:p>
      <w:pPr>
        <w:pStyle w:val="Normal"/>
        <w:ind w:left="0" w:firstLineChars="0" w:firstLine="0" w:leftChars="0"/>
      </w:pPr>
      <w:hyperlink w:anchor="Top_of_03_00_Cover_xhtml">
        <w:r>
          <w:rPr>
            <w:color w:val="0000FF" w:themeColor="hyperlink"/>
            <w:u w:val="single"/>
          </w:rPr>
          <w:t>Bạn sẽ đo lường cuộc đời mình bằng cách nào?</w:t>
        </w:r>
      </w:hyperlink>
    </w:p>
    <w:p>
      <w:pPr>
        <w:pStyle w:val="Normal"/>
        <w:ind w:left="0" w:firstLineChars="0" w:firstLine="0" w:leftChars="200"/>
      </w:pPr>
      <w:hyperlink w:anchor="CREATE_A_STRATEGY_FOR_YOUR_LIFE">
        <w:r>
          <w:rPr>
            <w:color w:val="0000FF" w:themeColor="hyperlink"/>
            <w:u w:val="single"/>
          </w:rPr>
          <w:t>Tạo dựng chiến lược cho cuộc đời bạn</w:t>
        </w:r>
      </w:hyperlink>
    </w:p>
    <w:p>
      <w:pPr>
        <w:pStyle w:val="Normal"/>
        <w:ind w:left="0" w:firstLineChars="0" w:firstLine="0" w:leftChars="200"/>
      </w:pPr>
      <w:hyperlink w:anchor="ALLOCATE_YOUR_RESOURCES">
        <w:r>
          <w:rPr>
            <w:color w:val="0000FF" w:themeColor="hyperlink"/>
            <w:u w:val="single"/>
          </w:rPr>
          <w:t>Phân bổ nguồn lực của bạn</w:t>
        </w:r>
      </w:hyperlink>
    </w:p>
    <w:p>
      <w:pPr>
        <w:pStyle w:val="Normal"/>
        <w:ind w:left="0" w:firstLineChars="0" w:firstLine="0" w:leftChars="200"/>
      </w:pPr>
      <w:hyperlink w:anchor="CREATE_A_CULTURE">
        <w:r>
          <w:rPr>
            <w:color w:val="0000FF" w:themeColor="hyperlink"/>
            <w:u w:val="single"/>
          </w:rPr>
          <w:t>Tạo dựng một nền văn hóa</w:t>
        </w:r>
      </w:hyperlink>
    </w:p>
    <w:p>
      <w:pPr>
        <w:pStyle w:val="Normal"/>
        <w:ind w:left="0" w:firstLineChars="0" w:firstLine="0" w:leftChars="200"/>
      </w:pPr>
      <w:hyperlink w:anchor="AVOID_THE__MARGINAL_COSTS__MISTA">
        <w:r>
          <w:rPr>
            <w:color w:val="0000FF" w:themeColor="hyperlink"/>
            <w:u w:val="single"/>
          </w:rPr>
          <w:t>Tránh sai lầm về “chi phí cận biên”</w:t>
        </w:r>
      </w:hyperlink>
    </w:p>
    <w:p>
      <w:pPr>
        <w:pStyle w:val="Normal"/>
        <w:ind w:left="0" w:firstLineChars="0" w:firstLine="0" w:leftChars="200"/>
      </w:pPr>
      <w:hyperlink w:anchor="REMEMBER_THE_IMPORTANCE_OF_HUMIL">
        <w:r>
          <w:rPr>
            <w:color w:val="0000FF" w:themeColor="hyperlink"/>
            <w:u w:val="single"/>
          </w:rPr>
          <w:t>Hãy nhớ về tầm quan trọng của sự khiêm tốn</w:t>
        </w:r>
      </w:hyperlink>
    </w:p>
    <w:p>
      <w:pPr>
        <w:pStyle w:val="Normal"/>
        <w:ind w:left="0" w:firstLineChars="0" w:firstLine="0" w:leftChars="200"/>
      </w:pPr>
      <w:hyperlink w:anchor="CHOOSE_THE_RIGHT_YARDSTICK">
        <w:r>
          <w:rPr>
            <w:color w:val="0000FF" w:themeColor="hyperlink"/>
            <w:u w:val="single"/>
          </w:rPr>
          <w:t>Chọn đúng thước đo</w:t>
        </w:r>
      </w:hyperlink>
    </w:p>
    <w:p>
      <w:pPr>
        <w:pStyle w:val="Normal"/>
        <w:ind w:left="0" w:firstLineChars="0" w:firstLine="0" w:leftChars="200"/>
      </w:pPr>
      <w:hyperlink w:anchor="Top_of_03_06_About_the_author_xh">
        <w:r>
          <w:rPr>
            <w:color w:val="0000FF" w:themeColor="hyperlink"/>
            <w:u w:val="single"/>
          </w:rPr>
          <w:t>Về tác giả</w:t>
        </w:r>
      </w:hyperlink>
    </w:p>
    <w:p>
      <w:pPr>
        <w:pStyle w:val="Normal"/>
        <w:ind w:left="0" w:firstLineChars="0" w:firstLine="0" w:leftChars="200"/>
      </w:pPr>
      <w:hyperlink w:anchor="Top_of_03_07_Author_xhtml">
        <w:r>
          <w:rPr>
            <w:color w:val="0000FF" w:themeColor="hyperlink"/>
            <w:u w:val="single"/>
          </w:rPr>
          <w:t>Các tác phẩm khác của tác giả</w:t>
        </w:r>
      </w:hyperlink>
    </w:p>
    <w:p>
      <w:pPr>
        <w:pStyle w:val="Normal"/>
        <w:ind w:left="0" w:firstLineChars="0" w:firstLine="0" w:leftChars="200"/>
      </w:pPr>
      <w:hyperlink w:anchor="Top_of_03_08_Article_summary_xht">
        <w:r>
          <w:rPr>
            <w:color w:val="0000FF" w:themeColor="hyperlink"/>
            <w:u w:val="single"/>
          </w:rPr>
          <w:t>Tóm tắt bài viết</w:t>
        </w:r>
      </w:hyperlink>
    </w:p>
    <w:p>
      <w:pPr>
        <w:pStyle w:val="Normal"/>
        <w:ind w:left="0" w:firstLineChars="0" w:firstLine="0" w:leftChars="0"/>
      </w:pPr>
      <w:hyperlink w:anchor="Top_of_02_00_cover_xhtml">
        <w:r>
          <w:rPr>
            <w:color w:val="0000FF" w:themeColor="hyperlink"/>
            <w:u w:val="single"/>
          </w:rPr>
          <w:t>Biến mục tiêu thành kết quả</w:t>
        </w:r>
      </w:hyperlink>
    </w:p>
    <w:p>
      <w:pPr>
        <w:pStyle w:val="Normal"/>
        <w:ind w:left="0" w:firstLineChars="0" w:firstLine="0" w:leftChars="200"/>
      </w:pPr>
      <w:hyperlink w:anchor="FIVE_PARTS_OF_A_WHOLE">
        <w:r>
          <w:rPr>
            <w:color w:val="0000FF" w:themeColor="hyperlink"/>
            <w:u w:val="single"/>
          </w:rPr>
          <w:t>Năm phần của một tổng thể</w:t>
        </w:r>
      </w:hyperlink>
    </w:p>
    <w:p>
      <w:pPr>
        <w:pStyle w:val="Normal"/>
        <w:ind w:left="0" w:firstLineChars="0" w:firstLine="0" w:leftChars="400"/>
      </w:pPr>
      <w:hyperlink w:anchor="Characteristic_1__A_catalytic_me">
        <w:r>
          <w:rPr>
            <w:color w:val="0000FF" w:themeColor="hyperlink"/>
            <w:u w:val="single"/>
          </w:rPr>
          <w:t>Đặc điểm 1: Cơ chế xúc tác (catalytic mechanism) tạo ra kết quả mong muốn theo những cách không thể đoán trước</w:t>
        </w:r>
      </w:hyperlink>
    </w:p>
    <w:p>
      <w:pPr>
        <w:pStyle w:val="Normal"/>
        <w:ind w:left="0" w:firstLineChars="0" w:firstLine="0" w:leftChars="400"/>
      </w:pPr>
      <w:hyperlink w:anchor="Characteristic_2__A_catalytic_me">
        <w:r>
          <w:rPr>
            <w:color w:val="0000FF" w:themeColor="hyperlink"/>
            <w:u w:val="single"/>
          </w:rPr>
          <w:t>Đặc điểm 2: Cơ chế xúc tác (catalytic mechanism) phân phối quyền lực vì lợi ích của toàn hệ thống, thường làm những người nắm giữ quyền lực truyền thống cảm thấy không thoải mái</w:t>
        </w:r>
      </w:hyperlink>
    </w:p>
    <w:p>
      <w:pPr>
        <w:pStyle w:val="Normal"/>
        <w:ind w:left="0" w:firstLineChars="0" w:firstLine="0" w:leftChars="400"/>
      </w:pPr>
      <w:hyperlink w:anchor="Characteristic_3__A_catalytic_me">
        <w:r>
          <w:rPr>
            <w:color w:val="0000FF" w:themeColor="hyperlink"/>
            <w:u w:val="single"/>
          </w:rPr>
          <w:t>Đặc điểm 3: Cơ chế xúc tác (catalytic mechanism) có tính ràng buộc</w:t>
        </w:r>
      </w:hyperlink>
    </w:p>
    <w:p>
      <w:pPr>
        <w:pStyle w:val="Normal"/>
        <w:ind w:left="0" w:firstLineChars="0" w:firstLine="0" w:leftChars="400"/>
      </w:pPr>
      <w:hyperlink w:anchor="Characteristic_4__A_catalytic_me">
        <w:r>
          <w:rPr>
            <w:color w:val="0000FF" w:themeColor="hyperlink"/>
            <w:u w:val="single"/>
          </w:rPr>
          <w:t>Đặc điểm 4: Cơ chế xúc tác (catalytic mechanism) loại bỏ virus</w:t>
        </w:r>
      </w:hyperlink>
    </w:p>
    <w:p>
      <w:pPr>
        <w:pStyle w:val="Normal"/>
        <w:ind w:left="0" w:firstLineChars="0" w:firstLine="0" w:leftChars="400"/>
      </w:pPr>
      <w:hyperlink w:anchor="Characteristic_5__A_catalytic_me">
        <w:r>
          <w:rPr>
            <w:color w:val="0000FF" w:themeColor="hyperlink"/>
            <w:u w:val="single"/>
          </w:rPr>
          <w:t>Đặc điểm 5: Cơ chế xúc tác (catalytic mechanism) tạo ra hiệu ứng liên tục</w:t>
        </w:r>
      </w:hyperlink>
    </w:p>
    <w:p>
      <w:pPr>
        <w:pStyle w:val="Normal"/>
        <w:ind w:left="0" w:firstLineChars="0" w:firstLine="0" w:leftChars="200"/>
      </w:pPr>
      <w:hyperlink w:anchor="GETTING_STARTED">
        <w:r>
          <w:rPr>
            <w:color w:val="0000FF" w:themeColor="hyperlink"/>
            <w:u w:val="single"/>
          </w:rPr>
          <w:t>Bắt đầu</w:t>
        </w:r>
      </w:hyperlink>
    </w:p>
    <w:p>
      <w:pPr>
        <w:pStyle w:val="Normal"/>
        <w:ind w:left="0" w:firstLineChars="0" w:firstLine="0" w:leftChars="400"/>
      </w:pPr>
      <w:hyperlink w:anchor="Don_t_just_add__remove">
        <w:r>
          <w:rPr>
            <w:color w:val="0000FF" w:themeColor="hyperlink"/>
            <w:u w:val="single"/>
          </w:rPr>
          <w:t>Đừng chỉ thêm vào, hãy loại bỏ</w:t>
        </w:r>
      </w:hyperlink>
    </w:p>
    <w:p>
      <w:pPr>
        <w:pStyle w:val="Normal"/>
        <w:ind w:left="0" w:firstLineChars="0" w:firstLine="0" w:leftChars="400"/>
      </w:pPr>
      <w:hyperlink w:anchor="Create__don_t_copy">
        <w:r>
          <w:rPr>
            <w:color w:val="0000FF" w:themeColor="hyperlink"/>
            <w:u w:val="single"/>
          </w:rPr>
          <w:t>Sáng tạo, đừng sao chép</w:t>
        </w:r>
      </w:hyperlink>
    </w:p>
    <w:p>
      <w:pPr>
        <w:pStyle w:val="Normal"/>
        <w:ind w:left="0" w:firstLineChars="0" w:firstLine="0" w:leftChars="400"/>
      </w:pPr>
      <w:hyperlink w:anchor="Use_money__but_not_only_money">
        <w:r>
          <w:rPr>
            <w:color w:val="0000FF" w:themeColor="hyperlink"/>
            <w:u w:val="single"/>
          </w:rPr>
          <w:t>Dùng tiền, nhưng không chỉ dùng tiền</w:t>
        </w:r>
      </w:hyperlink>
    </w:p>
    <w:p>
      <w:pPr>
        <w:pStyle w:val="Normal"/>
        <w:ind w:left="0" w:firstLineChars="0" w:firstLine="0" w:leftChars="400"/>
      </w:pPr>
      <w:hyperlink w:anchor="Allow_your_mechanisms_to_evolve">
        <w:r>
          <w:rPr>
            <w:color w:val="0000FF" w:themeColor="hyperlink"/>
            <w:u w:val="single"/>
          </w:rPr>
          <w:t>Cho phép các cơ chế của bạn tiến hóa</w:t>
        </w:r>
      </w:hyperlink>
    </w:p>
    <w:p>
      <w:pPr>
        <w:pStyle w:val="Normal"/>
        <w:ind w:left="0" w:firstLineChars="0" w:firstLine="0" w:leftChars="400"/>
      </w:pPr>
      <w:hyperlink w:anchor="Build_an_integrated_set">
        <w:r>
          <w:rPr>
            <w:color w:val="0000FF" w:themeColor="hyperlink"/>
            <w:u w:val="single"/>
          </w:rPr>
          <w:t>Xây dựng một bộ tích hợp</w:t>
        </w:r>
      </w:hyperlink>
    </w:p>
    <w:p>
      <w:pPr>
        <w:pStyle w:val="Normal"/>
        <w:ind w:left="0" w:firstLineChars="0" w:firstLine="0" w:leftChars="200"/>
      </w:pPr>
      <w:hyperlink w:anchor="CASTLES_IN_THE_AIR">
        <w:r>
          <w:rPr>
            <w:color w:val="0000FF" w:themeColor="hyperlink"/>
            <w:u w:val="single"/>
          </w:rPr>
          <w:t>Lâu đài trên không</w:t>
        </w:r>
      </w:hyperlink>
    </w:p>
    <w:p>
      <w:pPr>
        <w:pStyle w:val="Normal"/>
        <w:ind w:left="0" w:firstLineChars="0" w:firstLine="0" w:leftChars="400"/>
      </w:pPr>
      <w:hyperlink w:anchor="Anatomy_of_a_BHAG">
        <w:r>
          <w:rPr>
            <w:color w:val="0000FF" w:themeColor="hyperlink"/>
            <w:u w:val="single"/>
          </w:rPr>
          <w:t>Giải phẫu của một BHAG</w:t>
        </w:r>
      </w:hyperlink>
    </w:p>
    <w:p>
      <w:pPr>
        <w:pStyle w:val="Normal"/>
        <w:ind w:left="0" w:firstLineChars="0" w:firstLine="0" w:leftChars="400"/>
      </w:pPr>
      <w:hyperlink w:anchor="Not_for_Companies_Only">
        <w:r>
          <w:rPr>
            <w:color w:val="0000FF" w:themeColor="hyperlink"/>
            <w:u w:val="single"/>
          </w:rPr>
          <w:t>Không chỉ dành cho các công ty</w:t>
        </w:r>
      </w:hyperlink>
    </w:p>
    <w:p>
      <w:pPr>
        <w:pStyle w:val="Normal"/>
        <w:ind w:left="0" w:firstLineChars="0" w:firstLine="0" w:leftChars="200"/>
      </w:pPr>
      <w:hyperlink w:anchor="Top_of_02_06_about_the_author_xh">
        <w:r>
          <w:rPr>
            <w:color w:val="0000FF" w:themeColor="hyperlink"/>
            <w:u w:val="single"/>
          </w:rPr>
          <w:t>Về tác giả</w:t>
        </w:r>
      </w:hyperlink>
    </w:p>
    <w:p>
      <w:pPr>
        <w:pStyle w:val="Normal"/>
        <w:ind w:left="0" w:firstLineChars="0" w:firstLine="0" w:leftChars="200"/>
      </w:pPr>
      <w:hyperlink w:anchor="Top_of_02_07_summary_xhtml">
        <w:r>
          <w:rPr>
            <w:color w:val="0000FF" w:themeColor="hyperlink"/>
            <w:u w:val="single"/>
          </w:rPr>
          <w:t>Tóm tắt bài viết</w:t>
        </w:r>
      </w:hyperlink>
    </w:p>
    <w:p>
      <w:pPr>
        <w:pStyle w:val="Normal"/>
        <w:ind w:left="0" w:firstLineChars="0" w:firstLine="0" w:leftChars="0"/>
      </w:pPr>
      <w:hyperlink w:anchor="Top_of_04_cover_xhtml">
        <w:r>
          <w:rPr>
            <w:color w:val="0000FF" w:themeColor="hyperlink"/>
            <w:u w:val="single"/>
          </w:rPr>
          <w:t>Quản lý bản thân</w:t>
        </w:r>
      </w:hyperlink>
    </w:p>
    <w:p>
      <w:pPr>
        <w:pStyle w:val="Normal"/>
        <w:ind w:left="0" w:firstLineChars="0" w:firstLine="0" w:leftChars="200"/>
      </w:pPr>
      <w:hyperlink w:anchor="Top_of_04_Chapter01_xhtml">
        <w:r>
          <w:rPr>
            <w:color w:val="0000FF" w:themeColor="hyperlink"/>
            <w:u w:val="single"/>
          </w:rPr>
          <w:t>Quản lý bản thân</w:t>
        </w:r>
      </w:hyperlink>
    </w:p>
    <w:p>
      <w:pPr>
        <w:pStyle w:val="Normal"/>
        <w:ind w:left="0" w:firstLineChars="0" w:firstLine="0" w:leftChars="400"/>
      </w:pPr>
      <w:hyperlink w:anchor="WHAT_ARE_MY_STRENGTHS">
        <w:r>
          <w:rPr>
            <w:color w:val="0000FF" w:themeColor="hyperlink"/>
            <w:u w:val="single"/>
          </w:rPr>
          <w:t>Điểm mạnh của tôi là gì?</w:t>
        </w:r>
      </w:hyperlink>
    </w:p>
    <w:p>
      <w:pPr>
        <w:pStyle w:val="Normal"/>
        <w:ind w:left="0" w:firstLineChars="0" w:firstLine="0" w:leftChars="400"/>
      </w:pPr>
      <w:hyperlink w:anchor="HOW_DO_I_PERFORM">
        <w:r>
          <w:rPr>
            <w:color w:val="0000FF" w:themeColor="hyperlink"/>
            <w:u w:val="single"/>
          </w:rPr>
          <w:t>Tôi thực hiện như thế nào?</w:t>
        </w:r>
      </w:hyperlink>
    </w:p>
    <w:p>
      <w:pPr>
        <w:pStyle w:val="Normal"/>
        <w:ind w:left="0" w:firstLineChars="0" w:firstLine="0" w:leftChars="400"/>
      </w:pPr>
      <w:hyperlink w:anchor="WHAT_ARE_MY_VALUES">
        <w:r>
          <w:rPr>
            <w:color w:val="0000FF" w:themeColor="hyperlink"/>
            <w:u w:val="single"/>
          </w:rPr>
          <w:t>Giá trị của tôi là gì?</w:t>
        </w:r>
      </w:hyperlink>
    </w:p>
    <w:p>
      <w:pPr>
        <w:pStyle w:val="Normal"/>
        <w:ind w:left="0" w:firstLineChars="0" w:firstLine="0" w:leftChars="400"/>
      </w:pPr>
      <w:hyperlink w:anchor="WHERE_DO_I_BELONG">
        <w:r>
          <w:rPr>
            <w:color w:val="0000FF" w:themeColor="hyperlink"/>
            <w:u w:val="single"/>
          </w:rPr>
          <w:t>Tôi thuộc về nơi nào?</w:t>
        </w:r>
      </w:hyperlink>
    </w:p>
    <w:p>
      <w:pPr>
        <w:pStyle w:val="Normal"/>
        <w:ind w:left="0" w:firstLineChars="0" w:firstLine="0" w:leftChars="400"/>
      </w:pPr>
      <w:hyperlink w:anchor="WHAT_SHOULD_I_CONTRIBUTE">
        <w:r>
          <w:rPr>
            <w:color w:val="0000FF" w:themeColor="hyperlink"/>
            <w:u w:val="single"/>
          </w:rPr>
          <w:t>Tôi nên đóng góp gì?</w:t>
        </w:r>
      </w:hyperlink>
    </w:p>
    <w:p>
      <w:pPr>
        <w:pStyle w:val="Normal"/>
        <w:ind w:left="0" w:firstLineChars="0" w:firstLine="0" w:leftChars="400"/>
      </w:pPr>
      <w:hyperlink w:anchor="RESPONSIBILITY_FOR_RELATIONSHIPS">
        <w:r>
          <w:rPr>
            <w:color w:val="0000FF" w:themeColor="hyperlink"/>
            <w:u w:val="single"/>
          </w:rPr>
          <w:t>Trách nhiệm đối với các mối quan hệ</w:t>
        </w:r>
      </w:hyperlink>
    </w:p>
    <w:p>
      <w:pPr>
        <w:pStyle w:val="Normal"/>
        <w:ind w:left="0" w:firstLineChars="0" w:firstLine="0" w:leftChars="400"/>
      </w:pPr>
      <w:hyperlink w:anchor="THE_SECOND_HALF_OF_YOUR_LIFE">
        <w:r>
          <w:rPr>
            <w:color w:val="0000FF" w:themeColor="hyperlink"/>
            <w:u w:val="single"/>
          </w:rPr>
          <w:t>Nửa sau của cuộc đời bạn</w:t>
        </w:r>
      </w:hyperlink>
    </w:p>
    <w:p>
      <w:pPr>
        <w:pStyle w:val="Normal"/>
        <w:ind w:left="0" w:firstLineChars="0" w:firstLine="0" w:leftChars="200"/>
      </w:pPr>
      <w:hyperlink w:anchor="Top_of_04_Author_xhtml">
        <w:r>
          <w:rPr>
            <w:color w:val="0000FF" w:themeColor="hyperlink"/>
            <w:u w:val="single"/>
          </w:rPr>
          <w:t>Về tác giả</w:t>
        </w:r>
      </w:hyperlink>
    </w:p>
    <w:p>
      <w:pPr>
        <w:pStyle w:val="Normal"/>
        <w:ind w:left="0" w:firstLineChars="0" w:firstLine="0" w:leftChars="200"/>
      </w:pPr>
      <w:hyperlink w:anchor="Top_of_04_Author1_xhtml">
        <w:r>
          <w:rPr>
            <w:color w:val="0000FF" w:themeColor="hyperlink"/>
            <w:u w:val="single"/>
          </w:rPr>
          <w:t>Cũng của tác giả này</w:t>
        </w:r>
      </w:hyperlink>
    </w:p>
    <w:p>
      <w:pPr>
        <w:pStyle w:val="Normal"/>
        <w:ind w:left="0" w:firstLineChars="0" w:firstLine="0" w:leftChars="0"/>
      </w:pPr>
      <w:hyperlink w:anchor="Top_of_05_00_Cover_xhtml">
        <w:r>
          <w:rPr>
            <w:color w:val="0000FF" w:themeColor="hyperlink"/>
            <w:u w:val="single"/>
          </w:rPr>
          <w:t>Lý thuyết về doanh nghiệp</w:t>
        </w:r>
      </w:hyperlink>
    </w:p>
    <w:p>
      <w:pPr>
        <w:pStyle w:val="Normal"/>
        <w:ind w:left="0" w:firstLineChars="0" w:firstLine="0" w:leftChars="200"/>
      </w:pPr>
      <w:hyperlink w:anchor="Top_of_05_05_chapter_xhtml">
        <w:r>
          <w:rPr>
            <w:color w:val="0000FF" w:themeColor="hyperlink"/>
            <w:u w:val="single"/>
          </w:rPr>
          <w:t>Lý thuyết về doanh nghiệp</w:t>
        </w:r>
      </w:hyperlink>
    </w:p>
    <w:p>
      <w:pPr>
        <w:pStyle w:val="Normal"/>
        <w:ind w:left="0" w:firstLineChars="0" w:firstLine="0" w:leftChars="200"/>
      </w:pPr>
      <w:hyperlink w:anchor="Top_of_05_06_Authors_xhtml">
        <w:r>
          <w:rPr>
            <w:color w:val="0000FF" w:themeColor="hyperlink"/>
            <w:u w:val="single"/>
          </w:rPr>
          <w:t>Về tác giả</w:t>
        </w:r>
      </w:hyperlink>
    </w:p>
    <w:p>
      <w:pPr>
        <w:pStyle w:val="Normal"/>
        <w:ind w:left="0" w:firstLineChars="0" w:firstLine="0" w:leftChars="200"/>
      </w:pPr>
      <w:hyperlink w:anchor="Top_of_05_07_Article_summary_xht">
        <w:r>
          <w:rPr>
            <w:color w:val="0000FF" w:themeColor="hyperlink"/>
            <w:u w:val="single"/>
          </w:rPr>
          <w:t>Tóm tắt bài viết</w:t>
        </w:r>
      </w:hyperlink>
    </w:p>
    <w:p>
      <w:pPr>
        <w:pStyle w:val="Normal"/>
        <w:ind w:left="0" w:firstLineChars="0" w:firstLine="0" w:leftChars="0"/>
      </w:pPr>
      <w:hyperlink w:anchor="Top_of_06_00_Cover_xhtml">
        <w:r>
          <w:rPr>
            <w:color w:val="0000FF" w:themeColor="hyperlink"/>
            <w:u w:val="single"/>
          </w:rPr>
          <w:t>Điều gì tạo nên một nhà điều hành hiệu quả</w:t>
        </w:r>
      </w:hyperlink>
    </w:p>
    <w:p>
      <w:pPr>
        <w:pStyle w:val="Normal"/>
        <w:ind w:left="0" w:firstLineChars="0" w:firstLine="0" w:leftChars="200"/>
      </w:pPr>
      <w:hyperlink w:anchor="GET_THE_KNOWLEDGE_YOU_NEED">
        <w:r>
          <w:rPr>
            <w:color w:val="0000FF" w:themeColor="hyperlink"/>
            <w:u w:val="single"/>
          </w:rPr>
          <w:t>Có được kiến thức bạn cần</w:t>
        </w:r>
      </w:hyperlink>
    </w:p>
    <w:p>
      <w:pPr>
        <w:pStyle w:val="Normal"/>
        <w:ind w:left="0" w:firstLineChars="0" w:firstLine="0" w:leftChars="200"/>
      </w:pPr>
      <w:hyperlink w:anchor="WRITE_AN_ACTION_PLAN">
        <w:r>
          <w:rPr>
            <w:color w:val="0000FF" w:themeColor="hyperlink"/>
            <w:u w:val="single"/>
          </w:rPr>
          <w:t>Viết một kế hoạch hành động</w:t>
        </w:r>
      </w:hyperlink>
    </w:p>
    <w:p>
      <w:pPr>
        <w:pStyle w:val="Normal"/>
        <w:ind w:left="0" w:firstLineChars="0" w:firstLine="0" w:leftChars="200"/>
      </w:pPr>
      <w:hyperlink w:anchor="ACT">
        <w:r>
          <w:rPr>
            <w:color w:val="0000FF" w:themeColor="hyperlink"/>
            <w:u w:val="single"/>
          </w:rPr>
          <w:t>Hành động</w:t>
        </w:r>
      </w:hyperlink>
    </w:p>
    <w:p>
      <w:pPr>
        <w:pStyle w:val="Normal"/>
        <w:ind w:left="0" w:firstLineChars="0" w:firstLine="0" w:leftChars="200"/>
      </w:pPr>
      <w:hyperlink w:anchor="THINK_AND_SAY__WE">
        <w:r>
          <w:rPr>
            <w:color w:val="0000FF" w:themeColor="hyperlink"/>
            <w:u w:val="single"/>
          </w:rPr>
          <w:t>Suy nghĩ và nói “Chúng ta”</w:t>
        </w:r>
      </w:hyperlink>
    </w:p>
    <w:p>
      <w:pPr>
        <w:pStyle w:val="Normal"/>
        <w:ind w:left="0" w:firstLineChars="0" w:firstLine="0" w:leftChars="200"/>
      </w:pPr>
      <w:hyperlink w:anchor="Top_of_06_07_Abouttheauthor_xhtm">
        <w:r>
          <w:rPr>
            <w:color w:val="0000FF" w:themeColor="hyperlink"/>
            <w:u w:val="single"/>
          </w:rPr>
          <w:t>Về tác giả</w:t>
        </w:r>
      </w:hyperlink>
    </w:p>
    <w:p>
      <w:pPr>
        <w:pStyle w:val="Normal"/>
        <w:ind w:left="0" w:firstLineChars="0" w:firstLine="0" w:leftChars="200"/>
      </w:pPr>
      <w:hyperlink w:anchor="Top_of_06_08_Alsothisauthor_xhtm">
        <w:r>
          <w:rPr>
            <w:color w:val="0000FF" w:themeColor="hyperlink"/>
            <w:u w:val="single"/>
          </w:rPr>
          <w:t>Các tác phẩm khác của tác giả</w:t>
        </w:r>
      </w:hyperlink>
    </w:p>
    <w:p>
      <w:pPr>
        <w:pStyle w:val="Normal"/>
        <w:ind w:left="0" w:firstLineChars="0" w:firstLine="0" w:leftChars="200"/>
      </w:pPr>
      <w:hyperlink w:anchor="Top_of_06_09_Articlesummary_xhtm">
        <w:r>
          <w:rPr>
            <w:color w:val="0000FF" w:themeColor="hyperlink"/>
            <w:u w:val="single"/>
          </w:rPr>
          <w:t>Tóm tắt bài viết</w:t>
        </w:r>
      </w:hyperlink>
    </w:p>
    <w:p>
      <w:pPr>
        <w:pStyle w:val="Normal"/>
        <w:ind w:left="0" w:firstLineChars="0" w:firstLine="0" w:leftChars="0"/>
      </w:pPr>
      <w:hyperlink w:anchor="Top_of_07_01_cover_xhtml">
        <w:r>
          <w:rPr>
            <w:color w:val="0000FF" w:themeColor="hyperlink"/>
            <w:u w:val="single"/>
          </w:rPr>
          <w:t>Quản lý sếp của bạn</w:t>
        </w:r>
      </w:hyperlink>
    </w:p>
    <w:p>
      <w:pPr>
        <w:pStyle w:val="Normal"/>
        <w:ind w:left="0" w:firstLineChars="0" w:firstLine="0" w:leftChars="200"/>
      </w:pPr>
      <w:hyperlink w:anchor="Top_of_07_07_Chapter_01_xhtml">
        <w:r>
          <w:rPr>
            <w:color w:val="0000FF" w:themeColor="hyperlink"/>
            <w:u w:val="single"/>
          </w:rPr>
          <w:t>Quản lý sếp của bạn</w:t>
        </w:r>
      </w:hyperlink>
    </w:p>
    <w:p>
      <w:pPr>
        <w:pStyle w:val="Normal"/>
        <w:ind w:left="0" w:firstLineChars="0" w:firstLine="0" w:leftChars="200"/>
      </w:pPr>
      <w:hyperlink w:anchor="Top_of_07_08_About_the_Author_xh">
        <w:r>
          <w:rPr>
            <w:color w:val="0000FF" w:themeColor="hyperlink"/>
            <w:u w:val="single"/>
          </w:rPr>
          <w:t>Về tác giả</w:t>
        </w:r>
      </w:hyperlink>
    </w:p>
    <w:p>
      <w:pPr>
        <w:pStyle w:val="Normal"/>
        <w:ind w:left="0" w:firstLineChars="0" w:firstLine="0" w:leftChars="0"/>
      </w:pPr>
      <w:hyperlink w:anchor="Top_of_08_00_Cover_xhtml">
        <w:r>
          <w:rPr>
            <w:color w:val="0000FF" w:themeColor="hyperlink"/>
            <w:u w:val="single"/>
          </w:rPr>
          <w:t>Lãnh đạo tạo ra kết quả</w:t>
        </w:r>
      </w:hyperlink>
    </w:p>
    <w:p>
      <w:pPr>
        <w:pStyle w:val="Normal"/>
        <w:ind w:left="0" w:firstLineChars="0" w:firstLine="0" w:leftChars="200"/>
      </w:pPr>
      <w:hyperlink w:anchor="MEASURING_LEADERSHIP_S_IMPACT">
        <w:r>
          <w:rPr>
            <w:color w:val="0000FF" w:themeColor="hyperlink"/>
            <w:u w:val="single"/>
          </w:rPr>
          <w:t>Đo lường tác động của lãnh đạo</w:t>
        </w:r>
      </w:hyperlink>
    </w:p>
    <w:p>
      <w:pPr>
        <w:pStyle w:val="Normal"/>
        <w:ind w:left="0" w:firstLineChars="0" w:firstLine="0" w:leftChars="200"/>
      </w:pPr>
      <w:hyperlink w:anchor="THE_STYLES_IN_DETAIL">
        <w:r>
          <w:rPr>
            <w:color w:val="0000FF" w:themeColor="hyperlink"/>
            <w:u w:val="single"/>
          </w:rPr>
          <w:t>Các phong cách chi tiết</w:t>
        </w:r>
      </w:hyperlink>
    </w:p>
    <w:p>
      <w:pPr>
        <w:pStyle w:val="Normal"/>
        <w:ind w:left="0" w:firstLineChars="0" w:firstLine="0" w:leftChars="400"/>
      </w:pPr>
      <w:hyperlink w:anchor="The_coercive_style">
        <w:r>
          <w:rPr>
            <w:color w:val="0000FF" w:themeColor="hyperlink"/>
            <w:u w:val="single"/>
          </w:rPr>
          <w:t>Phong cách áp đặt</w:t>
        </w:r>
      </w:hyperlink>
    </w:p>
    <w:p>
      <w:pPr>
        <w:pStyle w:val="Normal"/>
        <w:ind w:left="0" w:firstLineChars="0" w:firstLine="0" w:leftChars="400"/>
      </w:pPr>
      <w:hyperlink w:anchor="The_authoritative_style">
        <w:r>
          <w:rPr>
            <w:color w:val="0000FF" w:themeColor="hyperlink"/>
            <w:u w:val="single"/>
          </w:rPr>
          <w:t>Phong cách uy quyền</w:t>
        </w:r>
      </w:hyperlink>
    </w:p>
    <w:p>
      <w:pPr>
        <w:pStyle w:val="Normal"/>
        <w:ind w:left="0" w:firstLineChars="0" w:firstLine="0" w:leftChars="400"/>
      </w:pPr>
      <w:hyperlink w:anchor="The_affiliative_style">
        <w:r>
          <w:rPr>
            <w:color w:val="0000FF" w:themeColor="hyperlink"/>
            <w:u w:val="single"/>
          </w:rPr>
          <w:t>Phong cách hòa hợp</w:t>
        </w:r>
      </w:hyperlink>
    </w:p>
    <w:p>
      <w:pPr>
        <w:pStyle w:val="Normal"/>
        <w:ind w:left="0" w:firstLineChars="0" w:firstLine="0" w:leftChars="400"/>
      </w:pPr>
      <w:hyperlink w:anchor="The_democratic_style">
        <w:r>
          <w:rPr>
            <w:color w:val="0000FF" w:themeColor="hyperlink"/>
            <w:u w:val="single"/>
          </w:rPr>
          <w:t>Phong cách dân chủ</w:t>
        </w:r>
      </w:hyperlink>
    </w:p>
    <w:p>
      <w:pPr>
        <w:pStyle w:val="Normal"/>
        <w:ind w:left="0" w:firstLineChars="0" w:firstLine="0" w:leftChars="400"/>
      </w:pPr>
      <w:hyperlink w:anchor="The_pacesetting_style">
        <w:r>
          <w:rPr>
            <w:color w:val="0000FF" w:themeColor="hyperlink"/>
            <w:u w:val="single"/>
          </w:rPr>
          <w:t>Phong cách tiên phong</w:t>
        </w:r>
      </w:hyperlink>
    </w:p>
    <w:p>
      <w:pPr>
        <w:pStyle w:val="Normal"/>
        <w:ind w:left="0" w:firstLineChars="0" w:firstLine="0" w:leftChars="400"/>
      </w:pPr>
      <w:hyperlink w:anchor="The_coaching_style">
        <w:r>
          <w:rPr>
            <w:color w:val="0000FF" w:themeColor="hyperlink"/>
            <w:u w:val="single"/>
          </w:rPr>
          <w:t>Phong cách huấn luyện</w:t>
        </w:r>
      </w:hyperlink>
    </w:p>
    <w:p>
      <w:pPr>
        <w:pStyle w:val="Normal"/>
        <w:ind w:left="0" w:firstLineChars="0" w:firstLine="0" w:leftChars="200"/>
      </w:pPr>
      <w:hyperlink w:anchor="LEADERS_NEED_MANY_STYLES">
        <w:r>
          <w:rPr>
            <w:color w:val="0000FF" w:themeColor="hyperlink"/>
            <w:u w:val="single"/>
          </w:rPr>
          <w:t>Nhà lãnh đạo cần nhiều phong cách</w:t>
        </w:r>
      </w:hyperlink>
    </w:p>
    <w:p>
      <w:pPr>
        <w:pStyle w:val="Normal"/>
        <w:ind w:left="0" w:firstLineChars="0" w:firstLine="0" w:leftChars="200"/>
      </w:pPr>
      <w:hyperlink w:anchor="EXPANDING_YOUR_REPERTORY">
        <w:r>
          <w:rPr>
            <w:color w:val="0000FF" w:themeColor="hyperlink"/>
            <w:u w:val="single"/>
          </w:rPr>
          <w:t>Mở rộng kho phong cách của bạn</w:t>
        </w:r>
      </w:hyperlink>
    </w:p>
    <w:p>
      <w:pPr>
        <w:pStyle w:val="Normal"/>
        <w:ind w:left="0" w:firstLineChars="0" w:firstLine="0" w:leftChars="200"/>
      </w:pPr>
      <w:hyperlink w:anchor="MORE_SCIENCE__LESS_ART">
        <w:r>
          <w:rPr>
            <w:color w:val="0000FF" w:themeColor="hyperlink"/>
            <w:u w:val="single"/>
          </w:rPr>
          <w:t>Khoa học nhiều hơn, nghệ thuật ít đi</w:t>
        </w:r>
      </w:hyperlink>
    </w:p>
    <w:p>
      <w:pPr>
        <w:pStyle w:val="Normal"/>
        <w:ind w:left="0" w:firstLineChars="0" w:firstLine="0" w:leftChars="200"/>
      </w:pPr>
      <w:hyperlink w:anchor="NOTE">
        <w:r>
          <w:rPr>
            <w:color w:val="0000FF" w:themeColor="hyperlink"/>
            <w:u w:val="single"/>
          </w:rPr>
          <w:t>Ghi chú</w:t>
        </w:r>
      </w:hyperlink>
    </w:p>
    <w:p>
      <w:pPr>
        <w:pStyle w:val="Normal"/>
        <w:ind w:left="0" w:firstLineChars="0" w:firstLine="0" w:leftChars="200"/>
      </w:pPr>
      <w:hyperlink w:anchor="Getting_Molecular__The_Impact_of">
        <w:r>
          <w:rPr>
            <w:color w:val="0000FF" w:themeColor="hyperlink"/>
            <w:u w:val="single"/>
          </w:rPr>
          <w:t>Đi sâu vào chi tiết: Tác động của phong cách lãnh đạo đến các nhân tố của môi trường làm việc</w:t>
        </w:r>
      </w:hyperlink>
    </w:p>
    <w:p>
      <w:pPr>
        <w:pStyle w:val="Normal"/>
        <w:ind w:left="0" w:firstLineChars="0" w:firstLine="0" w:leftChars="200"/>
      </w:pPr>
      <w:hyperlink w:anchor="The_Six_Leadership_Styles_at_a_G">
        <w:r>
          <w:rPr>
            <w:color w:val="0000FF" w:themeColor="hyperlink"/>
            <w:u w:val="single"/>
          </w:rPr>
          <w:t>Sáu phong cách lãnh đạo trong nháy mắt</w:t>
        </w:r>
      </w:hyperlink>
    </w:p>
    <w:p>
      <w:pPr>
        <w:pStyle w:val="Normal"/>
        <w:ind w:left="0" w:firstLineChars="0" w:firstLine="0" w:leftChars="200"/>
      </w:pPr>
      <w:hyperlink w:anchor="Emotional_Intelligence__A_Primer">
        <w:r>
          <w:rPr>
            <w:color w:val="0000FF" w:themeColor="hyperlink"/>
            <w:u w:val="single"/>
          </w:rPr>
          <w:t>Trí tuệ cảm xúc: Nhập môn</w:t>
        </w:r>
      </w:hyperlink>
    </w:p>
    <w:p>
      <w:pPr>
        <w:pStyle w:val="Normal"/>
        <w:ind w:left="0" w:firstLineChars="0" w:firstLine="0" w:leftChars="400"/>
      </w:pPr>
      <w:hyperlink w:anchor="Self_Awareness">
        <w:r>
          <w:rPr>
            <w:color w:val="0000FF" w:themeColor="hyperlink"/>
            <w:u w:val="single"/>
          </w:rPr>
          <w:t>Tự nhận thức</w:t>
        </w:r>
      </w:hyperlink>
    </w:p>
    <w:p>
      <w:pPr>
        <w:pStyle w:val="Normal"/>
        <w:ind w:left="0" w:firstLineChars="0" w:firstLine="0" w:leftChars="400"/>
      </w:pPr>
      <w:hyperlink w:anchor="Self_Management">
        <w:r>
          <w:rPr>
            <w:color w:val="0000FF" w:themeColor="hyperlink"/>
            <w:u w:val="single"/>
          </w:rPr>
          <w:t>Tự quản lý</w:t>
        </w:r>
      </w:hyperlink>
    </w:p>
    <w:p>
      <w:pPr>
        <w:pStyle w:val="Normal"/>
        <w:ind w:left="0" w:firstLineChars="0" w:firstLine="0" w:leftChars="400"/>
      </w:pPr>
      <w:hyperlink w:anchor="Social_Awareness">
        <w:r>
          <w:rPr>
            <w:color w:val="0000FF" w:themeColor="hyperlink"/>
            <w:u w:val="single"/>
          </w:rPr>
          <w:t>Nhận thức xã hội</w:t>
        </w:r>
      </w:hyperlink>
    </w:p>
    <w:p>
      <w:pPr>
        <w:pStyle w:val="Normal"/>
        <w:ind w:left="0" w:firstLineChars="0" w:firstLine="0" w:leftChars="400"/>
      </w:pPr>
      <w:hyperlink w:anchor="Social_Skill">
        <w:r>
          <w:rPr>
            <w:color w:val="0000FF" w:themeColor="hyperlink"/>
            <w:u w:val="single"/>
          </w:rPr>
          <w:t>Kỹ năng xã hội</w:t>
        </w:r>
      </w:hyperlink>
    </w:p>
    <w:p>
      <w:pPr>
        <w:pStyle w:val="Normal"/>
        <w:ind w:left="0" w:firstLineChars="0" w:firstLine="0" w:leftChars="200"/>
      </w:pPr>
      <w:hyperlink w:anchor="Growing_Your_Emotional_Intellige">
        <w:r>
          <w:rPr>
            <w:color w:val="0000FF" w:themeColor="hyperlink"/>
            <w:u w:val="single"/>
          </w:rPr>
          <w:t>Phát triển trí tuệ cảm xúc của bạn</w:t>
        </w:r>
      </w:hyperlink>
    </w:p>
    <w:p>
      <w:pPr>
        <w:pStyle w:val="Normal"/>
        <w:ind w:left="0" w:firstLineChars="0" w:firstLine="0" w:leftChars="200"/>
      </w:pPr>
      <w:hyperlink w:anchor="Top_of_08_06_About_the_author_xh">
        <w:r>
          <w:rPr>
            <w:color w:val="0000FF" w:themeColor="hyperlink"/>
            <w:u w:val="single"/>
          </w:rPr>
          <w:t>Về tác giả</w:t>
        </w:r>
      </w:hyperlink>
    </w:p>
    <w:p>
      <w:pPr>
        <w:pStyle w:val="Normal"/>
        <w:ind w:left="0" w:firstLineChars="0" w:firstLine="0" w:leftChars="200"/>
      </w:pPr>
      <w:hyperlink w:anchor="Top_of_08_07_Summary_xhtml">
        <w:r>
          <w:rPr>
            <w:color w:val="0000FF" w:themeColor="hyperlink"/>
            <w:u w:val="single"/>
          </w:rPr>
          <w:t>Tóm tắt bài viết</w:t>
        </w:r>
      </w:hyperlink>
    </w:p>
    <w:p>
      <w:pPr>
        <w:pStyle w:val="Normal"/>
        <w:ind w:left="0" w:firstLineChars="0" w:firstLine="0" w:leftChars="0"/>
      </w:pPr>
      <w:hyperlink w:anchor="Top_of_09_00_Cover_xhtml">
        <w:r>
          <w:rPr>
            <w:color w:val="0000FF" w:themeColor="hyperlink"/>
            <w:u w:val="single"/>
          </w:rPr>
          <w:t>Điều gì tạo nên một nhà lãnh đạo?</w:t>
        </w:r>
      </w:hyperlink>
    </w:p>
    <w:p>
      <w:pPr>
        <w:pStyle w:val="Normal"/>
        <w:ind w:left="0" w:firstLineChars="0" w:firstLine="0" w:leftChars="200"/>
      </w:pPr>
      <w:hyperlink w:anchor="EVALUATING_EMOTIONAL_INTELLIGENC">
        <w:r>
          <w:rPr>
            <w:color w:val="0000FF" w:themeColor="hyperlink"/>
            <w:u w:val="single"/>
          </w:rPr>
          <w:t>Đánh giá trí tuệ cảm xúc</w:t>
        </w:r>
      </w:hyperlink>
    </w:p>
    <w:p>
      <w:pPr>
        <w:pStyle w:val="Normal"/>
        <w:ind w:left="0" w:firstLineChars="0" w:firstLine="0" w:leftChars="200"/>
      </w:pPr>
      <w:hyperlink w:anchor="Can_Emotional_Intelligence_Be_Le">
        <w:r>
          <w:rPr>
            <w:color w:val="0000FF" w:themeColor="hyperlink"/>
            <w:u w:val="single"/>
          </w:rPr>
          <w:t>Trí tuệ cảm xúc có thể học được không?</w:t>
        </w:r>
      </w:hyperlink>
    </w:p>
    <w:p>
      <w:pPr>
        <w:pStyle w:val="Normal"/>
        <w:ind w:left="0" w:firstLineChars="0" w:firstLine="0" w:leftChars="200"/>
      </w:pPr>
      <w:hyperlink w:anchor="SELF_AWARENESS">
        <w:r>
          <w:rPr>
            <w:color w:val="0000FF" w:themeColor="hyperlink"/>
            <w:u w:val="single"/>
          </w:rPr>
          <w:t>Tự nhận thức</w:t>
        </w:r>
      </w:hyperlink>
    </w:p>
    <w:p>
      <w:pPr>
        <w:pStyle w:val="Normal"/>
        <w:ind w:left="0" w:firstLineChars="0" w:firstLine="0" w:leftChars="200"/>
      </w:pPr>
      <w:hyperlink w:anchor="SELF_REGULATION">
        <w:r>
          <w:rPr>
            <w:color w:val="0000FF" w:themeColor="hyperlink"/>
            <w:u w:val="single"/>
          </w:rPr>
          <w:t>Tự điều chỉnh</w:t>
        </w:r>
      </w:hyperlink>
    </w:p>
    <w:p>
      <w:pPr>
        <w:pStyle w:val="Normal"/>
        <w:ind w:left="0" w:firstLineChars="0" w:firstLine="0" w:leftChars="200"/>
      </w:pPr>
      <w:hyperlink w:anchor="MOTIVATION">
        <w:r>
          <w:rPr>
            <w:color w:val="0000FF" w:themeColor="hyperlink"/>
            <w:u w:val="single"/>
          </w:rPr>
          <w:t>Động lực</w:t>
        </w:r>
      </w:hyperlink>
    </w:p>
    <w:p>
      <w:pPr>
        <w:pStyle w:val="Normal"/>
        <w:ind w:left="0" w:firstLineChars="0" w:firstLine="0" w:leftChars="200"/>
      </w:pPr>
      <w:hyperlink w:anchor="EMPATHY">
        <w:r>
          <w:rPr>
            <w:color w:val="0000FF" w:themeColor="hyperlink"/>
            <w:u w:val="single"/>
          </w:rPr>
          <w:t>Sự đồng cảm</w:t>
        </w:r>
      </w:hyperlink>
    </w:p>
    <w:p>
      <w:pPr>
        <w:pStyle w:val="Normal"/>
        <w:ind w:left="0" w:firstLineChars="0" w:firstLine="0" w:leftChars="200"/>
      </w:pPr>
      <w:hyperlink w:anchor="SOCIAL_SKILL">
        <w:r>
          <w:rPr>
            <w:color w:val="0000FF" w:themeColor="hyperlink"/>
            <w:u w:val="single"/>
          </w:rPr>
          <w:t>Kỹ năng xã hội</w:t>
        </w:r>
      </w:hyperlink>
    </w:p>
    <w:p>
      <w:pPr>
        <w:pStyle w:val="Normal"/>
        <w:ind w:left="0" w:firstLineChars="0" w:firstLine="0" w:leftChars="200"/>
      </w:pPr>
      <w:hyperlink w:anchor="The_five_components_of_emotional">
        <w:r>
          <w:rPr>
            <w:color w:val="0000FF" w:themeColor="hyperlink"/>
            <w:u w:val="single"/>
          </w:rPr>
          <w:t>Năm thành phần của trí tuệ cảm xúc tại nơi làm việc</w:t>
        </w:r>
      </w:hyperlink>
    </w:p>
    <w:p>
      <w:pPr>
        <w:pStyle w:val="Normal"/>
        <w:ind w:left="0" w:firstLineChars="0" w:firstLine="0" w:leftChars="200"/>
      </w:pPr>
      <w:hyperlink w:anchor="Top_of_09_06_About_the_author_xh">
        <w:r>
          <w:rPr>
            <w:color w:val="0000FF" w:themeColor="hyperlink"/>
            <w:u w:val="single"/>
          </w:rPr>
          <w:t>Về tác giả</w:t>
        </w:r>
      </w:hyperlink>
    </w:p>
    <w:p>
      <w:pPr>
        <w:pStyle w:val="Normal"/>
        <w:ind w:left="0" w:firstLineChars="0" w:firstLine="0" w:leftChars="200"/>
      </w:pPr>
      <w:hyperlink w:anchor="Top_of_09_07_Article_summary_xht">
        <w:r>
          <w:rPr>
            <w:color w:val="0000FF" w:themeColor="hyperlink"/>
            <w:u w:val="single"/>
          </w:rPr>
          <w:t>Tóm tắt bài viết</w:t>
        </w:r>
      </w:hyperlink>
    </w:p>
    <w:p>
      <w:pPr>
        <w:pStyle w:val="Normal"/>
        <w:ind w:left="0" w:firstLineChars="0" w:firstLine="0" w:leftChars="0"/>
      </w:pPr>
      <w:hyperlink w:anchor="Top_of_10_01_cover_xhtml">
        <w:r>
          <w:rPr>
            <w:color w:val="0000FF" w:themeColor="hyperlink"/>
            <w:u w:val="single"/>
          </w:rPr>
          <w:t>Ý định chiến lược</w:t>
        </w:r>
      </w:hyperlink>
    </w:p>
    <w:p>
      <w:pPr>
        <w:pStyle w:val="Normal"/>
        <w:ind w:left="0" w:firstLineChars="0" w:firstLine="0" w:leftChars="200"/>
      </w:pPr>
      <w:hyperlink w:anchor="Top_of_10_07_chapter_xhtml">
        <w:r>
          <w:rPr>
            <w:color w:val="0000FF" w:themeColor="hyperlink"/>
            <w:u w:val="single"/>
          </w:rPr>
          <w:t>Ý định chiến lược</w:t>
        </w:r>
      </w:hyperlink>
    </w:p>
    <w:p>
      <w:pPr>
        <w:pStyle w:val="Normal"/>
        <w:ind w:left="0" w:firstLineChars="0" w:firstLine="0" w:leftChars="400"/>
      </w:pPr>
      <w:hyperlink w:anchor="STRATEGIC_INTENT_CAPTURES_THE_ES">
        <w:r>
          <w:rPr>
            <w:color w:val="0000FF" w:themeColor="hyperlink"/>
            <w:u w:val="single"/>
          </w:rPr>
          <w:t>Ý định chiến lược nắm bắt bản chất của chiến thắng</w:t>
        </w:r>
      </w:hyperlink>
    </w:p>
    <w:p>
      <w:pPr>
        <w:pStyle w:val="Normal"/>
        <w:ind w:left="0" w:firstLineChars="0" w:firstLine="0" w:leftChars="400"/>
      </w:pPr>
      <w:hyperlink w:anchor="STRATEGIC_INTENT_IS_STABLE_OVER">
        <w:r>
          <w:rPr>
            <w:color w:val="0000FF" w:themeColor="hyperlink"/>
            <w:u w:val="single"/>
          </w:rPr>
          <w:t>Ý định chiến lược ổn định theo thời gian</w:t>
        </w:r>
      </w:hyperlink>
    </w:p>
    <w:p>
      <w:pPr>
        <w:pStyle w:val="Normal"/>
        <w:ind w:left="0" w:firstLineChars="0" w:firstLine="0" w:leftChars="400"/>
      </w:pPr>
      <w:hyperlink w:anchor="STRATEGIC_INTENT_SETS_A_TARGET_T">
        <w:r>
          <w:rPr>
            <w:color w:val="0000FF" w:themeColor="hyperlink"/>
            <w:u w:val="single"/>
          </w:rPr>
          <w:t>Ý định chiến lược đặt ra một mục tiêu xứng đáng với nỗ lực và cam kết cá nhân</w:t>
        </w:r>
      </w:hyperlink>
    </w:p>
    <w:p>
      <w:pPr>
        <w:pStyle w:val="Normal"/>
        <w:ind w:left="0" w:firstLineChars="0" w:firstLine="0" w:leftChars="400"/>
      </w:pPr>
      <w:hyperlink w:anchor="NOTES">
        <w:r>
          <w:rPr>
            <w:color w:val="0000FF" w:themeColor="hyperlink"/>
            <w:u w:val="single"/>
          </w:rPr>
          <w:t>Ghi chú</w:t>
        </w:r>
      </w:hyperlink>
    </w:p>
    <w:p>
      <w:pPr>
        <w:pStyle w:val="Normal"/>
        <w:ind w:left="0" w:firstLineChars="0" w:firstLine="0" w:leftChars="200"/>
      </w:pPr>
      <w:hyperlink w:anchor="Top_of_10_08_about_xhtml">
        <w:r>
          <w:rPr>
            <w:color w:val="0000FF" w:themeColor="hyperlink"/>
            <w:u w:val="single"/>
          </w:rPr>
          <w:t>Về các tác giả</w:t>
        </w:r>
      </w:hyperlink>
    </w:p>
    <w:p>
      <w:pPr>
        <w:pStyle w:val="Normal"/>
        <w:ind w:left="0" w:firstLineChars="0" w:firstLine="0" w:leftChars="200"/>
      </w:pPr>
      <w:hyperlink w:anchor="Top_of_10_09_also_xhtml">
        <w:r>
          <w:rPr>
            <w:color w:val="0000FF" w:themeColor="hyperlink"/>
            <w:u w:val="single"/>
          </w:rPr>
          <w:t>Cũng của các tác giả này</w:t>
        </w:r>
      </w:hyperlink>
    </w:p>
    <w:p>
      <w:pPr>
        <w:pStyle w:val="Normal"/>
        <w:ind w:left="0" w:firstLineChars="0" w:firstLine="0" w:leftChars="200"/>
      </w:pPr>
      <w:hyperlink w:anchor="Top_of_10_10_article_xhtml">
        <w:r>
          <w:rPr>
            <w:color w:val="0000FF" w:themeColor="hyperlink"/>
            <w:u w:val="single"/>
          </w:rPr>
          <w:t>Tóm tắt bài viết</w:t>
        </w:r>
      </w:hyperlink>
    </w:p>
    <w:p>
      <w:pPr>
        <w:pStyle w:val="Normal"/>
        <w:ind w:left="0" w:firstLineChars="0" w:firstLine="0" w:leftChars="0"/>
      </w:pPr>
      <w:hyperlink w:anchor="Top_of_11_cover_xhtml">
        <w:r>
          <w:rPr>
            <w:color w:val="0000FF" w:themeColor="hyperlink"/>
            <w:u w:val="single"/>
          </w:rPr>
          <w:t>Kỷ luật của các đội nhóm</w:t>
        </w:r>
      </w:hyperlink>
    </w:p>
    <w:p>
      <w:pPr>
        <w:pStyle w:val="Normal"/>
        <w:ind w:left="0" w:firstLineChars="0" w:firstLine="0" w:leftChars="200"/>
      </w:pPr>
      <w:hyperlink w:anchor="Top_of_11_Chapter01_xhtml">
        <w:r>
          <w:rPr>
            <w:color w:val="0000FF" w:themeColor="hyperlink"/>
            <w:u w:val="single"/>
          </w:rPr>
          <w:t>Kỷ luật của các đội nhóm</w:t>
        </w:r>
      </w:hyperlink>
    </w:p>
    <w:p>
      <w:pPr>
        <w:pStyle w:val="Normal"/>
        <w:ind w:left="0" w:firstLineChars="0" w:firstLine="0" w:leftChars="200"/>
      </w:pPr>
      <w:hyperlink w:anchor="Top_of_11_Author_xhtml">
        <w:r>
          <w:rPr>
            <w:color w:val="0000FF" w:themeColor="hyperlink"/>
            <w:u w:val="single"/>
          </w:rPr>
          <w:t>Về các tác giả</w:t>
        </w:r>
      </w:hyperlink>
    </w:p>
    <w:p>
      <w:pPr>
        <w:pStyle w:val="Normal"/>
        <w:ind w:left="0" w:firstLineChars="0" w:firstLine="0" w:leftChars="200"/>
      </w:pPr>
      <w:hyperlink w:anchor="Top_of_11_Author1_xhtml">
        <w:r>
          <w:rPr>
            <w:color w:val="0000FF" w:themeColor="hyperlink"/>
            <w:u w:val="single"/>
          </w:rPr>
          <w:t>Cũng của các tác giả này</w:t>
        </w:r>
      </w:hyperlink>
    </w:p>
    <w:p>
      <w:pPr>
        <w:pStyle w:val="Normal"/>
        <w:ind w:left="0" w:firstLineChars="0" w:firstLine="0" w:leftChars="200"/>
      </w:pPr>
      <w:hyperlink w:anchor="Top_of_11_Summary_xhtml">
        <w:r>
          <w:rPr>
            <w:color w:val="0000FF" w:themeColor="hyperlink"/>
            <w:u w:val="single"/>
          </w:rPr>
          <w:t>Tóm tắt bài viết</w:t>
        </w:r>
      </w:hyperlink>
    </w:p>
    <w:p>
      <w:pPr>
        <w:pStyle w:val="Normal"/>
        <w:ind w:left="0" w:firstLineChars="0" w:firstLine="0" w:leftChars="0"/>
      </w:pPr>
      <w:hyperlink w:anchor="Top_of_12_00_Cover_xhtml">
        <w:r>
          <w:rPr>
            <w:color w:val="0000FF" w:themeColor="hyperlink"/>
            <w:u w:val="single"/>
          </w:rPr>
          <w:t>Lãnh đạo đại dương xanh</w:t>
        </w:r>
      </w:hyperlink>
    </w:p>
    <w:p>
      <w:pPr>
        <w:pStyle w:val="Normal"/>
        <w:ind w:left="0" w:firstLineChars="0" w:firstLine="0" w:leftChars="200"/>
      </w:pPr>
      <w:hyperlink w:anchor="KEY_DIFFERENCES_FROM_CONVENTIONA">
        <w:r>
          <w:rPr>
            <w:color w:val="0000FF" w:themeColor="hyperlink"/>
            <w:u w:val="single"/>
          </w:rPr>
          <w:t>Sự khác biệt chính so với các phương pháp lãnh đạo thông thường</w:t>
        </w:r>
      </w:hyperlink>
    </w:p>
    <w:p>
      <w:pPr>
        <w:pStyle w:val="Normal"/>
        <w:ind w:left="0" w:firstLineChars="0" w:firstLine="0" w:leftChars="400"/>
      </w:pPr>
      <w:hyperlink w:anchor="Focus_on_acts_and_activities">
        <w:r>
          <w:rPr>
            <w:color w:val="0000FF" w:themeColor="hyperlink"/>
            <w:u w:val="single"/>
          </w:rPr>
          <w:t>Tập trung vào hành động và hoạt động</w:t>
        </w:r>
      </w:hyperlink>
    </w:p>
    <w:p>
      <w:pPr>
        <w:pStyle w:val="Normal"/>
        <w:ind w:left="0" w:firstLineChars="0" w:firstLine="0" w:leftChars="400"/>
      </w:pPr>
      <w:hyperlink w:anchor="Connect_closely_to_market_realit">
        <w:r>
          <w:rPr>
            <w:color w:val="0000FF" w:themeColor="hyperlink"/>
            <w:u w:val="single"/>
          </w:rPr>
          <w:t>Kết nối chặt chẽ với thực tế thị trường</w:t>
        </w:r>
      </w:hyperlink>
    </w:p>
    <w:p>
      <w:pPr>
        <w:pStyle w:val="Normal"/>
        <w:ind w:left="0" w:firstLineChars="0" w:firstLine="0" w:leftChars="400"/>
      </w:pPr>
      <w:hyperlink w:anchor="Distribute_leadership_across_all">
        <w:r>
          <w:rPr>
            <w:color w:val="0000FF" w:themeColor="hyperlink"/>
            <w:u w:val="single"/>
          </w:rPr>
          <w:t>Phân bổ vai trò lãnh đạo ở tất cả các cấp quản lý</w:t>
        </w:r>
      </w:hyperlink>
    </w:p>
    <w:p>
      <w:pPr>
        <w:pStyle w:val="Normal"/>
        <w:ind w:left="0" w:firstLineChars="0" w:firstLine="0" w:leftChars="200"/>
      </w:pPr>
      <w:hyperlink w:anchor="THE_FOUR_STEPS_OF_BLUE_OCEAN_LEA">
        <w:r>
          <w:rPr>
            <w:color w:val="0000FF" w:themeColor="hyperlink"/>
            <w:u w:val="single"/>
          </w:rPr>
          <w:t>Bốn bước của lãnh đạo đại dương xanh</w:t>
        </w:r>
      </w:hyperlink>
    </w:p>
    <w:p>
      <w:pPr>
        <w:pStyle w:val="Normal"/>
        <w:ind w:left="0" w:firstLineChars="0" w:firstLine="0" w:leftChars="400"/>
      </w:pPr>
      <w:hyperlink w:anchor="1__See_your_leadership_reality">
        <w:r>
          <w:rPr>
            <w:color w:val="0000FF" w:themeColor="hyperlink"/>
            <w:u w:val="single"/>
          </w:rPr>
          <w:t>1. Nhìn nhận thực tế lãnh đạo của bạn</w:t>
        </w:r>
      </w:hyperlink>
    </w:p>
    <w:p>
      <w:pPr>
        <w:pStyle w:val="Normal"/>
        <w:ind w:left="0" w:firstLineChars="0" w:firstLine="0" w:leftChars="400"/>
      </w:pPr>
      <w:hyperlink w:anchor="2__Develop_alternative_Leadershi">
        <w:r>
          <w:rPr>
            <w:color w:val="0000FF" w:themeColor="hyperlink"/>
            <w:u w:val="single"/>
          </w:rPr>
          <w:t>2. Phát triển các hồ sơ lãnh đạo thay thế</w:t>
        </w:r>
      </w:hyperlink>
    </w:p>
    <w:p>
      <w:pPr>
        <w:pStyle w:val="Normal"/>
        <w:ind w:left="0" w:firstLineChars="0" w:firstLine="0" w:leftChars="400"/>
      </w:pPr>
      <w:hyperlink w:anchor="3__Select_to_be_Leadership_Profi">
        <w:r>
          <w:rPr>
            <w:color w:val="0000FF" w:themeColor="hyperlink"/>
            <w:u w:val="single"/>
          </w:rPr>
          <w:t>3. Chọn các hồ sơ lãnh đạo tương lai</w:t>
        </w:r>
      </w:hyperlink>
    </w:p>
    <w:p>
      <w:pPr>
        <w:pStyle w:val="Normal"/>
        <w:ind w:left="0" w:firstLineChars="0" w:firstLine="0" w:leftChars="400"/>
      </w:pPr>
      <w:hyperlink w:anchor="4__Institutionalize_new_leadersh">
        <w:r>
          <w:rPr>
            <w:color w:val="0000FF" w:themeColor="hyperlink"/>
            <w:u w:val="single"/>
          </w:rPr>
          <w:t>4. Thể chế hóa các thực hành lãnh đạo mới</w:t>
        </w:r>
      </w:hyperlink>
    </w:p>
    <w:p>
      <w:pPr>
        <w:pStyle w:val="Normal"/>
        <w:ind w:left="0" w:firstLineChars="0" w:firstLine="0" w:leftChars="200"/>
      </w:pPr>
      <w:hyperlink w:anchor="EXECUTION_IS_BUILT_INTO_THE_FOUR">
        <w:r>
          <w:rPr>
            <w:color w:val="0000FF" w:themeColor="hyperlink"/>
            <w:u w:val="single"/>
          </w:rPr>
          <w:t>Thực thi được xây dựng ngay trong bốn bước</w:t>
        </w:r>
      </w:hyperlink>
    </w:p>
    <w:p>
      <w:pPr>
        <w:pStyle w:val="Normal"/>
        <w:ind w:left="0" w:firstLineChars="0" w:firstLine="0" w:leftChars="400"/>
      </w:pPr>
      <w:hyperlink w:anchor="BECOMING_A_BLUE_OCEAN_LEADER">
        <w:r>
          <w:rPr>
            <w:color w:val="0000FF" w:themeColor="hyperlink"/>
            <w:u w:val="single"/>
          </w:rPr>
          <w:t>Trở thành nhà lãnh đạo đại dương xanh</w:t>
        </w:r>
      </w:hyperlink>
    </w:p>
    <w:p>
      <w:pPr>
        <w:pStyle w:val="Normal"/>
        <w:ind w:left="0" w:firstLineChars="0" w:firstLine="0" w:leftChars="400"/>
      </w:pPr>
      <w:hyperlink w:anchor="What_middle_managers_actually_do">
        <w:r>
          <w:rPr>
            <w:color w:val="0000FF" w:themeColor="hyperlink"/>
            <w:u w:val="single"/>
          </w:rPr>
          <w:t>Các nhà quản lý cấp trung thực sự làm gì</w:t>
        </w:r>
      </w:hyperlink>
    </w:p>
    <w:p>
      <w:pPr>
        <w:pStyle w:val="Normal"/>
        <w:ind w:left="0" w:firstLineChars="0" w:firstLine="0" w:leftChars="400"/>
      </w:pPr>
      <w:hyperlink w:anchor="To_be_Leadership_Canvas">
        <w:r>
          <w:rPr>
            <w:color w:val="0000FF" w:themeColor="hyperlink"/>
            <w:u w:val="single"/>
          </w:rPr>
          <w:t>Bảng lãnh đạo tương lai</w:t>
        </w:r>
      </w:hyperlink>
    </w:p>
    <w:p>
      <w:pPr>
        <w:pStyle w:val="Normal"/>
        <w:ind w:left="0" w:firstLineChars="0" w:firstLine="0" w:leftChars="400"/>
      </w:pPr>
      <w:hyperlink w:anchor="To_be_Leadership_Canvas_1">
        <w:r>
          <w:rPr>
            <w:color w:val="0000FF" w:themeColor="hyperlink"/>
            <w:u w:val="single"/>
          </w:rPr>
          <w:t>Bảng lãnh đạo tương lai</w:t>
        </w:r>
      </w:hyperlink>
    </w:p>
    <w:p>
      <w:pPr>
        <w:pStyle w:val="Normal"/>
        <w:ind w:left="0" w:firstLineChars="0" w:firstLine="0" w:leftChars="400"/>
      </w:pPr>
      <w:hyperlink w:anchor="To_be_Leadership_Canvas_2">
        <w:r>
          <w:rPr>
            <w:color w:val="0000FF" w:themeColor="hyperlink"/>
            <w:u w:val="single"/>
          </w:rPr>
          <w:t>Bảng lãnh đạo tương lai</w:t>
        </w:r>
      </w:hyperlink>
    </w:p>
    <w:p>
      <w:pPr>
        <w:pStyle w:val="Normal"/>
        <w:ind w:left="0" w:firstLineChars="0" w:firstLine="0" w:leftChars="200"/>
      </w:pPr>
      <w:hyperlink w:anchor="Top_of_12_06_About_the_author_xh">
        <w:r>
          <w:rPr>
            <w:color w:val="0000FF" w:themeColor="hyperlink"/>
            <w:u w:val="single"/>
          </w:rPr>
          <w:t>Về các tác giả</w:t>
        </w:r>
      </w:hyperlink>
    </w:p>
    <w:p>
      <w:pPr>
        <w:pStyle w:val="Normal"/>
        <w:ind w:left="0" w:firstLineChars="0" w:firstLine="0" w:leftChars="200"/>
      </w:pPr>
      <w:hyperlink w:anchor="Top_of_12_08_Article_summary_xht">
        <w:r>
          <w:rPr>
            <w:color w:val="0000FF" w:themeColor="hyperlink"/>
            <w:u w:val="single"/>
          </w:rPr>
          <w:t>Tóm tắt bài viết</w:t>
        </w:r>
      </w:hyperlink>
    </w:p>
    <w:p>
      <w:pPr>
        <w:pStyle w:val="Normal"/>
        <w:ind w:left="0" w:firstLineChars="0" w:firstLine="0" w:leftChars="0"/>
      </w:pPr>
      <w:hyperlink w:anchor="Top_of_13_00_Cover_xhtml">
        <w:r>
          <w:rPr>
            <w:color w:val="0000FF" w:themeColor="hyperlink"/>
            <w:u w:val="single"/>
          </w:rPr>
          <w:t>Bẫy đại dương đỏ</w:t>
        </w:r>
      </w:hyperlink>
    </w:p>
    <w:p>
      <w:pPr>
        <w:pStyle w:val="Normal"/>
        <w:ind w:left="0" w:firstLineChars="0" w:firstLine="0" w:leftChars="200"/>
      </w:pPr>
      <w:hyperlink w:anchor="Top_of_13_05_chapter_xhtml">
        <w:r>
          <w:rPr>
            <w:color w:val="0000FF" w:themeColor="hyperlink"/>
            <w:u w:val="single"/>
          </w:rPr>
          <w:t>Bẫy đại dương đỏ</w:t>
        </w:r>
      </w:hyperlink>
    </w:p>
    <w:p>
      <w:pPr>
        <w:pStyle w:val="Normal"/>
        <w:ind w:left="0" w:firstLineChars="0" w:firstLine="0" w:leftChars="200"/>
      </w:pPr>
      <w:hyperlink w:anchor="Top_of_13_06_Authors_xhtml">
        <w:r>
          <w:rPr>
            <w:color w:val="0000FF" w:themeColor="hyperlink"/>
            <w:u w:val="single"/>
          </w:rPr>
          <w:t>Về các tác giả</w:t>
        </w:r>
      </w:hyperlink>
    </w:p>
    <w:p>
      <w:pPr>
        <w:pStyle w:val="Normal"/>
        <w:ind w:left="0" w:firstLineChars="0" w:firstLine="0" w:leftChars="200"/>
      </w:pPr>
      <w:hyperlink w:anchor="Top_of_13_07_Authors_also_xhtml">
        <w:r>
          <w:rPr>
            <w:color w:val="0000FF" w:themeColor="hyperlink"/>
            <w:u w:val="single"/>
          </w:rPr>
          <w:t>Các tác phẩm khác của các tác giả này</w:t>
        </w:r>
      </w:hyperlink>
    </w:p>
    <w:p>
      <w:pPr>
        <w:pStyle w:val="Normal"/>
        <w:ind w:left="0" w:firstLineChars="0" w:firstLine="0" w:leftChars="200"/>
      </w:pPr>
      <w:hyperlink w:anchor="Top_of_13_08_Article_summary_xht">
        <w:r>
          <w:rPr>
            <w:color w:val="0000FF" w:themeColor="hyperlink"/>
            <w:u w:val="single"/>
          </w:rPr>
          <w:t>Tóm tắt bài viết</w:t>
        </w:r>
      </w:hyperlink>
    </w:p>
    <w:p>
      <w:pPr>
        <w:pStyle w:val="Normal"/>
        <w:ind w:left="0" w:firstLineChars="0" w:firstLine="0" w:leftChars="0"/>
      </w:pPr>
      <w:hyperlink w:anchor="Top_of_14_cover_xhtml">
        <w:r>
          <w:rPr>
            <w:color w:val="0000FF" w:themeColor="hyperlink"/>
            <w:u w:val="single"/>
          </w:rPr>
          <w:t>Cận thị Marketing</w:t>
        </w:r>
      </w:hyperlink>
    </w:p>
    <w:p>
      <w:pPr>
        <w:pStyle w:val="Normal"/>
        <w:ind w:left="0" w:firstLineChars="0" w:firstLine="0" w:leftChars="200"/>
      </w:pPr>
      <w:hyperlink w:anchor="Top_of_14_Review_xhtml">
        <w:r>
          <w:rPr>
            <w:color w:val="0000FF" w:themeColor="hyperlink"/>
            <w:u w:val="single"/>
          </w:rPr>
          <w:t>Cận thị Marketing</w:t>
        </w:r>
      </w:hyperlink>
    </w:p>
    <w:p>
      <w:pPr>
        <w:pStyle w:val="Normal"/>
        <w:ind w:left="0" w:firstLineChars="0" w:firstLine="0" w:leftChars="400"/>
      </w:pPr>
      <w:hyperlink w:anchor="FATEFUL_PURPOSES">
        <w:r>
          <w:rPr>
            <w:color w:val="0000FF" w:themeColor="hyperlink"/>
            <w:u w:val="single"/>
          </w:rPr>
          <w:t>Những mục đích trọng đại</w:t>
        </w:r>
      </w:hyperlink>
    </w:p>
    <w:p>
      <w:pPr>
        <w:pStyle w:val="Normal"/>
        <w:ind w:left="0" w:firstLineChars="0" w:firstLine="0" w:leftChars="600"/>
      </w:pPr>
      <w:hyperlink w:anchor="Error_of_Analysis">
        <w:r>
          <w:rPr>
            <w:color w:val="0000FF" w:themeColor="hyperlink"/>
            <w:u w:val="single"/>
          </w:rPr>
          <w:t>Sai lầm trong phân tích</w:t>
        </w:r>
      </w:hyperlink>
    </w:p>
    <w:p>
      <w:pPr>
        <w:pStyle w:val="Normal"/>
        <w:ind w:left="0" w:firstLineChars="0" w:firstLine="0" w:leftChars="400"/>
      </w:pPr>
      <w:hyperlink w:anchor="SHADOW_OF_OBSOLESCENCE">
        <w:r>
          <w:rPr>
            <w:color w:val="0000FF" w:themeColor="hyperlink"/>
            <w:u w:val="single"/>
          </w:rPr>
          <w:t>Bóng đen của sự lỗi thời</w:t>
        </w:r>
      </w:hyperlink>
    </w:p>
    <w:p>
      <w:pPr>
        <w:pStyle w:val="Normal"/>
        <w:ind w:left="0" w:firstLineChars="0" w:firstLine="0" w:leftChars="600"/>
      </w:pPr>
      <w:hyperlink w:anchor="Dry_Cleaning">
        <w:r>
          <w:rPr>
            <w:color w:val="0000FF" w:themeColor="hyperlink"/>
            <w:u w:val="single"/>
          </w:rPr>
          <w:t>Giặt khô</w:t>
        </w:r>
      </w:hyperlink>
    </w:p>
    <w:p>
      <w:pPr>
        <w:pStyle w:val="Normal"/>
        <w:ind w:left="0" w:firstLineChars="0" w:firstLine="0" w:leftChars="600"/>
      </w:pPr>
      <w:hyperlink w:anchor="Electric_Utilities">
        <w:r>
          <w:rPr>
            <w:color w:val="0000FF" w:themeColor="hyperlink"/>
            <w:u w:val="single"/>
          </w:rPr>
          <w:t>Các công ty điện lực</w:t>
        </w:r>
      </w:hyperlink>
    </w:p>
    <w:p>
      <w:pPr>
        <w:pStyle w:val="Normal"/>
        <w:ind w:left="0" w:firstLineChars="0" w:firstLine="0" w:leftChars="600"/>
      </w:pPr>
      <w:hyperlink w:anchor="Grocery_Stores">
        <w:r>
          <w:rPr>
            <w:color w:val="0000FF" w:themeColor="hyperlink"/>
            <w:u w:val="single"/>
          </w:rPr>
          <w:t>Cửa hàng tạp hóa</w:t>
        </w:r>
      </w:hyperlink>
    </w:p>
    <w:p>
      <w:pPr>
        <w:pStyle w:val="Normal"/>
        <w:ind w:left="0" w:firstLineChars="0" w:firstLine="0" w:leftChars="600"/>
      </w:pPr>
      <w:hyperlink w:anchor="A_Self_Deceiving_Cycle">
        <w:r>
          <w:rPr>
            <w:color w:val="0000FF" w:themeColor="hyperlink"/>
            <w:u w:val="single"/>
          </w:rPr>
          <w:t>Vòng luẩn quẩn tự lừa dối</w:t>
        </w:r>
      </w:hyperlink>
    </w:p>
    <w:p>
      <w:pPr>
        <w:pStyle w:val="Normal"/>
        <w:ind w:left="0" w:firstLineChars="0" w:firstLine="0" w:leftChars="400"/>
      </w:pPr>
      <w:hyperlink w:anchor="POPULATION_MYTH">
        <w:r>
          <w:rPr>
            <w:color w:val="0000FF" w:themeColor="hyperlink"/>
            <w:u w:val="single"/>
          </w:rPr>
          <w:t>Sự lầm tưởng về dân số</w:t>
        </w:r>
      </w:hyperlink>
    </w:p>
    <w:p>
      <w:pPr>
        <w:pStyle w:val="Normal"/>
        <w:ind w:left="0" w:firstLineChars="0" w:firstLine="0" w:leftChars="600"/>
      </w:pPr>
      <w:hyperlink w:anchor="Asking_for_Trouble">
        <w:r>
          <w:rPr>
            <w:color w:val="0000FF" w:themeColor="hyperlink"/>
            <w:u w:val="single"/>
          </w:rPr>
          <w:t>Chuốc lấy rắc rối</w:t>
        </w:r>
      </w:hyperlink>
    </w:p>
    <w:p>
      <w:pPr>
        <w:pStyle w:val="Normal"/>
        <w:ind w:left="0" w:firstLineChars="0" w:firstLine="0" w:leftChars="600"/>
      </w:pPr>
      <w:hyperlink w:anchor="The_Idea_of_Indispensability">
        <w:r>
          <w:rPr>
            <w:color w:val="0000FF" w:themeColor="hyperlink"/>
            <w:u w:val="single"/>
          </w:rPr>
          <w:t>Quan niệm về tính bất khả thay thế</w:t>
        </w:r>
      </w:hyperlink>
    </w:p>
    <w:p>
      <w:pPr>
        <w:pStyle w:val="Normal"/>
        <w:ind w:left="0" w:firstLineChars="0" w:firstLine="0" w:leftChars="600"/>
      </w:pPr>
      <w:hyperlink w:anchor="The_Perils_of_Petroleum">
        <w:r>
          <w:rPr>
            <w:color w:val="0000FF" w:themeColor="hyperlink"/>
            <w:u w:val="single"/>
          </w:rPr>
          <w:t>Những hiểm họa từ dầu mỏ</w:t>
        </w:r>
      </w:hyperlink>
    </w:p>
    <w:p>
      <w:pPr>
        <w:pStyle w:val="Normal"/>
        <w:ind w:left="0" w:firstLineChars="0" w:firstLine="0" w:leftChars="600"/>
      </w:pPr>
      <w:hyperlink w:anchor="An_Uncertain_Future">
        <w:r>
          <w:rPr>
            <w:color w:val="0000FF" w:themeColor="hyperlink"/>
            <w:u w:val="single"/>
          </w:rPr>
          <w:t>Một tương lai bất định</w:t>
        </w:r>
      </w:hyperlink>
    </w:p>
    <w:p>
      <w:pPr>
        <w:pStyle w:val="Normal"/>
        <w:ind w:left="0" w:firstLineChars="0" w:firstLine="0" w:leftChars="600"/>
      </w:pPr>
      <w:hyperlink w:anchor="Production_Pressures">
        <w:r>
          <w:rPr>
            <w:color w:val="0000FF" w:themeColor="hyperlink"/>
            <w:u w:val="single"/>
          </w:rPr>
          <w:t>Áp lực sản xuất</w:t>
        </w:r>
      </w:hyperlink>
    </w:p>
    <w:p>
      <w:pPr>
        <w:pStyle w:val="Normal"/>
        <w:ind w:left="0" w:firstLineChars="0" w:firstLine="0" w:leftChars="600"/>
      </w:pPr>
      <w:hyperlink w:anchor="A_Lag_in_Detroit">
        <w:r>
          <w:rPr>
            <w:color w:val="0000FF" w:themeColor="hyperlink"/>
            <w:u w:val="single"/>
          </w:rPr>
          <w:t>Sự chậm trễ ở Detroit</w:t>
        </w:r>
      </w:hyperlink>
    </w:p>
    <w:p>
      <w:pPr>
        <w:pStyle w:val="Normal"/>
        <w:ind w:left="0" w:firstLineChars="0" w:firstLine="0" w:leftChars="600"/>
      </w:pPr>
      <w:hyperlink w:anchor="What_Ford_Put_First">
        <w:r>
          <w:rPr>
            <w:color w:val="0000FF" w:themeColor="hyperlink"/>
            <w:u w:val="single"/>
          </w:rPr>
          <w:t>Điều Ford đặt lên hàng đầu</w:t>
        </w:r>
      </w:hyperlink>
    </w:p>
    <w:p>
      <w:pPr>
        <w:pStyle w:val="Normal"/>
        <w:ind w:left="0" w:firstLineChars="0" w:firstLine="0" w:leftChars="600"/>
      </w:pPr>
      <w:hyperlink w:anchor="Product_Provincialism">
        <w:r>
          <w:rPr>
            <w:color w:val="0000FF" w:themeColor="hyperlink"/>
            <w:u w:val="single"/>
          </w:rPr>
          <w:t>Sản phẩm mang tính địa phương</w:t>
        </w:r>
      </w:hyperlink>
    </w:p>
    <w:p>
      <w:pPr>
        <w:pStyle w:val="Normal"/>
        <w:ind w:left="0" w:firstLineChars="0" w:firstLine="0" w:leftChars="600"/>
      </w:pPr>
      <w:hyperlink w:anchor="Creative_Destruction">
        <w:r>
          <w:rPr>
            <w:color w:val="0000FF" w:themeColor="hyperlink"/>
            <w:u w:val="single"/>
          </w:rPr>
          <w:t>Phá hủy sáng tạo</w:t>
        </w:r>
      </w:hyperlink>
    </w:p>
    <w:p>
      <w:pPr>
        <w:pStyle w:val="Normal"/>
        <w:ind w:left="0" w:firstLineChars="0" w:firstLine="0" w:leftChars="400"/>
      </w:pPr>
      <w:hyperlink w:anchor="DANGERS_OF_R_D">
        <w:r>
          <w:rPr>
            <w:color w:val="0000FF" w:themeColor="hyperlink"/>
            <w:u w:val="single"/>
          </w:rPr>
          <w:t>Những nguy cơ của R&amp;D</w:t>
        </w:r>
      </w:hyperlink>
    </w:p>
    <w:p>
      <w:pPr>
        <w:pStyle w:val="Normal"/>
        <w:ind w:left="0" w:firstLineChars="0" w:firstLine="0" w:leftChars="600"/>
      </w:pPr>
      <w:hyperlink w:anchor="Marketing_Shortchanged">
        <w:r>
          <w:rPr>
            <w:color w:val="0000FF" w:themeColor="hyperlink"/>
            <w:u w:val="single"/>
          </w:rPr>
          <w:t>Marketing bị thiệt thòi</w:t>
        </w:r>
      </w:hyperlink>
    </w:p>
    <w:p>
      <w:pPr>
        <w:pStyle w:val="Normal"/>
        <w:ind w:left="0" w:firstLineChars="0" w:firstLine="0" w:leftChars="600"/>
      </w:pPr>
      <w:hyperlink w:anchor="Stepchild_Treatment">
        <w:r>
          <w:rPr>
            <w:color w:val="0000FF" w:themeColor="hyperlink"/>
            <w:u w:val="single"/>
          </w:rPr>
          <w:t>Sự đối xử như con ghẻ</w:t>
        </w:r>
      </w:hyperlink>
    </w:p>
    <w:p>
      <w:pPr>
        <w:pStyle w:val="Normal"/>
        <w:ind w:left="0" w:firstLineChars="0" w:firstLine="0" w:leftChars="600"/>
      </w:pPr>
      <w:hyperlink w:anchor="The_Beginning_and_End">
        <w:r>
          <w:rPr>
            <w:color w:val="0000FF" w:themeColor="hyperlink"/>
            <w:u w:val="single"/>
          </w:rPr>
          <w:t>Khởi đầu và kết thúc</w:t>
        </w:r>
      </w:hyperlink>
    </w:p>
    <w:p>
      <w:pPr>
        <w:pStyle w:val="Normal"/>
        <w:ind w:left="0" w:firstLineChars="0" w:firstLine="0" w:leftChars="600"/>
      </w:pPr>
      <w:hyperlink w:anchor="The_Visceral_Feel_of_Greatness">
        <w:r>
          <w:rPr>
            <w:color w:val="0000FF" w:themeColor="hyperlink"/>
            <w:u w:val="single"/>
          </w:rPr>
          <w:t>Cảm nhận thẳm sâu về sự vĩ đại</w:t>
        </w:r>
      </w:hyperlink>
    </w:p>
    <w:p>
      <w:pPr>
        <w:pStyle w:val="Normal"/>
        <w:ind w:left="0" w:firstLineChars="0" w:firstLine="0" w:leftChars="600"/>
      </w:pPr>
      <w:hyperlink w:anchor="NOTES_1">
        <w:r>
          <w:rPr>
            <w:color w:val="0000FF" w:themeColor="hyperlink"/>
            <w:u w:val="single"/>
          </w:rPr>
          <w:t>Ghi chú</w:t>
        </w:r>
      </w:hyperlink>
    </w:p>
    <w:p>
      <w:pPr>
        <w:pStyle w:val="Normal"/>
        <w:ind w:left="0" w:firstLineChars="0" w:firstLine="0" w:leftChars="200"/>
      </w:pPr>
      <w:hyperlink w:anchor="Top_of_14_Author_xhtml">
        <w:r>
          <w:rPr>
            <w:color w:val="0000FF" w:themeColor="hyperlink"/>
            <w:u w:val="single"/>
          </w:rPr>
          <w:t>Về tác giả</w:t>
        </w:r>
      </w:hyperlink>
    </w:p>
    <w:p>
      <w:pPr>
        <w:pStyle w:val="Normal"/>
        <w:ind w:left="0" w:firstLineChars="0" w:firstLine="0" w:leftChars="200"/>
      </w:pPr>
      <w:hyperlink w:anchor="Top_of_14_Author1_xhtml">
        <w:r>
          <w:rPr>
            <w:color w:val="0000FF" w:themeColor="hyperlink"/>
            <w:u w:val="single"/>
          </w:rPr>
          <w:t>Cũng của tác giả này</w:t>
        </w:r>
      </w:hyperlink>
    </w:p>
    <w:p>
      <w:pPr>
        <w:pStyle w:val="Normal"/>
        <w:ind w:left="0" w:firstLineChars="0" w:firstLine="0" w:leftChars="200"/>
      </w:pPr>
      <w:hyperlink w:anchor="Top_of_14_Summary_xhtml">
        <w:r>
          <w:rPr>
            <w:color w:val="0000FF" w:themeColor="hyperlink"/>
            <w:u w:val="single"/>
          </w:rPr>
          <w:t>Tóm tắt bài viết</w:t>
        </w:r>
      </w:hyperlink>
    </w:p>
    <w:p>
      <w:pPr>
        <w:pStyle w:val="Normal"/>
        <w:ind w:left="0" w:firstLineChars="0" w:firstLine="0" w:leftChars="400"/>
      </w:pPr>
      <w:hyperlink w:anchor="The_Idea_in_Brief">
        <w:r>
          <w:rPr>
            <w:color w:val="0000FF" w:themeColor="hyperlink"/>
            <w:u w:val="single"/>
          </w:rPr>
          <w:t>Ý tưởng cốt lõi</w:t>
        </w:r>
      </w:hyperlink>
    </w:p>
    <w:p>
      <w:pPr>
        <w:pStyle w:val="Normal"/>
        <w:ind w:left="0" w:firstLineChars="0" w:firstLine="0" w:leftChars="400"/>
      </w:pPr>
      <w:hyperlink w:anchor="The_Idea_in_Practice">
        <w:r>
          <w:rPr>
            <w:color w:val="0000FF" w:themeColor="hyperlink"/>
            <w:u w:val="single"/>
          </w:rPr>
          <w:t>Ý tưởng trong thực tiễn</w:t>
        </w:r>
      </w:hyperlink>
    </w:p>
    <w:p>
      <w:pPr>
        <w:pStyle w:val="Normal"/>
        <w:ind w:left="0" w:firstLineChars="0" w:firstLine="0" w:leftChars="0"/>
      </w:pPr>
      <w:hyperlink w:anchor="Top_of_15_01_cover_xhtml">
        <w:r>
          <w:rPr>
            <w:color w:val="0000FF" w:themeColor="hyperlink"/>
            <w:u w:val="single"/>
          </w:rPr>
          <w:t>Bạn có muốn giữ chân khách hàng mãi mãi?</w:t>
        </w:r>
      </w:hyperlink>
    </w:p>
    <w:p>
      <w:pPr>
        <w:pStyle w:val="Normal"/>
        <w:ind w:left="0" w:firstLineChars="0" w:firstLine="0" w:leftChars="200"/>
      </w:pPr>
      <w:hyperlink w:anchor="Top_of_15_07_Chapter_01_xhtml">
        <w:r>
          <w:rPr>
            <w:color w:val="0000FF" w:themeColor="hyperlink"/>
            <w:u w:val="single"/>
          </w:rPr>
          <w:t>Bạn có muốn giữ chân khách hàng mãi mãi?</w:t>
        </w:r>
      </w:hyperlink>
    </w:p>
    <w:p>
      <w:pPr>
        <w:pStyle w:val="Normal"/>
        <w:ind w:left="0" w:firstLineChars="0" w:firstLine="0" w:leftChars="400"/>
      </w:pPr>
      <w:hyperlink w:anchor="s1">
        <w:r>
          <w:rPr>
            <w:color w:val="0000FF" w:themeColor="hyperlink"/>
            <w:u w:val="single"/>
          </w:rPr>
          <w:t>Từ sản xuất hàng loạt đến cá nhân hóa hàng loạt</w:t>
        </w:r>
      </w:hyperlink>
    </w:p>
    <w:p>
      <w:pPr>
        <w:pStyle w:val="Normal"/>
        <w:ind w:left="0" w:firstLineChars="0" w:firstLine="0" w:leftChars="400"/>
      </w:pPr>
      <w:hyperlink w:anchor="s2">
        <w:r>
          <w:rPr>
            <w:color w:val="0000FF" w:themeColor="hyperlink"/>
            <w:u w:val="single"/>
          </w:rPr>
          <w:t>Khi nào thì các mối quan hệ học hỏi là phù hợp?</w:t>
        </w:r>
      </w:hyperlink>
    </w:p>
    <w:p>
      <w:pPr>
        <w:pStyle w:val="Normal"/>
        <w:ind w:left="0" w:firstLineChars="0" w:firstLine="0" w:leftChars="400"/>
      </w:pPr>
      <w:hyperlink w:anchor="s3">
        <w:r>
          <w:rPr>
            <w:color w:val="0000FF" w:themeColor="hyperlink"/>
            <w:u w:val="single"/>
          </w:rPr>
          <w:t>Cạnh tranh giành khách hàng cuối cùng</w:t>
        </w:r>
      </w:hyperlink>
    </w:p>
    <w:p>
      <w:pPr>
        <w:pStyle w:val="Normal"/>
        <w:ind w:left="0" w:firstLineChars="0" w:firstLine="0" w:leftChars="400"/>
      </w:pPr>
      <w:hyperlink w:anchor="s4">
        <w:r>
          <w:rPr>
            <w:color w:val="0000FF" w:themeColor="hyperlink"/>
            <w:u w:val="single"/>
          </w:rPr>
          <w:t>Cách xây dựng mối quan hệ học hỏi</w:t>
        </w:r>
      </w:hyperlink>
    </w:p>
    <w:p>
      <w:pPr>
        <w:pStyle w:val="Normal"/>
        <w:ind w:left="0" w:firstLineChars="0" w:firstLine="0" w:leftChars="400"/>
      </w:pPr>
      <w:hyperlink w:anchor="s5">
        <w:r>
          <w:rPr>
            <w:color w:val="0000FF" w:themeColor="hyperlink"/>
            <w:u w:val="single"/>
          </w:rPr>
          <w:t>Trở thành nhà môi giới học hỏi</w:t>
        </w:r>
      </w:hyperlink>
    </w:p>
    <w:p>
      <w:pPr>
        <w:pStyle w:val="Normal"/>
        <w:ind w:left="0" w:firstLineChars="0" w:firstLine="0" w:leftChars="200"/>
      </w:pPr>
      <w:hyperlink w:anchor="Top_of_15_09_Author1_xhtml">
        <w:r>
          <w:rPr>
            <w:color w:val="0000FF" w:themeColor="hyperlink"/>
            <w:u w:val="single"/>
          </w:rPr>
          <w:t>Về các tác giả này</w:t>
        </w:r>
      </w:hyperlink>
    </w:p>
    <w:p>
      <w:pPr>
        <w:pStyle w:val="Normal"/>
        <w:ind w:left="0" w:firstLineChars="0" w:firstLine="0" w:leftChars="200"/>
      </w:pPr>
      <w:hyperlink w:anchor="Top_of_15_10_Author2_xhtml">
        <w:r>
          <w:rPr>
            <w:color w:val="0000FF" w:themeColor="hyperlink"/>
            <w:u w:val="single"/>
          </w:rPr>
          <w:t>Cũng của các tác giả này</w:t>
        </w:r>
      </w:hyperlink>
    </w:p>
    <w:p>
      <w:pPr>
        <w:pStyle w:val="Normal"/>
        <w:ind w:left="0" w:firstLineChars="0" w:firstLine="0" w:leftChars="0"/>
      </w:pPr>
      <w:hyperlink w:anchor="Top_of_16_01_cover_xhtml">
        <w:r>
          <w:rPr>
            <w:color w:val="0000FF" w:themeColor="hyperlink"/>
            <w:u w:val="single"/>
          </w:rPr>
          <w:t>Cách viết một kế hoạch kinh doanh tuyệt vời</w:t>
        </w:r>
      </w:hyperlink>
    </w:p>
    <w:p>
      <w:pPr>
        <w:pStyle w:val="Normal"/>
        <w:ind w:left="0" w:firstLineChars="0" w:firstLine="0" w:leftChars="200"/>
      </w:pPr>
      <w:hyperlink w:anchor="Top_of_16_07_Chapter_xhtml">
        <w:r>
          <w:rPr>
            <w:color w:val="0000FF" w:themeColor="hyperlink"/>
            <w:u w:val="single"/>
          </w:rPr>
          <w:t>Cách viết một kế hoạch kinh doanh tuyệt vời</w:t>
        </w:r>
      </w:hyperlink>
    </w:p>
    <w:p>
      <w:pPr>
        <w:pStyle w:val="Normal"/>
        <w:ind w:left="0" w:firstLineChars="0" w:firstLine="0" w:leftChars="400"/>
      </w:pPr>
      <w:hyperlink w:anchor="THE_PEOPLE">
        <w:r>
          <w:rPr>
            <w:color w:val="0000FF" w:themeColor="hyperlink"/>
            <w:u w:val="single"/>
          </w:rPr>
          <w:t>Con người</w:t>
        </w:r>
      </w:hyperlink>
    </w:p>
    <w:p>
      <w:pPr>
        <w:pStyle w:val="Normal"/>
        <w:ind w:left="0" w:firstLineChars="0" w:firstLine="0" w:leftChars="400"/>
      </w:pPr>
      <w:hyperlink w:anchor="THE_OPPORTUNITY">
        <w:r>
          <w:rPr>
            <w:color w:val="0000FF" w:themeColor="hyperlink"/>
            <w:u w:val="single"/>
          </w:rPr>
          <w:t>Cơ hội</w:t>
        </w:r>
      </w:hyperlink>
    </w:p>
    <w:p>
      <w:pPr>
        <w:pStyle w:val="Normal"/>
        <w:ind w:left="0" w:firstLineChars="0" w:firstLine="0" w:leftChars="400"/>
      </w:pPr>
      <w:hyperlink w:anchor="THE_CONTEXT">
        <w:r>
          <w:rPr>
            <w:color w:val="0000FF" w:themeColor="hyperlink"/>
            <w:u w:val="single"/>
          </w:rPr>
          <w:t>Bối cảnh</w:t>
        </w:r>
      </w:hyperlink>
    </w:p>
    <w:p>
      <w:pPr>
        <w:pStyle w:val="Normal"/>
        <w:ind w:left="0" w:firstLineChars="0" w:firstLine="0" w:leftChars="400"/>
      </w:pPr>
      <w:hyperlink w:anchor="RISK_AND_REWARD">
        <w:r>
          <w:rPr>
            <w:color w:val="0000FF" w:themeColor="hyperlink"/>
            <w:u w:val="single"/>
          </w:rPr>
          <w:t>Rủi ro và Phần thưởng</w:t>
        </w:r>
      </w:hyperlink>
    </w:p>
    <w:p>
      <w:pPr>
        <w:pStyle w:val="Normal"/>
        <w:ind w:left="0" w:firstLineChars="0" w:firstLine="0" w:leftChars="400"/>
      </w:pPr>
      <w:hyperlink w:anchor="THE_DEAL_AND_BEYOND">
        <w:r>
          <w:rPr>
            <w:color w:val="0000FF" w:themeColor="hyperlink"/>
            <w:u w:val="single"/>
          </w:rPr>
          <w:t>Thương vụ và Hơn thế nữa</w:t>
        </w:r>
      </w:hyperlink>
    </w:p>
    <w:p>
      <w:pPr>
        <w:pStyle w:val="Normal"/>
        <w:ind w:left="0" w:firstLineChars="0" w:firstLine="0" w:leftChars="400"/>
      </w:pPr>
      <w:hyperlink w:anchor="BEWARE_THE_ALBATROSS">
        <w:r>
          <w:rPr>
            <w:color w:val="0000FF" w:themeColor="hyperlink"/>
            <w:u w:val="single"/>
          </w:rPr>
          <w:t>Coi chừng con chim hải âu</w:t>
        </w:r>
      </w:hyperlink>
    </w:p>
    <w:p>
      <w:pPr>
        <w:pStyle w:val="Normal"/>
        <w:ind w:left="0" w:firstLineChars="0" w:firstLine="0" w:leftChars="200"/>
      </w:pPr>
      <w:hyperlink w:anchor="Top_of_16_08_about_xhtml">
        <w:r>
          <w:rPr>
            <w:color w:val="0000FF" w:themeColor="hyperlink"/>
            <w:u w:val="single"/>
          </w:rPr>
          <w:t>Về tác giả</w:t>
        </w:r>
      </w:hyperlink>
    </w:p>
    <w:p>
      <w:pPr>
        <w:pStyle w:val="Normal"/>
        <w:ind w:left="0" w:firstLineChars="0" w:firstLine="0" w:leftChars="200"/>
      </w:pPr>
      <w:hyperlink w:anchor="Top_of_16_09_also_xhtml">
        <w:r>
          <w:rPr>
            <w:color w:val="0000FF" w:themeColor="hyperlink"/>
            <w:u w:val="single"/>
          </w:rPr>
          <w:t>Các tác phẩm khác của tác giả này</w:t>
        </w:r>
      </w:hyperlink>
      <w:r>
        <w:fldChar w:fldCharType="end"/>
      </w:r>
    </w:p>
    <w:p>
      <w:bookmarkStart w:id="1" w:name="sbo_rt_content"/>
      <w:bookmarkStart w:id="2" w:name="a01"/>
      <w:pPr>
        <w:pStyle w:val="Para 074"/>
        <w:pageBreakBefore w:val="on"/>
      </w:pPr>
      <w:r>
        <w:drawing>
          <wp:anchor distL="0" distR="0" distT="0" distB="0" simplePos="0" relativeHeight="1" behindDoc="0" locked="0" layoutInCell="1" allowOverlap="1">
            <wp:simplePos x="0" y="0"/>
            <wp:positionH relativeFrom="margin">
              <wp:align>left</wp:align>
            </wp:positionH>
            <wp:positionV relativeFrom="line">
              <wp:align>top</wp:align>
            </wp:positionV>
            <wp:extent cx="5372100" cy="8229600"/>
            <wp:effectExtent l="0" r="0" t="0" b="0"/>
            <wp:wrapTopAndBottom/>
            <wp:docPr id="1" name="2600_cover.jpg" descr="cover"/>
            <wp:cNvGraphicFramePr>
              <a:graphicFrameLocks noChangeAspect="1"/>
            </wp:cNvGraphicFramePr>
            <a:graphic>
              <a:graphicData uri="http://schemas.openxmlformats.org/drawingml/2006/picture">
                <pic:pic>
                  <pic:nvPicPr>
                    <pic:cNvPr id="0" name="2600_cover.jpg" descr="cover"/>
                    <pic:cNvPicPr/>
                  </pic:nvPicPr>
                  <pic:blipFill>
                    <a:blip r:embed="rId5"/>
                    <a:stretch>
                      <a:fillRect/>
                    </a:stretch>
                  </pic:blipFill>
                  <pic:spPr>
                    <a:xfrm>
                      <a:off x="0" y="0"/>
                      <a:ext cx="5372100" cy="8229600"/>
                    </a:xfrm>
                    <a:prstGeom prst="rect">
                      <a:avLst/>
                    </a:prstGeom>
                  </pic:spPr>
                </pic:pic>
              </a:graphicData>
            </a:graphic>
          </wp:anchor>
        </w:drawing>
      </w:r>
      <w:bookmarkEnd w:id="1"/>
      <w:bookmarkEnd w:id="2"/>
    </w:p>
    <w:p>
      <w:bookmarkStart w:id="3" w:name="Top_of_0_title_xhtml"/>
      <w:bookmarkStart w:id="4" w:name="HBR_Classics_Boxed_Set_Harvard_B"/>
      <w:pPr>
        <w:pStyle w:val="Para 181"/>
        <w:pageBreakBefore w:val="on"/>
      </w:pPr>
      <w:r>
        <w:t>Bộ sách HBR Classics</w:t>
      </w:r>
      <w:bookmarkEnd w:id="3"/>
      <w:bookmarkEnd w:id="4"/>
    </w:p>
    <w:p>
      <w:pPr>
        <w:pStyle w:val="Para 026"/>
      </w:pPr>
      <w:r>
        <w:t>Harvard Business Review</w:t>
      </w:r>
    </w:p>
    <w:p>
      <w:bookmarkStart w:id="5" w:name="Top_of_0_content_xhtml"/>
      <w:bookmarkStart w:id="6" w:name="Contents_Teaching_Smart_People_H"/>
      <w:pPr>
        <w:pStyle w:val="Para 026"/>
        <w:pageBreakBefore w:val="on"/>
      </w:pPr>
      <w:r>
        <w:t>Mục lục</w:t>
      </w:r>
      <w:bookmarkEnd w:id="5"/>
      <w:bookmarkEnd w:id="6"/>
    </w:p>
    <w:p>
      <w:pPr>
        <w:pStyle w:val="Para 027"/>
      </w:pPr>
      <w:r>
        <w:t>Dạy người thông minh cách học hỏi</w:t>
      </w:r>
    </w:p>
    <w:p>
      <w:pPr>
        <w:pStyle w:val="Para 028"/>
      </w:pPr>
      <w:r>
        <w:t>Chris Argyris</w:t>
      </w:r>
    </w:p>
    <w:p>
      <w:pPr>
        <w:pStyle w:val="Para 027"/>
      </w:pPr>
      <w:r>
        <w:t>Bạn sẽ đo lường cuộc đời mình như thế nào?</w:t>
      </w:r>
    </w:p>
    <w:p>
      <w:pPr>
        <w:pStyle w:val="Para 028"/>
      </w:pPr>
      <w:r>
        <w:t>Clayton M. Christensen</w:t>
      </w:r>
    </w:p>
    <w:p>
      <w:pPr>
        <w:pStyle w:val="Para 027"/>
      </w:pPr>
      <w:r>
        <w:t>Biến mục tiêu thành kết quả</w:t>
      </w:r>
    </w:p>
    <w:p>
      <w:pPr>
        <w:pStyle w:val="Para 028"/>
      </w:pPr>
      <w:r>
        <w:t>Jim Collins</w:t>
      </w:r>
    </w:p>
    <w:p>
      <w:pPr>
        <w:pStyle w:val="Para 027"/>
      </w:pPr>
      <w:r>
        <w:t>Quản lý bản thân</w:t>
      </w:r>
    </w:p>
    <w:p>
      <w:pPr>
        <w:pStyle w:val="Para 028"/>
      </w:pPr>
      <w:r>
        <w:t>Peter F. Drucker</w:t>
      </w:r>
    </w:p>
    <w:p>
      <w:pPr>
        <w:pStyle w:val="Para 027"/>
      </w:pPr>
      <w:r>
        <w:t>Lý thuyết về doanh nghiệp</w:t>
      </w:r>
    </w:p>
    <w:p>
      <w:pPr>
        <w:pStyle w:val="Para 028"/>
      </w:pPr>
      <w:r>
        <w:t>Peter F. Drucker</w:t>
      </w:r>
    </w:p>
    <w:p>
      <w:pPr>
        <w:pStyle w:val="Para 027"/>
      </w:pPr>
      <w:r>
        <w:t>Điều gì tạo nên một nhà điều hành hiệu quả?</w:t>
      </w:r>
    </w:p>
    <w:p>
      <w:pPr>
        <w:pStyle w:val="Para 028"/>
      </w:pPr>
      <w:r>
        <w:t>Peter F. Drucker</w:t>
      </w:r>
    </w:p>
    <w:p>
      <w:pPr>
        <w:pStyle w:val="Para 027"/>
      </w:pPr>
      <w:r>
        <w:t>Quản lý sếp của bạn</w:t>
      </w:r>
    </w:p>
    <w:p>
      <w:pPr>
        <w:pStyle w:val="Para 028"/>
      </w:pPr>
      <w:r>
        <w:t>John J. Gabarro and John P. Kotter</w:t>
      </w:r>
    </w:p>
    <w:p>
      <w:pPr>
        <w:pStyle w:val="Para 027"/>
      </w:pPr>
      <w:r>
        <w:t>Lãnh đạo tạo ra kết quả</w:t>
      </w:r>
    </w:p>
    <w:p>
      <w:pPr>
        <w:pStyle w:val="Para 028"/>
      </w:pPr>
      <w:r>
        <w:t>Daniel Goleman</w:t>
      </w:r>
    </w:p>
    <w:p>
      <w:pPr>
        <w:pStyle w:val="Para 027"/>
      </w:pPr>
      <w:r>
        <w:t>Điều gì tạo nên một nhà lãnh đạo?</w:t>
      </w:r>
    </w:p>
    <w:p>
      <w:pPr>
        <w:pStyle w:val="Para 028"/>
      </w:pPr>
      <w:r>
        <w:t>Daniel Goleman</w:t>
      </w:r>
    </w:p>
    <w:p>
      <w:pPr>
        <w:pStyle w:val="Para 027"/>
      </w:pPr>
      <w:r>
        <w:t>Ý định chiến lược</w:t>
      </w:r>
    </w:p>
    <w:p>
      <w:pPr>
        <w:pStyle w:val="Para 028"/>
      </w:pPr>
      <w:r>
        <w:t>Gary Hamel and C. K. Prahalad</w:t>
      </w:r>
    </w:p>
    <w:p>
      <w:pPr>
        <w:pStyle w:val="Para 027"/>
      </w:pPr>
      <w:r>
        <w:t>Kỷ luật của các đội nhóm</w:t>
      </w:r>
    </w:p>
    <w:p>
      <w:pPr>
        <w:pStyle w:val="Para 028"/>
      </w:pPr>
      <w:r>
        <w:t>Jon R. Katzenbach and Douglas K. Smith</w:t>
      </w:r>
    </w:p>
    <w:p>
      <w:pPr>
        <w:pStyle w:val="Para 027"/>
      </w:pPr>
      <w:r>
        <w:t>Lãnh đạo Đại dương Xanh (Blue Ocean Leadership)</w:t>
      </w:r>
    </w:p>
    <w:p>
      <w:pPr>
        <w:pStyle w:val="Para 028"/>
      </w:pPr>
      <w:r>
        <w:t>W. Chan Kim and Renée Mauborgne</w:t>
      </w:r>
    </w:p>
    <w:p>
      <w:pPr>
        <w:pStyle w:val="Para 027"/>
      </w:pPr>
      <w:r>
        <w:t>Bẫy Đại dương Đỏ (Red Ocean Traps)</w:t>
      </w:r>
    </w:p>
    <w:p>
      <w:pPr>
        <w:pStyle w:val="Para 028"/>
      </w:pPr>
      <w:r>
        <w:t>W. Chan Kim and Renée Mauborgne</w:t>
      </w:r>
    </w:p>
    <w:p>
      <w:pPr>
        <w:pStyle w:val="Para 027"/>
      </w:pPr>
      <w:r>
        <w:t>Cận thị Marketing (Marketing Myopia)</w:t>
      </w:r>
    </w:p>
    <w:p>
      <w:pPr>
        <w:pStyle w:val="Para 028"/>
      </w:pPr>
      <w:r>
        <w:t>Theodore Levitt</w:t>
      </w:r>
    </w:p>
    <w:p>
      <w:pPr>
        <w:pStyle w:val="Para 027"/>
      </w:pPr>
      <w:r>
        <w:t>Bạn có muốn giữ chân khách hàng của mình mãi mãi không?</w:t>
      </w:r>
    </w:p>
    <w:p>
      <w:pPr>
        <w:pStyle w:val="Para 028"/>
      </w:pPr>
      <w:r>
        <w:t>B. Joseph Pine II, Don Peppers, and Martha Rogers</w:t>
      </w:r>
    </w:p>
    <w:p>
      <w:pPr>
        <w:pStyle w:val="Para 027"/>
      </w:pPr>
      <w:r>
        <w:t>Làm thế nào để viết một kế hoạch kinh doanh tuyệt vời</w:t>
      </w:r>
    </w:p>
    <w:p>
      <w:pPr>
        <w:pStyle w:val="Para 028"/>
      </w:pPr>
      <w:r>
        <w:t>William A. Sahlman</w:t>
      </w:r>
    </w:p>
    <w:p>
      <w:bookmarkStart w:id="7" w:name="Harvard_Business_Review_CLASSICS"/>
      <w:bookmarkStart w:id="8" w:name="Top_of_01_Argyris_Teaching_03_ti"/>
      <w:pPr>
        <w:pStyle w:val="Para 032"/>
        <w:pageBreakBefore w:val="on"/>
      </w:pPr>
      <w:r>
        <w:bookmarkStart w:id="9" w:name="page_01_iii"/>
        <w:t/>
        <w:bookmarkEnd w:id="9"/>
        <w:t>Harvard Business Review</w:t>
      </w:r>
      <w:bookmarkEnd w:id="7"/>
      <w:bookmarkEnd w:id="8"/>
    </w:p>
    <w:p>
      <w:pPr>
        <w:pStyle w:val="Para 033"/>
      </w:pPr>
      <w:r>
        <w:t>KINH ĐIỂN</w:t>
      </w:r>
    </w:p>
    <w:p>
      <w:pPr>
        <w:pStyle w:val="Para 036"/>
      </w:pPr>
      <w:r>
        <w:t>DẠY NGƯỜI THÔNG MINH CÁCH HỌC</w:t>
      </w:r>
    </w:p>
    <w:p>
      <w:pPr>
        <w:pStyle w:val="Para 026"/>
      </w:pPr>
      <w:r>
        <w:t>Chris Argyris</w:t>
      </w:r>
    </w:p>
    <w:p>
      <w:pPr>
        <w:pStyle w:val="Para 012"/>
      </w:pPr>
      <w:r>
        <w:t>Harvard Business Review Press</w:t>
      </w:r>
    </w:p>
    <w:p>
      <w:pPr>
        <w:pStyle w:val="Para 012"/>
      </w:pPr>
      <w:r>
        <w:t>Boston, Massachusetts</w:t>
      </w:r>
    </w:p>
    <w:p>
      <w:bookmarkStart w:id="10" w:name="Top_of_01_Argyris_Teaching_04_Co"/>
      <w:bookmarkStart w:id="11" w:name="Copyright_2008_Harvard_Business"/>
      <w:pPr>
        <w:pStyle w:val="Para 031"/>
        <w:pageBreakBefore w:val="on"/>
      </w:pPr>
      <w:r>
        <w:bookmarkStart w:id="12" w:name="page_01_iv"/>
        <w:t>Bản</w:t>
        <w:bookmarkEnd w:id="12"/>
        <w:t> quyền 2008 Harvard Business School Publishing Corporation</w:t>
      </w:r>
      <w:bookmarkEnd w:id="10"/>
      <w:bookmarkEnd w:id="11"/>
    </w:p>
    <w:p>
      <w:pPr>
        <w:pStyle w:val="Para 031"/>
      </w:pPr>
      <w:r>
        <w:t xml:space="preserve">Xuất bản lần đầu trên Harvard</w:t>
      </w:r>
      <w:r>
        <w:rPr>
          <w:rStyle w:val="Text0"/>
        </w:rPr>
        <w:t> Business Review vào</w:t>
      </w:r>
      <w:r>
        <w:t xml:space="preserve"> tháng 5 năm 1991</w:t>
      </w:r>
    </w:p>
    <w:p>
      <w:pPr>
        <w:pStyle w:val="Para 031"/>
      </w:pPr>
      <w:r>
        <w:t>Mọi quyền được bảo lưu</w:t>
      </w:r>
    </w:p>
    <w:p>
      <w:pPr>
        <w:pStyle w:val="16 Block"/>
      </w:pPr>
    </w:p>
    <w:p>
      <w:pPr>
        <w:pStyle w:val="Para 031"/>
      </w:pPr>
      <w:r>
        <w:t xml:space="preserve">Không một phần nào của ấn phẩm này được sao chép, lưu trữ hoặc đưa vào hệ thống truy xuất, hoặc truyền tải dưới bất kỳ hình thức nào, bằng bất kỳ phương tiện nào (điện tử, cơ khí, sao chụp, ghi âm, hoặc cách khác) mà không có sự cho phép trước của nhà xuất bản. Các yêu cầu xin phép nên được gửi tới</w:t>
      </w:r>
      <w:r>
        <w:rPr>
          <w:rStyle w:val="Text2"/>
        </w:rPr>
        <w:t> permissions@hbsp.harvard.edu, hoặc gửi qua</w:t>
      </w:r>
      <w:r>
        <w:t> đường bưu điện tới Permissions, Harvard Business School Publishing, 60 Harvard Way, Boston, Massachusetts 02163.</w:t>
      </w:r>
    </w:p>
    <w:p>
      <w:bookmarkStart w:id="13" w:name="THE_HARVARD_BUSINESS_REVIEW_CLAS"/>
      <w:bookmarkStart w:id="14" w:name="Top_of_01_Argyris_Teaching_05_fm"/>
      <w:pPr>
        <w:pStyle w:val="Para 182"/>
        <w:pageBreakBefore w:val="on"/>
      </w:pPr>
      <w:r>
        <w:bookmarkStart w:id="15" w:name="page_01_v"/>
        <w:t/>
        <w:bookmarkEnd w:id="15"/>
        <w:t>BỘ SÁCH KINH ĐIỂN HARVARD BUSINESS REVIEW</w:t>
      </w:r>
      <w:bookmarkEnd w:id="13"/>
      <w:bookmarkEnd w:id="14"/>
    </w:p>
    <w:p>
      <w:pPr>
        <w:pStyle w:val="Normal"/>
      </w:pPr>
      <w:r>
        <w:t xml:space="preserve">Từ năm 1922,</w:t>
      </w:r>
      <w:r>
        <w:rPr>
          <w:rStyle w:val="Text0"/>
        </w:rPr>
        <w:t> Harvard Business Review là</w:t>
      </w:r>
      <w:r>
        <w:t xml:space="preserve"> nguồn cung cấp hàng đầu những ý tưởng đột phá trong thực tiễn quản lý — nhiều ý tưởng trong số đó vẫn còn vang vọng và ảnh hưởng đến chúng ta ngày nay. Loạt sách Kinh điển HBR (HBR Classics) nay mang đến cho bạn cơ hội đưa những tác phẩm nền tảng này vào tủ sách quản lý thường trực của mình. Mỗi tập sách chứa đựng một ý tưởng mang tính đột phá đã định hình các phương pháp thực hành tốt nhất và truyền cảm hứng cho vô số nhà quản lý trên toàn thế giới — và sẽ thay đổi cách bạn nghĩ về thế giới kinh doanh ngày</w:t>
        <w:bookmarkStart w:id="16" w:name="page_01_vi"/>
        <w:t> nay.</w:t>
        <w:bookmarkEnd w:id="16"/>
      </w:r>
    </w:p>
    <w:p>
      <w:bookmarkStart w:id="17" w:name="Top_of_01_Argyris_Teaching_07_Ch"/>
      <w:bookmarkStart w:id="18" w:name="Any_company_that_aspires_to_succ"/>
      <w:pPr>
        <w:pStyle w:val="Para 183"/>
        <w:pageBreakBefore w:val="on"/>
      </w:pPr>
      <w:r>
        <w:bookmarkStart w:id="19" w:name="page_01_1"/>
        <w:t>Bất</w:t>
        <w:bookmarkEnd w:id="19"/>
        <w:t xml:space="preserve"> kỳ công ty nào khao khát thành công trong môi trường kinh doanh khắc nghiệt hơn của thập niên 1990 trước tiên phải giải quyết một tình thế tiến thoái lưỡng nan cơ bản: thành công trên thị trường ngày càng phụ thuộc vào việc học hỏi, nhưng hầu hết mọi người lại không biết cách học. Hơn nữa, những thành viên trong tổ chức mà nhiều người cho là giỏi học hỏi nhất, thực tế lại không giỏi lắm. Tôi đang nói về những chuyên gia được đào tạo bài bản, năng lực cao, tận tâm cao, những</w:t>
        <w:bookmarkStart w:id="20" w:name="page_01_2"/>
        <w:t> n</w:t>
        <w:bookmarkEnd w:id="20"/>
        <w:t>gười nắm giữ các vị trí lãnh đạo chủ chốt trong các tập đoàn hiện đại.</w:t>
      </w:r>
      <w:bookmarkEnd w:id="17"/>
      <w:bookmarkEnd w:id="18"/>
    </w:p>
    <w:p>
      <w:pPr>
        <w:pStyle w:val="Normal"/>
      </w:pPr>
      <w:r>
        <w:t>Hầu hết các công ty không chỉ gặp khó khăn rất lớn trong việc giải quyết tình thế tiến thoái lưỡng nan này; họ thậm chí không nhận thức được nó tồn tại. Nguyên nhân: họ hiểu sai về học hỏi là gì và làm thế nào để tạo ra việc học hỏi. Kết quả là, họ thường mắc phải hai sai lầm trong nỗ lực trở thành một tổ chức học tập.</w:t>
      </w:r>
    </w:p>
    <w:p>
      <w:pPr>
        <w:pStyle w:val="Normal"/>
      </w:pPr>
      <w:r>
        <w:t xml:space="preserve">Thứ nhất, hầu hết mọi người định nghĩa học hỏi một cách quá hẹp chỉ như 'giải quyết vấn đề', vì vậy họ tập trung vào việc xác định và sửa chữa các lỗi trong môi trường bên ngoài. Giải quyết vấn đề là quan trọng. Nhưng nếu học hỏi muốn bền vững, các nhà quản lý và nhân viên cũng phải nhìn vào bên trong. Họ cần phản tỉnh về hành vi của chính mình, nhận ra những cách họ thường vô tình góp</w:t>
        <w:bookmarkStart w:id="21" w:name="page_01_3"/>
        <w:t> </w:t>
        <w:bookmarkEnd w:id="21"/>
        <w:t>phần vào các vấn đề của tổ chức, rồi thay đổi cách hành động. Đặc biệt, họ phải học rằng chính cách họ định nghĩa và giải quyết vấn đề có thể tự nó là nguồn gốc của vấn đề.</w:t>
      </w:r>
    </w:p>
    <w:p>
      <w:pPr>
        <w:pStyle w:val="Normal"/>
      </w:pPr>
      <w:r>
        <w:t>Tôi đã đặt ra các thuật ngữ “học vòng lặp đơn” (single-loop learning) và “học vòng lặp kép” (double-loop learning) để nắm bắt sự khác biệt quan trọng này. Để đưa ra một phép so sánh đơn giản: một bộ điều nhiệt tự động bật hệ thống sưởi bất cứ khi nào nhiệt độ trong phòng xuống dưới 68 độ là một ví dụ điển hình về học vòng lặp đơn. Một bộ điều nhiệt có thể tự hỏi: “Tại sao tôi lại được cài đặt ở 68 độ?” và sau đó khám phá xem liệu một nhiệt độ khác có thể đạt được mục tiêu sưởi ấm căn phòng một cách kinh tế hơn hay không thì sẽ tham gia vào học vòng lặp kép.</w:t>
      </w:r>
    </w:p>
    <w:p>
      <w:pPr>
        <w:pStyle w:val="Normal"/>
      </w:pPr>
      <w:r>
        <w:t xml:space="preserve">Những chuyên gia có tay nghề cao thường rất giỏi trong việc học vòng lặp đơn (single-loop learning).</w:t>
        <w:bookmarkStart w:id="22" w:name="page_01_4"/>
        <w:t> </w:t>
        <w:bookmarkEnd w:id="22"/>
        <w:t>Rốt cuộc, họ đã dành phần lớn cuộc đời để đạt được các chứng chỉ học thuật, nắm vững một hoặc nhiều lĩnh vực trí tuệ, và áp dụng những lĩnh vực đó để giải quyết các vấn đề thực tế. Nhưng trớ trêu thay, chính điều này lại giải thích tại sao các chuyên gia lại thường kém cỏi trong việc học vòng lặp kép (double-loop learning).</w:t>
      </w:r>
    </w:p>
    <w:p>
      <w:pPr>
        <w:pStyle w:val="Normal"/>
      </w:pPr>
      <w:r>
        <w:t>Nói một cách đơn giản, vì nhiều chuyên gia hầu như luôn thành công trong công việc của họ, họ hiếm khi trải qua thất bại. Và vì họ hiếm khi thất bại, họ chưa bao giờ học được cách học hỏi từ thất bại. Vì vậy, bất cứ khi nào các chiến lược học vòng lặp đơn (single-loop learning) của họ đi sai hướng, họ trở nên phòng thủ, gạt bỏ chỉ trích, và đổ lỗi cho tất cả mọi người, trừ bản thân họ. Nói ngắn gọn, khả năng học hỏi của họ ngừng lại đúng vào lúc họ cần nó nhất.</w:t>
      </w:r>
    </w:p>
    <w:p>
      <w:pPr>
        <w:pStyle w:val="Normal"/>
      </w:pPr>
      <w:r>
        <w:bookmarkStart w:id="23" w:name="page_01_5"/>
        <w:t>Xu</w:t>
        <w:bookmarkEnd w:id="23"/>
        <w:t> hướng hành xử phòng thủ của các chuyên gia góp phần làm sáng tỏ sai lầm thứ hai mà các công ty mắc phải về việc học. Giả định phổ biến là khiến mọi người học chủ yếu là vấn đề động lực. Khi mọi người có thái độ và sự cam kết đúng đắn, việc học sẽ tự động diễn ra. Vì vậy, các công ty tập trung vào việc tạo ra các cấu trúc tổ chức mới — các chương trình lương thưởng, đánh giá hiệu quả, văn hóa doanh nghiệp, v.v. — được thiết kế để tạo ra những nhân viên có động lực và tận tâm.</w:t>
      </w:r>
    </w:p>
    <w:p>
      <w:pPr>
        <w:pStyle w:val="Normal"/>
      </w:pPr>
      <w:r>
        <w:t xml:space="preserve">Nhưng học tập vòng đôi (double-loop learning) hiệu quả không chỉ đơn thuần là hệ quả của cảm xúc con người. Nó phản ánh cách họ suy nghĩ — tức là các quy tắc nhận thức hoặc lý luận mà họ sử dụng để thiết kế và thực hiện hành động của mình. Hãy coi những quy tắc này như một loại “chương trình gốc” được lưu trữ</w:t>
        <w:bookmarkStart w:id="24" w:name="page_01_6"/>
        <w:t> </w:t>
        <w:bookmarkEnd w:id="24"/>
        <w:t>trong não, chi phối mọi hành vi. Tư duy phòng thủ (defensive reasoning) có thể chặn việc học ngay cả khi cam kết của cá nhân đối với việc học rất cao, giống như một chương trình máy tính có lỗi ẩn có thể tạo ra kết quả hoàn toàn ngược lại với những gì các nhà thiết kế đã lên kế hoạch.</w:t>
      </w:r>
    </w:p>
    <w:p>
      <w:pPr>
        <w:pStyle w:val="Normal"/>
      </w:pPr>
      <w:r>
        <w:t>Các công ty có thể học cách giải quyết tình thế lưỡng nan của việc học. Điều cần thiết là làm cho cách thức mà các nhà quản lý và nhân viên lý luận về hành vi của họ trở thành trọng tâm của các chương trình học tập tổ chức (organizational learning) và cải tiến liên tục. Dạy mọi người cách lý luận về hành vi của họ theo những cách mới và hiệu quả hơn sẽ phá vỡ các cơ chế phòng thủ ngăn cản việc học.</w:t>
      </w:r>
    </w:p>
    <w:p>
      <w:pPr>
        <w:pStyle w:val="Normal"/>
      </w:pPr>
      <w:r>
        <w:t xml:space="preserve">Tất cả các ví dụ sau đây đều liên quan đến một loại chuyên gia cụ thể: các chuyên gia</w:t>
        <w:bookmarkStart w:id="25" w:name="page_01_7"/>
        <w:t> </w:t>
        <w:bookmarkEnd w:id="25"/>
        <w:t xml:space="preserve">tư vấn thăng tiến nhanh tại các công ty tư vấn quản lý lớn. Nhưng ý nghĩa của lập luận tôi đưa ra vượt xa nhóm nghề nghiệp cụ thể này. Thực tế là, ngày càng nhiều công việc—bất kể chức danh—đang mang hình dáng của “công việc tri thức” (knowledge work). Những người ở mọi cấp độ trong tổ chức phải kết hợp việc nắm vững các chuyên môn kỹ thuật rất đặc thù với khả năng làm việc nhóm hiệu quả, xây dựng mối quan hệ tốt đẹp với khách hàng, đồng thời biết suy ngẫm phê phán và thay đổi các thực tiễn hoạt động của chính tổ chức mình. Và các khâu cụ thể của việc quản lý—dù là quản lý các chuyên gia tư vấn giỏi, nhân viên dịch vụ, quản lý cấp cao hay kỹ thuật viên nhà máy—ngày càng bao gồm việc hướng dẫn và tích hợp công việc có tính tự chủ nhưng lại</w:t>
        <w:bookmarkStart w:id="26" w:name="page_01_8"/>
        <w:t> </w:t>
        <w:bookmarkEnd w:id="26"/>
        <w:t>gắn kết chặt chẽ của những người có kỹ năng cao.</w:t>
      </w:r>
    </w:p>
    <w:p>
      <w:pPr>
        <w:pStyle w:val="Heading 2"/>
      </w:pPr>
      <w:r>
        <w:bookmarkStart w:id="27" w:name="sec1"/>
        <w:t/>
        <w:bookmarkEnd w:id="27"/>
        <w:t>CÁC CHUYÊN GIA TRÁNH HỌC HỎI NHƯ THẾ NÀO</w:t>
      </w:r>
    </w:p>
    <w:p>
      <w:pPr>
        <w:pStyle w:val="Normal"/>
      </w:pPr>
      <w:r>
        <w:t xml:space="preserve">Trong 15 năm qua, tôi đã tiến hành các nghiên cứu chuyên sâu về các chuyên gia tư vấn quản lý. Tôi quyết định nghiên cứu họ vì một vài lý do đơn giản. Đầu tiên, họ là hiện thân của những chuyên gia có trình độ học vấn cao, người ngày càng đóng vai trò trung tâm trong mọi tổ chức. Gần như tất cả các chuyên gia tôi nghiên cứu đều có bằng MBA từ ba hoặc bốn trường kinh doanh hàng đầu của Mỹ. Họ cũng rất tận tâm với công việc. Ví dụ, tại một công ty, hơn 90% chuyên gia tư vấn đã</w:t>
        <w:bookmarkStart w:id="28" w:name="page_01_9"/>
        <w:t> t</w:t>
        <w:bookmarkEnd w:id="28"/>
        <w:t>rả lời trong một cuộc khảo sát rằng họ “rất hài lòng” với công việc và với công ty.</w:t>
      </w:r>
    </w:p>
    <w:p>
      <w:pPr>
        <w:pStyle w:val="Normal"/>
      </w:pPr>
      <w:r>
        <w:t>Tôi cũng cho rằng các chuyên gia tư vấn như vậy sẽ rất giỏi học hỏi. Xét cho cùng, bản chất công việc của họ là dạy người khác làm mọi việc theo cách khác đi. Tuy nhiên, tôi phát hiện ra rằng chính những chuyên gia này lại là hiện thân của tình thế lưỡng nan trong học tập. Họ là những người nhiệt tình nhất trong việc cải tiến liên tục tổ chức của mình, nhưng đồng thời lại thường là rào cản lớn nhất cho sự thành công trọn vẹn của công cuộc đó.</w:t>
      </w:r>
    </w:p>
    <w:p>
      <w:pPr>
        <w:pStyle w:val="Normal"/>
      </w:pPr>
      <w:r>
        <w:t xml:space="preserve">Chừng nào những nỗ lực học tập và thay đổi còn tập trung vào các yếu tố tổ chức bên ngoài—thiết kế lại công việc, chương trình lương thưởng, đánh giá hiệu quả công việc, và đào tạo lãnh đạo—thì các chuyên gia vẫn là những người tham gia đầy nhiệt tình. Thật vậy, việc tạo ra</w:t>
        <w:bookmarkStart w:id="29" w:name="page_01_10"/>
        <w:t> </w:t>
        <w:bookmarkEnd w:id="29"/>
        <w:t>các hệ thống và cấu trúc mới chính là loại thách thức mà những chuyên gia có học vấn cao, có động lực mạnh mẽ vô cùng hứng thú.</w:t>
      </w:r>
    </w:p>
    <w:p>
      <w:pPr>
        <w:pStyle w:val="Normal"/>
      </w:pPr>
      <w:r>
        <w:t xml:space="preserve">Và ngay khi hành trình cải tiến liên tục chuyển hướng sang hiệu suất của chính</w:t>
      </w:r>
      <w:r>
        <w:rPr>
          <w:rStyle w:val="Text0"/>
        </w:rPr>
        <w:t> </w:t>
      </w:r>
      <w:r>
        <w:t xml:space="preserve">các chuyên gia, có điều gì đó đã đi sai. Không phải vì thái độ xấu. Sự cam kết của các chuyên gia đối với sự xuất sắc là chân thành, và tầm nhìn của công ty rất rõ ràng. Tuy nhiên, cải tiến liên tục không duy trì được. Và những nỗ lực cải tiến liên tục càng kéo dài, khả năng chúng tạo ra hiệu quả ngày càng giảm sút càng lớn.</w:t>
      </w:r>
    </w:p>
    <w:p>
      <w:pPr>
        <w:pStyle w:val="Normal"/>
      </w:pPr>
      <w:r>
        <w:t xml:space="preserve">Chuyện gì đã xảy ra? Các chuyên gia bắt đầu cảm thấy xấu hổ. Họ bị đe dọa bởi viễn cảnh phải tự soi xét vai trò của</w:t>
        <w:bookmarkStart w:id="30" w:name="page_01_11"/>
        <w:t> </w:t>
        <w:bookmarkEnd w:id="30"/>
        <w:t>mình trong tổ chức. Thật vậy, vì họ được trả lương rất cao (và thường tin rằng cấp trên của họ hỗ trợ và công bằng), ý nghĩ rằng hiệu suất của mình có thể không ở mức tốt nhất khiến họ cảm thấy tội lỗi.</w:t>
      </w:r>
    </w:p>
    <w:p>
      <w:pPr>
        <w:pStyle w:val="Normal"/>
      </w:pPr>
      <w:r>
        <w:t>Không hề là chất xúc tác cho sự thay đổi thực sự, những cảm xúc này khiến hầu hết mọi người phản ứng phòng thủ. Họ đổ lỗi cho mọi vấn đề ra khỏi bản thân và chuyển sang những gì họ cho là mục tiêu không rõ ràng, lãnh đạo vô cảm và bất công, và khách hàng ngu ngốc.</w:t>
      </w:r>
    </w:p>
    <w:p>
      <w:pPr>
        <w:pStyle w:val="Normal"/>
      </w:pPr>
      <w:r>
        <w:t xml:space="preserve">Hãy xem ví dụ này. Tại một công ty tư vấn quản lý hàng đầu, quản lý của một nhóm dự án (case team) đã triệu tập cuộc họp để xem xét hiệu suất của nhóm trong một dự án tư vấn gần đây. Khách hàng về cơ bản hài lòng và đã cho nhóm điểm tương đối cao, nhưng quản lý tin rằng</w:t>
        <w:bookmarkStart w:id="31" w:name="page_01_12"/>
        <w:t> </w:t>
        <w:bookmarkEnd w:id="31"/>
        <w:t>nhóm chưa tạo ra được giá trị gia tăng (value added) mà họ có khả năng tạo ra và mà công ty tư vấn đã hứa. Trên tinh thần cải tiến liên tục (continuous improvement), anh ấy cảm thấy nhóm có thể làm tốt hơn. Thật vậy, một số thành viên trong nhóm cũng nghĩ như vậy.</w:t>
      </w:r>
    </w:p>
    <w:p>
      <w:pPr>
        <w:pStyle w:val="Normal"/>
      </w:pPr>
      <w:r>
        <w:t xml:space="preserve">Người quản lý biết việc mọi người tự phê bình về hiệu suất làm việc của chính họ khó khăn đến mức nào, đặc biệt là khi có mặt quản lý, vì vậy anh ấy đã thực hiện một số bước để tạo điều kiện cho một cuộc thảo luận thẳng thắn và cởi mở. Anh ấy mời đến cuộc họp một chuyên gia tư vấn bên ngoài mà các thành viên trong nhóm quen biết và tin tưởng—"chỉ để giữ cho tôi trung thực", anh ấy nói. Anh ấy cũng đồng ý để toàn bộ cuộc họp được ghi âm. Bằng cách đó, mọi nhầm lẫn hoặc bất đồng sau đó về những gì đã diễn ra</w:t>
        <w:bookmarkStart w:id="32" w:name="page_01_13"/>
        <w:t> </w:t>
        <w:bookmarkEnd w:id="32"/>
        <w:t>tại cuộc họp đều có thể đối chiếu với bản ghi chép (transcript). Cuối cùng, người quản lý mở đầu cuộc họp bằng cách nhấn mạnh rằng không có chủ đề nào bị giới hạn—kể cả hành vi của chính anh ấy.</w:t>
      </w:r>
    </w:p>
    <w:p>
      <w:pPr>
        <w:pStyle w:val="Normal"/>
      </w:pPr>
      <w:r>
        <w:t>"Tôi nhận ra rằng các bạn có thể tin rằng mình không thể đối đầu với tôi", người quản lý nói. "Nhưng tôi khuyến khích các bạn thách thức tôi. Các bạn có trách nhiệm nói cho tôi biết nơi nào các bạn nghĩ ban lãnh đạo đã mắc sai lầm, cũng như tôi có trách nhiệm chỉ ra những sai lầm mà tôi tin là các bạn đã mắc phải. Và tất cả chúng ta phải thừa nhận sai lầm của chính mình. Nếu chúng ta không đối thoại cởi mở, chúng ta sẽ không học hỏi được gì."</w:t>
      </w:r>
    </w:p>
    <w:p>
      <w:pPr>
        <w:pStyle w:val="Normal"/>
      </w:pPr>
      <w:r>
        <w:t xml:space="preserve">Các chuyên gia đón nhận nửa đầu lời mời của quản lý nhưng lặng lẽ bỏ qua nửa sau. Khi được yêu cầu xác định những vấn đề chính</w:t>
        <w:bookmarkStart w:id="33" w:name="page_01_14"/>
        <w:t> </w:t>
        <w:bookmarkEnd w:id="33"/>
        <w:t>trong trải nghiệm với khách hàng, họ hoàn toàn nhìn ra bên ngoài bản thân. Khách hàng thì thiếu hợp tác và kiêu ngạo. "Họ không nghĩ rằng chúng tôi có thể giúp họ." Các quản lý của nhóm thì không có mặt và chuẩn bị kém. "Đôi khi, các quản lý của chúng tôi không nắm rõ vấn đề trước khi bước vào cuộc họp với khách hàng." Thực chất, các chuyên gia khẳng định rằng họ bất lực không thể hành động khác đi—không phải vì bất kỳ hạn chế nào của bản thân mà vì hạn chế của người khác.</w:t>
      </w:r>
    </w:p>
    <w:p>
      <w:pPr>
        <w:pStyle w:val="Normal"/>
      </w:pPr>
      <w:r>
        <w:t xml:space="preserve">Người quản lý lắng nghe các thành viên trong nhóm một cách cẩn thận và cố gắng phản hồi những lời chỉ trích của họ. Anh ấy nói về những sai lầm mà mình đã mắc phải trong quá trình tư vấn. Ví dụ, một chuyên gia phản</w:t>
        <w:bookmarkStart w:id="34" w:name="page_01_15"/>
        <w:t> </w:t>
        <w:bookmarkEnd w:id="34"/>
        <w:t>đối cách người quản lý điều hành các cuộc họp dự án. “Tôi thấy rằng cách tôi đặt câu hỏi đã làm các cuộc thảo luận đi vào bế tắc,” người quản lý đáp. “Tôi không cố ý làm vậy, nhưng tôi có thể hiểu tại sao bạn lại nghĩ rằng tôi đã quyết định trước.” Một thành viên khác trong nhóm phàn nàn rằng người quản lý đã nhượng bộ trước áp lực từ cấp trên để đưa ra báo cáo dự án quá nhanh, trong khi khối lượng công việc của nhóm rất nặng. “Tôi nghĩ rằng trách nhiệm của tôi là phải nói không,” người quản lý thừa nhận. “Rõ ràng là tất cả chúng ta đều có rất nhiều việc.”</w:t>
      </w:r>
    </w:p>
    <w:p>
      <w:pPr>
        <w:pStyle w:val="Normal"/>
      </w:pPr>
      <w:r>
        <w:t xml:space="preserve">Cuối cùng, sau khoảng ba giờ thảo luận về hành vi của chính mình, người quản lý bắt đầu hỏi các thành viên trong nhóm liệu họ có thể đã mắc lỗi gì</w:t>
      </w:r>
      <w:r>
        <w:rPr>
          <w:rStyle w:val="Text0"/>
        </w:rPr>
        <w:t> không.</w:t>
      </w:r>
      <w:r>
        <w:t xml:space="preserve"> “Dù sao thì,” anh ấy nói,</w:t>
        <w:bookmarkStart w:id="35" w:name="page_01_16"/>
        <w:t> </w:t>
        <w:bookmarkEnd w:id="35"/>
        <w:t>“khách hàng này cũng không khác gì nhiều khách hàng khác. Làm thế nào chúng ta có thể hiệu quả hơn trong tương lai?”</w:t>
      </w:r>
    </w:p>
    <w:p>
      <w:pPr>
        <w:pStyle w:val="Normal"/>
      </w:pPr>
      <w:r>
        <w:t>Các chuyên gia lặp lại rằng đó thực sự là lỗi của khách hàng và của chính các nhà quản lý của họ. Như một người nói, “Họ phải cởi mở với thay đổi và muốn học hỏi.” Người quản lý càng cố gắng để nhóm xem xét trách nhiệm của chính họ đối với kết quả, thì các chuyên gia càng né tránh những mối quan tâm của anh ấy. Điều tốt nhất mà một thành viên trong nhóm có thể đề xuất là nhóm dự án nên “hứa ít hơn” — ngụ ý rằng thực sự không có cách nào để nhóm cải thiện hiệu suất của mình.</w:t>
      </w:r>
    </w:p>
    <w:p>
      <w:pPr>
        <w:pStyle w:val="Normal"/>
      </w:pPr>
      <w:r>
        <w:t xml:space="preserve">Các thành viên của nhóm dự án đã phản ứng phòng thủ để bảo vệ chính họ, mặc dù người quản lý của họ không hành động theo những cách mà người ngoài có thể coi là đe dọa. Ngay cả khi có</w:t>
        <w:bookmarkStart w:id="36" w:name="page_01_17"/>
        <w:t> </w:t>
        <w:bookmarkEnd w:id="36"/>
        <w:t>một số sự thật trong những cáo buộc của họ — khách hàng có thể đã kiêu ngạo và khép kín, và các nhà quản lý của chính họ thì xa cách — cách họ trình bày những tuyên bố này chắc chắn sẽ ngăn cản việc học hỏi. Với một số ngoại lệ, các chuyên gia đã đưa ra những quy kết về hành vi của khách hàng và các nhà quản lý nhưng không bao giờ công khai kiểm chứng những tuyên bố của họ. Ví dụ, họ nói rằng khách hàng không có động lực học hỏi nhưng không bao giờ thực sự đưa ra bằng chứng nào hỗ trợ cho nhận định đó. Khi được chỉ ra rằng họ thiếu bằng chứng cụ thể, họ chỉ lặp lại những lời chỉ trích của mình một cách gay gắt hơn.</w:t>
      </w:r>
    </w:p>
    <w:p>
      <w:pPr>
        <w:pStyle w:val="Normal"/>
      </w:pPr>
      <w:r>
        <w:t xml:space="preserve">Nếu các chuyên gia cảm thấy quá mạnh mẽ về những vấn đề này, tại sao họ không bao giờ đề cập đến chúng trong suốt dự án? Theo các chuyên gia, ngay cả điều này cũng là lỗi của người</w:t>
        <w:bookmarkStart w:id="37" w:name="page_01_18"/>
        <w:t> </w:t>
        <w:bookmarkEnd w:id="37"/>
        <w:t>khác. “Chúng tôi không muốn làm khách hàng xa lánh,” một người lý luận. “Chúng tôi không muốn bị coi là than vãn,” một người khác nói.</w:t>
      </w:r>
    </w:p>
    <w:p>
      <w:pPr>
        <w:pStyle w:val="Normal"/>
      </w:pPr>
      <w:r>
        <w:t>Các chuyên gia đang sử dụng những lời chỉ trích của họ về người khác để bảo vệ bản thân khỏi sự xấu hổ tiềm tàng khi phải thừa nhận rằng có lẽ họ cũng đã góp phần vào màn trình diễn chưa hoàn hảo của nhóm. Hơn nữa, việc họ tiếp tục lặp lại những hành động phòng thủ của mình trước những nỗ lực của người quản lý nhằm chuyển sự chú ý của nhóm sang vai trò của chính họ cho thấy rằng sự phòng thủ này đã trở thành một thói quen phản xạ. Theo quan điểm của các chuyên gia, họ không hề chống đối; họ đang tập trung vào các nguyên nhân “thực sự.” Thực sự, họ xứng đáng được tôn trọng, nếu không muốn nói là được khen ngợi, vì đã làm việc tốt như họ đã làm trong những điều kiện khó khăn như vậy.</w:t>
      </w:r>
    </w:p>
    <w:p>
      <w:pPr>
        <w:pStyle w:val="Normal"/>
      </w:pPr>
      <w:r>
        <w:bookmarkStart w:id="38" w:name="page_01_19"/>
        <w:t>Kết</w:t>
        <w:bookmarkEnd w:id="38"/>
        <w:t> quả cuối cùng là một cuộc trò chuyện song song chẳng mang lại hiệu quả gì. Cả người quản lý và các chuyên gia đều thẳng thắn; họ bày tỏ quan điểm một cách mạnh mẽ. Nhưng họ nói chuyện mà không hiểu nhau, không bao giờ tìm được tiếng nói chung để mô tả những gì đã xảy ra với khách hàng. Các chuyên gia cứ khăng khăng rằng lỗi thuộc về người khác. Người quản lý cố gắng, nhưng không thành công, để giúp các chuyên gia thấy được họ đã góp phần tạo ra tình trạng mà chính họ đang chỉ trích. Cuộc hội thoại song song này diễn ra như sau:</w:t>
      </w:r>
    </w:p>
    <w:p>
      <w:pPr>
        <w:pStyle w:val="Para 008"/>
      </w:pPr>
      <w:r>
        <w:rPr>
          <w:rStyle w:val="Text0"/>
        </w:rPr>
        <w:t>Các chuyên gia:</w:t>
      </w:r>
      <w:r>
        <w:t xml:space="preserve"> “Khách hàng phải cởi mở. Họ phải có mong muốn thay đổi.”</w:t>
      </w:r>
    </w:p>
    <w:p>
      <w:pPr>
        <w:pStyle w:val="Para 008"/>
      </w:pPr>
      <w:r>
        <w:rPr>
          <w:rStyle w:val="Text0"/>
        </w:rPr>
        <w:t>Người quản</w:t>
      </w:r>
      <w:r>
        <w:t xml:space="preserve"> lý: “Nhiệm vụ của chúng ta là giúp họ nhận ra rằng thay đổi mang lại lợi ích cho chính họ.”</w:t>
      </w:r>
    </w:p>
    <w:p>
      <w:pPr>
        <w:pStyle w:val="Para 008"/>
      </w:pPr>
      <w:r>
        <w:bookmarkStart w:id="39" w:name="page_01_20"/>
        <w:t>Các</w:t>
        <w:bookmarkEnd w:id="39"/>
      </w:r>
      <w:r>
        <w:rPr>
          <w:rStyle w:val="Text0"/>
        </w:rPr>
        <w:t> chuyên gia:</w:t>
      </w:r>
      <w:r>
        <w:t xml:space="preserve"> “Nhưng khách hàng không đồng ý với phân tích của chúng tôi.”</w:t>
      </w:r>
    </w:p>
    <w:p>
      <w:pPr>
        <w:pStyle w:val="Para 008"/>
      </w:pPr>
      <w:r>
        <w:rPr>
          <w:rStyle w:val="Text0"/>
        </w:rPr>
        <w:t>Người quản</w:t>
      </w:r>
      <w:r>
        <w:t xml:space="preserve"> lý: “Nếu họ không cho rằng ý tưởng của chúng ta là đúng, thì làm sao chúng ta có thể thuyết phục họ?”</w:t>
      </w:r>
    </w:p>
    <w:p>
      <w:pPr>
        <w:pStyle w:val="Para 008"/>
      </w:pPr>
      <w:r>
        <w:rPr>
          <w:rStyle w:val="Text0"/>
        </w:rPr>
        <w:t>Các chuyên gia:</w:t>
      </w:r>
      <w:r>
        <w:t xml:space="preserve"> “Có lẽ chúng ta cần họp nhiều hơn với khách hàng.”</w:t>
      </w:r>
    </w:p>
    <w:p>
      <w:pPr>
        <w:pStyle w:val="Para 008"/>
      </w:pPr>
      <w:r>
        <w:rPr>
          <w:rStyle w:val="Text0"/>
        </w:rPr>
        <w:t>Người quản</w:t>
      </w:r>
      <w:r>
        <w:t xml:space="preserve"> lý: “Nếu chúng ta không chuẩn bị đầy đủ và nếu khách hàng không thấy chúng ta đáng tin, thì họp nhiều hơn sẽ giúp được gì?”</w:t>
      </w:r>
    </w:p>
    <w:p>
      <w:pPr>
        <w:pStyle w:val="Para 008"/>
      </w:pPr>
      <w:r>
        <w:rPr>
          <w:rStyle w:val="Text0"/>
        </w:rPr>
        <w:t>Các chuyên gia:</w:t>
      </w:r>
      <w:r>
        <w:t xml:space="preserve"> “Cần có sự giao tiếp tốt hơn giữa các thành viên trong nhóm phụ trách vụ việc (case team) và ban quản lý.”</w:t>
      </w:r>
    </w:p>
    <w:p>
      <w:pPr>
        <w:pStyle w:val="Para 008"/>
      </w:pPr>
      <w:r>
        <w:rPr>
          <w:rStyle w:val="Text0"/>
        </w:rPr>
        <w:t>Người</w:t>
      </w:r>
      <w:r>
        <w:t xml:space="preserve"> quản lý: “Tôi đồng ý. Nhưng các chuyên gia nên chủ động giúp quản</w:t>
        <w:bookmarkStart w:id="40" w:name="page_01_21"/>
        <w:t> </w:t>
        <w:bookmarkEnd w:id="40"/>
        <w:t>lý hiểu rõ những vấn đề mà họ đang gặp phải.”</w:t>
      </w:r>
    </w:p>
    <w:p>
      <w:pPr>
        <w:pStyle w:val="Para 008"/>
      </w:pPr>
      <w:r>
        <w:rPr>
          <w:rStyle w:val="Text0"/>
        </w:rPr>
        <w:t>Các chuyên gia:</w:t>
      </w:r>
      <w:r>
        <w:t xml:space="preserve"> “Các lãnh đạo của chúng tôi luôn bận rộn và xa cách.”</w:t>
      </w:r>
    </w:p>
    <w:p>
      <w:pPr>
        <w:pStyle w:val="Para 008"/>
      </w:pPr>
      <w:r>
        <w:rPr>
          <w:rStyle w:val="Text0"/>
        </w:rPr>
        <w:t>Người quản</w:t>
      </w:r>
      <w:r>
        <w:t xml:space="preserve"> lý: “Nếu các bạn không nói ra, thì làm sao chúng tôi biết được?”</w:t>
      </w:r>
    </w:p>
    <w:p>
      <w:pPr>
        <w:pStyle w:val="Normal"/>
      </w:pPr>
      <w:r>
        <w:t xml:space="preserve">Những cuộc trò chuyện như thế này minh họa một cách rõ ràng nan đề học hỏi (learning dilemma). Vấn đề với những lời khẳng định của các chuyên gia không phải là họ sai, mà là chúng chẳng giúp ích gì. Bằng việc liên tục chuyển sự chú ý từ hành vi của bản thân sang hành vi của người khác, các chuyên gia đã khiến việc học hỏi bị dừng lại hoàn toàn. Người quản lý hiểu được cái bẫy này nhưng không biết cách thoát ra. Để học được điều đó, cần phải đi sâu hơn vào động lực của lối suy nghĩ phòng</w:t>
        <w:bookmarkStart w:id="41" w:name="page_01_22"/>
        <w:t> </w:t>
        <w:bookmarkEnd w:id="41"/>
        <w:t>thủ (defensive reasoning)—và vào những nguyên nhân đặc biệt khiến các chuyên gia dễ rơi vào lối suy nghĩ này.</w:t>
      </w:r>
    </w:p>
    <w:p>
      <w:pPr>
        <w:pStyle w:val="Heading 2"/>
      </w:pPr>
      <w:r>
        <w:bookmarkStart w:id="42" w:name="sec2"/>
        <w:t/>
        <w:bookmarkEnd w:id="42"/>
        <w:t>LỐI SUY NGHĨ PHÒNG THỦ VÀ VÒNG LẶP DIỆT VONG</w:t>
      </w:r>
    </w:p>
    <w:p>
      <w:pPr>
        <w:pStyle w:val="Normal"/>
      </w:pPr>
      <w:r>
        <w:t>Điều gì giải thích cho sự phòng thủ của các chuyên gia? Không phải thái độ của họ đối với sự thay đổi hay cam kết cải tiến liên tục; họ thực sự muốn làm việc hiệu quả hơn. Thay vào đó, yếu tố then chốt là cách họ lý giải về hành vi của bản thân và của người khác.</w:t>
      </w:r>
    </w:p>
    <w:p>
      <w:pPr>
        <w:pStyle w:val="Normal"/>
      </w:pPr>
      <w:r>
        <w:t xml:space="preserve">Không thể nào lý giải lại từ đầu trong mọi tình huống. Nếu mỗi lần ai đó hỏi “Bạn khỏe không?” mà chúng ta phải nghĩ ra mọi phản ứng có thể có, thì chúng ta sẽ bị bỏ lại phía sau. Vì</w:t>
        <w:bookmarkStart w:id="43" w:name="page_01_23"/>
        <w:t> </w:t>
        <w:bookmarkEnd w:id="43"/>
        <w:t>vậy, mỗi người đều phát triển một lý thuyết hành động (theory of action)—một bộ quy tắc mà mỗi cá nhân sử dụng để thiết kế và thực hiện hành vi của chính mình cũng như để hiểu hành vi của người khác. Thông thường, những lý thuyết hành động này trở nên hiển nhiên đến mức người ta không nhận ra là mình đang sử dụng chúng.</w:t>
      </w:r>
    </w:p>
    <w:p>
      <w:pPr>
        <w:pStyle w:val="Normal"/>
      </w:pPr>
      <w:r>
        <w:t xml:space="preserve">Tuy nhiên, một trong những nghịch lý của hành vi con người là chương trình chính mà con người thực sự sử dụng hiếm khi là thứ họ nghĩ mình đang dùng. Khi hỏi mọi người trong một cuộc phỏng vấn hoặc bảng câu hỏi để nêu rõ các quy tắc họ dùng để chi phối hành động của mình, họ sẽ đưa cho bạn cái mà tôi gọi là lý thuyết hành động “được tuyên bố” (espoused theory) của họ. Nhưng khi quan sát chính hành vi của những người này, bạn sẽ nhanh chóng thấy rằng lý thuyết được tuyên bố này chẳng liên quan mấy đến cách họ thực</w:t>
        <w:bookmarkStart w:id="44" w:name="page_01_24"/>
        <w:t> </w:t>
        <w:bookmarkEnd w:id="44"/>
        <w:t>sự hành xử. Ví dụ, các chuyên gia trong nhóm phụ trách vụ việc (case team) nói rằng họ tin vào sự cải tiến liên tục, nhưng họ lại luôn hành động theo những cách khiến việc cải tiến trở nên bất khả thi.</w:t>
      </w:r>
    </w:p>
    <w:p>
      <w:pPr>
        <w:pStyle w:val="Normal"/>
      </w:pPr>
      <w:r>
        <w:t>Khi bạn quan sát hành vi của mọi người và cố gắng tìm ra các quy tắc để giải thích hành vi đó, bạn sẽ khám phá ra một lý thuyết hành động rất khác—cái mà tôi gọi là “lý thuyết sử dụng” (theory-in-use) của cá nhân. Nói một cách đơn giản, con người luôn hành động một cách không nhất quán, mà không nhận thức được sự mâu thuẫn giữa lý thuyết được tuyên bố (espoused theory) và lý thuyết sử dụng (theory-in-use) của họ, giữa cách họ nghĩ mình đang hành động và cách họ thực sự hành động.</w:t>
      </w:r>
    </w:p>
    <w:p>
      <w:pPr>
        <w:pStyle w:val="Normal"/>
      </w:pPr>
      <w:r>
        <w:t xml:space="preserve">Hơn nữa, hầu hết các lý thuyết sử dụng (theories-in-use) đều dựa trên cùng một tập hợp các giá trị chi phối. Có vẻ như con người có xu hướng phổ quát</w:t>
        <w:bookmarkStart w:id="45" w:name="page_01_25"/>
        <w:t> </w:t>
        <w:bookmarkEnd w:id="45"/>
        <w:t>là thiết kế hành động của mình một cách nhất quán theo bốn giá trị cơ bản sau:</w:t>
      </w:r>
    </w:p>
    <w:p>
      <w:pPr>
        <w:pStyle w:val="Para 059"/>
      </w:pPr>
      <w:r>
        <w:t>1. Duy trì sự kiểm soát đơn phương;</w:t>
      </w:r>
    </w:p>
    <w:p>
      <w:pPr>
        <w:pStyle w:val="Para 059"/>
      </w:pPr>
      <w:r>
        <w:t>2. Tối đa hóa “chiến thắng” và giảm thiểu “thất bại”;</w:t>
      </w:r>
    </w:p>
    <w:p>
      <w:pPr>
        <w:pStyle w:val="Para 059"/>
      </w:pPr>
      <w:r>
        <w:t>3. Kìm nén những cảm xúc tiêu cực; và</w:t>
      </w:r>
    </w:p>
    <w:p>
      <w:pPr>
        <w:pStyle w:val="Para 059"/>
      </w:pPr>
      <w:r>
        <w:t>4. Để càng lý trí càng tốt — ý mà mọi người muốn nói là xác định mục tiêu rõ ràng và đánh giá hành vi của họ dựa trên việc liệu họ có đạt được những mục tiêu đó hay không.</w:t>
      </w:r>
    </w:p>
    <w:p>
      <w:pPr>
        <w:pStyle w:val="Normal"/>
      </w:pPr>
      <w:r>
        <w:t xml:space="preserve">Mục đích của tất cả những giá trị này là tránh sự bối rối hay bị đe dọa, tránh cảm giác dễ bị tổn thương hoặc kém cỏi. Về mặt này, chương trình chủ đạo</w:t>
        <w:bookmarkStart w:id="46" w:name="page_01_26"/>
        <w:t> </w:t>
        <w:bookmarkEnd w:id="46"/>
        <w:t>(master program) mà hầu hết mọi người sử dụng mang tính phòng thủ sâu sắc. Lý luận phòng thủ (defensive reasoning) khuyến khích các cá nhân giữ kín những tiền đề, suy luận và kết luận định hình hành vi của họ, đồng thời tránh kiểm chứng chúng một cách thực sự độc lập và khách quan.</w:t>
      </w:r>
    </w:p>
    <w:p>
      <w:pPr>
        <w:pStyle w:val="Normal"/>
      </w:pPr>
      <w:r>
        <w:t xml:space="preserve">Bởi vì những sự quy kết (attributions) trong lý luận phòng thủ không bao giờ thực sự được kiểm chứng, nó là một vòng lặp khép kín, gần như miễn nhiễm với những quan điểm trái ngược. Phản ứng tất yếu trước nhận xét rằng ai đó đang lý luận phòng thủ là càng phòng thủ hơn nữa. Với nhóm dự án (case team) chẳng hạn, bất cứ khi nào ai đó chỉ ra hành vi phòng thủ của các chuyên gia, phản ứng ban đầu của họ là tìm nguyên nhân ở người khác—những khách hàng nhạy cảm đến</w:t>
        <w:bookmarkStart w:id="47" w:name="page_01_27"/>
        <w:t> </w:t>
        <w:bookmarkEnd w:id="47"/>
        <w:t>mức nếu các chuyên gia tư vấn chỉ trích họ thì họ sẽ xa lánh, hoặc một người quản lý yếu đuối đến mức không thể chịu đựng được nếu các chuyên gia tư vấn nêu lên mối quan tâm với anh ta. Nói cách khác, các thành viên của nhóm dự án một lần nữa từ chối trách nhiệm của bản thân bằng cách gán vấn đề cho người khác.</w:t>
      </w:r>
    </w:p>
    <w:p>
      <w:pPr>
        <w:pStyle w:val="Normal"/>
      </w:pPr>
      <w:r>
        <w:t>Trong những tình huống như vậy, hành động đơn giản là khuyến khích sự tìm hiểu cởi mở hơn thường bị người khác công kích là “đáng sợ.” Những người công kích đó đối phó với cảm giác của họ về việc có thể đã sai bằng cách đổ lỗi cho cá nhân cởi mở hơn vì đã khơi dậy những cảm xúc này và làm họ khó chịu.</w:t>
      </w:r>
    </w:p>
    <w:p>
      <w:pPr>
        <w:pStyle w:val="Normal"/>
      </w:pPr>
      <w:r>
        <w:t xml:space="preserve">Không cần phải nói, một chương trình tổng thể như vậy chắc chắn sẽ cản trở việc học. Và vì</w:t>
        <w:bookmarkStart w:id="48" w:name="page_01_28"/>
        <w:t> </w:t>
        <w:bookmarkEnd w:id="48"/>
        <w:t>một số lý do đặc thù trong tâm lý của họ, các chuyên gia được giáo dục tốt đặc biệt dễ bị ảnh hưởng bởi điều này.</w:t>
      </w:r>
    </w:p>
    <w:p>
      <w:pPr>
        <w:pStyle w:val="Normal"/>
      </w:pPr>
      <w:r>
        <w:t>Gần như tất cả các chuyên gia tư vấn mà tôi đã nghiên cứu đều có thành tích học tập xuất sắc. Trớ trêu thay, chính sự thành công trong giáo dục của họ lại góp phần giải thích cho những vấn đề họ gặp phải trong việc học. Trước khi bước vào thế giới công việc, cuộc sống của họ chủ yếu đầy ắp những thành công, vì vậy họ hiếm khi trải qua sự xấu hổ và cảm giác bị đe dọa đi kèm với thất bại. Do đó, khả năng lý luận phòng vệ của họ hiếm khi được kích hoạt. Tuy nhiên, những người hiếm khi trải qua thất bại cuối cùng lại không biết cách đối mặt với nó một cách hiệu quả. Và điều này củng cố xu hướng tự nhiên của con người là lý luận một cách phòng vệ.</w:t>
      </w:r>
    </w:p>
    <w:p>
      <w:pPr>
        <w:pStyle w:val="Normal"/>
      </w:pPr>
      <w:r>
        <w:bookmarkStart w:id="49" w:name="page_01_29"/>
        <w:t>Trong</w:t>
        <w:bookmarkEnd w:id="49"/>
        <w:t> một cuộc khảo sát vài trăm chuyên gia tư vấn trẻ tại các tổ chức mà tôi đang nghiên cứu, những chuyên gia này mô tả họ bị thôi thúc từ bên trong bởi một tiêu chuẩn thành tích cao đến mức không thực tế: “Áp lực công việc là do tự tạo ra.” “Tôi không chỉ phải làm tốt công việc; tôi còn phải là người giỏi nhất.” “Mọi người ở đây rất thông minh và chăm chỉ; họ có động lực cao để làm việc xuất sắc.” “Hầu hết chúng tôi không chỉ muốn thành công mà còn muốn đạt được điều đó với tốc độ tối đa.”</w:t>
      </w:r>
    </w:p>
    <w:p>
      <w:pPr>
        <w:pStyle w:val="Normal"/>
      </w:pPr>
      <w:r>
        <w:t xml:space="preserve">Các chuyên gia tư vấn này luôn so sánh bản thân với những người giỏi nhất xung quanh và không ngừng cố gắng cải thiện hiệu suất của chính mình. Tuy nhiên, họ không thích bị yêu cầu cạnh tranh công khai với nhau. Họ cảm thấy điều đó có phần</w:t>
        <w:bookmarkStart w:id="50" w:name="page_01_30"/>
        <w:t> th</w:t>
        <w:bookmarkEnd w:id="50"/>
        <w:t>iếu nhân văn. Họ thích làm người đóng góp độc lập—có thể gọi là “kẻ cô độc năng suất.”</w:t>
      </w:r>
    </w:p>
    <w:p>
      <w:pPr>
        <w:pStyle w:val="Normal"/>
      </w:pPr>
      <w:r>
        <w:t>Đằng sau khát vọng thành công cao độ này là nỗi sợ thất bại cũng cao không kém và xu hướng cảm thấy xấu hổ và tội lỗi khi họ không đạt được tiêu chuẩn cao của mình. “Bạn phải tránh sai lầm,” một người nói. “Tôi ghét phạm phải chúng. Nhiều người trong chúng tôi sợ thất bại, dù chúng tôi có thừa nhận hay không.”</w:t>
      </w:r>
    </w:p>
    <w:p>
      <w:pPr>
        <w:pStyle w:val="Normal"/>
      </w:pPr>
      <w:r>
        <w:t xml:space="preserve">Trong chừng mực mà các chuyên gia tư vấn này đã trải qua thành công trong cuộc đời, họ đã không phải lo lắng về thất bại và những cảm giác xấu hổ và tội lỗi đi kèm. Nhưng cũng chính ở mức độ đó, họ chưa bao giờ phát triển khả năng chịu đựng cảm giác thất bại hay kỹ năng đối phó với những cảm xúc này. Điều này đến lượt nó khiến họ không chỉ sợ thất bại mà còn</w:t>
        <w:bookmarkStart w:id="51" w:name="page_01_31"/>
        <w:t> </w:t>
        <w:bookmarkEnd w:id="51"/>
        <w:t>sợ chính nỗi sợ thất bại. Bởi vì họ biết rằng họ sẽ không thể đối phó với nó một cách tuyệt vời—mức độ khát vọng thông thường của họ.</w:t>
      </w:r>
    </w:p>
    <w:p>
      <w:pPr>
        <w:pStyle w:val="Normal"/>
      </w:pPr>
      <w:r>
        <w:t>Các chuyên gia tư vấn dùng hai ẩn dụ thú vị để mô tả hiện tượng này. Họ nói về “vòng xoáy diệt vọng” (doom loop) và “sự lao vào vòng xoáy” (doom zoom). Thông thường, các chuyên gia tư vấn làm việc rất tốt trong nhóm dự án (case team), nhưng vì không hoàn thành công việc một cách hoàn hảo hay nhận được lời khen từ quản lý, họ rơi vào vòng xoáy diệt vọng của sự tuyệt vọng. Và họ không từ từ rơi vào vòng xoáy đó, mà họ lao thẳng vào nó.</w:t>
      </w:r>
    </w:p>
    <w:p>
      <w:pPr>
        <w:pStyle w:val="Normal"/>
      </w:pPr>
      <w:r>
        <w:t xml:space="preserve">Kết quả là, nhiều chuyên gia có tính cách cực kỳ “mỏng manh” (brittle). Khi đột nhiên đối mặt với tình huống không thể xử lý ngay, họ có xu hướng sụp đổ. Họ che giấu sự đau khổ trước mặt khách hàng.</w:t>
        <w:bookmarkStart w:id="52" w:name="page_01_32"/>
        <w:t> </w:t>
        <w:bookmarkEnd w:id="52"/>
        <w:t>Họ liên tục nói về điều đó với các đồng nghiệp trong nhóm dự án. Điều thú vị là, những cuộc trò chuyện này thường có hình thức là nói xấu khách hàng.</w:t>
      </w:r>
    </w:p>
    <w:p>
      <w:pPr>
        <w:pStyle w:val="Normal"/>
      </w:pPr>
      <w:r>
        <w:t>Sự mỏng manh đó dẫn đến cảm giác chán nản hoặc tuyệt vọng cao độ không phù hợp khi mọi người không đạt được mức hiệu suất cao như họ khao khát. Sự chán nản này hiếm khi tàn phá về mặt tâm lý, nhưng khi kết hợp với tư duy phòng thủ (defensive reasoning), nó có thể tạo ra khuynh hướng chống lại việc học hỏi một cách đáng gờm.</w:t>
      </w:r>
    </w:p>
    <w:p>
      <w:pPr>
        <w:pStyle w:val="Normal"/>
      </w:pPr>
      <w:r>
        <w:t xml:space="preserve">Không có ví dụ nào minh họa rõ hơn về việc sự mỏng manh này có thể gây rối loạn một tổ chức so với các buổi đánh giá hiệu suất (performance evaluation). Bởi vì đây là thời điểm mà một chuyên gia phải đo</w:t>
        <w:bookmarkStart w:id="53" w:name="page_01_33"/>
        <w:t> lư</w:t>
        <w:bookmarkEnd w:id="53"/>
        <w:t>ờng hành vi của mình theo một tiêu chuẩn chính thức, buổi đánh giá hiệu suất gần như được thiết kế riêng để đẩy một chuyên gia vào vòng xoáy diệt vọng. Thật vậy, một đánh giá kém có thể lan truyền vượt xa cá nhân liên quan để khơi dậy tư duy phòng thủ trong toàn bộ tổ chức.</w:t>
      </w:r>
    </w:p>
    <w:p>
      <w:pPr>
        <w:pStyle w:val="Normal"/>
      </w:pPr>
      <w:r>
        <w:t xml:space="preserve">Tại một công ty tư vấn nọ, ban quản lý thiết lập một quy trình đánh giá hiệu suất mới được thiết kế để làm cho các buổi đánh giá trở nên khách quan và hữu ích hơn cho những người được đánh giá. Các chuyên gia tư vấn đã tham gia vào việc thiết kế hệ thống mới và nhìn chung đều nhiệt tình vì nó phù hợp với các giá trị khách quan và công bằng mà họ tuyên bố theo đuổi. Tuy nhiên, chỉ sau hai năm ngắn ngủi, quy trình mới đã trở thành đối</w:t>
        <w:bookmarkStart w:id="54" w:name="page_01_34"/>
        <w:t> </w:t>
        <w:bookmarkEnd w:id="54"/>
        <w:t>tượng của sự bất mãn. Chất xúc tác cho sự thay đổi thái độ này là lần xếp loại không đạt đầu tiên.</w:t>
      </w:r>
    </w:p>
    <w:p>
      <w:pPr>
        <w:pStyle w:val="Normal"/>
      </w:pPr>
      <w:r>
        <w:t>Các quản lý cấp cao đã xác định sáu chuyên gia tư vấn có hiệu suất được coi là dưới chuẩn. Đúng theo quy trình đánh giá mới, họ đã làm tất cả những gì có thể để truyền đạt mối quan tâm của mình đến sáu người này và giúp họ cải thiện. Các quản lý đã gặp riêng từng người một với thời gian và tần suất theo yêu cầu của chuyên gia để giải thích lý do đằng sau xếp loại và thảo luận về những gì cần làm để cải thiện—nhưng không có kết quả. Hiệu suất tiếp tục ở mức thấp như cũ và cuối cùng, cả sáu người đều bị cho nghỉ việc.</w:t>
      </w:r>
    </w:p>
    <w:p>
      <w:pPr>
        <w:pStyle w:val="Normal"/>
      </w:pPr>
      <w:r>
        <w:t xml:space="preserve">Khi tin về việc sa thải lan truyền khắp công ty, mọi người phản ứng với sự bối rối và lo lắng. Sau khi khoảng một tá</w:t>
        <w:bookmarkStart w:id="55" w:name="page_01_35"/>
        <w:t> </w:t>
        <w:bookmarkEnd w:id="55"/>
        <w:t>chuyên gia tư vấn tức giận phàn nàn với ban quản lý, CEO đã tổ chức hai cuộc họp dài để nhân viên có thể bày tỏ mối quan tâm của họ.</w:t>
      </w:r>
    </w:p>
    <w:p>
      <w:pPr>
        <w:pStyle w:val="Normal"/>
      </w:pPr>
      <w:r>
        <w:t xml:space="preserve">Tại các cuộc họp, các chuyên gia đưa ra nhiều ý kiến khác nhau. Một số nói rằng quy trình đánh giá hiệu suất là không công bằng vì các đánh giá mang tính chủ quan và thiên vị, và tiêu chí về mức hiệu suất tối thiểu không rõ ràng. Những người khác nghi ngờ rằng nguyên nhân thực sự của việc sa thải là do kinh tế và quy trình đánh giá hiệu suất chỉ là một chiếc lá vả che giấu sự thật rằng công ty đang gặp khó khăn. Một số khác lại cho rằng quy trình đánh giá là phản đối việc học. Nếu công ty thực sự là một tổ chức học tập, như họ tuyên bố, thì những người có hiệu suất dưới mức tối thiểu cần được</w:t>
        <w:bookmarkStart w:id="56" w:name="page_01_36"/>
        <w:t> </w:t>
        <w:bookmarkEnd w:id="56"/>
        <w:t>dạy cách đạt được mức đó. Một chuyên gia đã nói: "Chúng tôi được cho biết rằng công ty không có chính sách 'thăng tiến hoặc rời đi' (up-or-out). Up-or-out không nhất quán với việc học. Anh đã đánh lừa chúng tôi."</w:t>
      </w:r>
    </w:p>
    <w:p>
      <w:pPr>
        <w:pStyle w:val="Normal"/>
      </w:pPr>
      <w:r>
        <w:t>Giám đốc điều hành (CEO) đã cố gắng giải thích logic đằng sau quyết định của ban quản lý bằng cách dựa trên các sự kiện của vụ việc và yêu cầu các chuyên gia cung cấp bất kỳ bằng chứng nào có thể mâu thuẫn với những sự kiện này.</w:t>
      </w:r>
    </w:p>
    <w:p>
      <w:pPr>
        <w:pStyle w:val="Normal"/>
      </w:pPr>
      <w:r>
        <w:t xml:space="preserve">Có sự chủ quan và thiên vị trong quy trình đánh giá không? Có, CEO trả lời, nhưng "chúng tôi nỗ lực hết sức để giảm thiểu chúng. Chúng tôi liên tục cố gắng cải thiện quy trình. Nếu các bạn có ý kiến gì, xin hãy cho chúng tôi biết. Nếu các bạn biết ai đó bị đối xử bất công, xin hãy nêu ra. Nếu bất kỳ ai trong các bạn cảm thấy mình bị đối xử bất</w:t>
        <w:bookmarkStart w:id="57" w:name="page_01_37"/>
        <w:t> c</w:t>
        <w:bookmarkEnd w:id="57"/>
        <w:t>ông, hãy thảo luận ngay bây giờ hoặc nếu muốn, một cách riêng tư."</w:t>
      </w:r>
    </w:p>
    <w:p>
      <w:pPr>
        <w:pStyle w:val="Normal"/>
      </w:pPr>
      <w:r>
        <w:t>Mức năng lực tối thiểu có quá mơ hồ không? "Chúng tôi đang làm việc để xác định năng lực tối thiểu rõ ràng hơn," ông trả lời. "Tuy nhiên, trong trường hợp của sáu người, hiệu suất của họ quá kém đến mức không khó để đưa ra quyết định." Hầu hết trong số sáu người đều nhận được phản hồi kịp thời về vấn đề của họ. Và trong hai trường hợp không nhận được, lý do là họ chưa bao giờ có trách nhiệm tìm kiếm sự đánh giá—và thực sự, họ đã chủ động tránh chúng. "Nếu các bạn có bất kỳ dữ liệu nào ngược lại," CEO nói thêm, "hãy nói về nó."</w:t>
      </w:r>
    </w:p>
    <w:p>
      <w:pPr>
        <w:pStyle w:val="Normal"/>
      </w:pPr>
      <w:r>
        <w:t xml:space="preserve">Sáu người có bị yêu cầu rời đi vì lý do kinh tế không? Không, CEO nói. "Chúng tôi có nhiều việc</w:t>
        <w:bookmarkStart w:id="58" w:name="page_01_38"/>
        <w:t> </w:t>
        <w:bookmarkEnd w:id="58"/>
        <w:t>hơn mức chúng tôi có thể làm, và để các chuyên gia ra đi là cực kỳ tốn kém đối với chúng tôi. Có ai trong các bạn có thông tin nào ngược lại không?"</w:t>
      </w:r>
    </w:p>
    <w:p>
      <w:pPr>
        <w:pStyle w:val="Normal"/>
      </w:pPr>
      <w:r>
        <w:t>Về việc công ty phản đối việc học, thực tế là toàn bộ quy trình đánh giá được thiết kế để khuyến khích việc học. Khi một chuyên gia đang thực hiện dưới mức tối thiểu, CEO giải thích, "chúng tôi cùng thiết kế các trải nghiệm khắc phục với cá nhân đó. Sau đó, chúng tôi tìm kiếm dấu hiệu cải thiện. Trong các trường hợp này, hoặc các chuyên gia không sẵn lòng nhận các nhiệm vụ như vậy hoặc họ liên tục thất bại khi nhận. Một lần nữa, nếu các bạn có thông tin hoặc bằng chứng ngược lại, tôi rất muốn nghe."</w:t>
      </w:r>
    </w:p>
    <w:p>
      <w:pPr>
        <w:pStyle w:val="Normal"/>
      </w:pPr>
      <w:r>
        <w:t xml:space="preserve">CEO kết luận: "Thật đáng tiếc, nhưng đôi khi chúng tôi phạm sai lầm và thuê nhầm</w:t>
        <w:bookmarkStart w:id="59" w:name="page_01_39"/>
        <w:t> </w:t>
        <w:bookmarkEnd w:id="59"/>
        <w:t>người. Nếu các cá nhân không tạo ra kết quả và liên tục chứng tỏ mình không thể cải thiện, chúng tôi không biết làm gì khác ngoài việc sa thải họ. Thật không công bằng khi giữ những cá nhân làm việc kém hiệu quả trong công ty. Họ nhận được một phần thưởng tài chính không công bằng."</w:t>
      </w:r>
    </w:p>
    <w:p>
      <w:pPr>
        <w:pStyle w:val="Normal"/>
      </w:pPr>
      <w:r>
        <w:t xml:space="preserve">Thay vì đưa ra dữ liệu của riêng mình, các chuyên gia chỉ đơn giản lặp lại các cáo buộc nhưng theo cách luôn mâu thuẫn với chính tuyên bố của họ. Họ nói rằng một quy trình đánh giá thực sự công bằng sẽ chứa dữ liệu rõ ràng và có thể ghi lại được về hiệu suất—nhưng họ lại không thể đưa ra ví dụ trực tiếp về sự bất công mà họ ngụ ý là đã ảnh hưởng đến việc đánh giá sáu nhân viên bị sa thải. Họ lập luận rằng mọi người không nên bị đánh giá bằng những</w:t>
        <w:bookmarkStart w:id="60" w:name="page_01_40"/>
        <w:t> </w:t>
        <w:bookmarkEnd w:id="60"/>
        <w:t>suy diễn không liên quan đến hiệu suất thực tế của họ—nhưng chính họ lại đánh giá ban quản lý theo cách đó. Họ nhấn mạnh rằng ban quản lý phải xác định các tiêu chuẩn hiệu suất rõ ràng, khách quan và không mơ hồ—nhưng họ lại cho rằng bất kỳ hệ thống nhân đạo nào cũng phải tính đến việc hiệu suất của một chuyên gia không thể đo lường một cách chính xác. Cuối cùng, họ tự thể hiện mình là những người ủng hộ việc học hỏi—nhưng họ chưa bao giờ đề xuất bất kỳ tiêu chí nào để đánh giá liệu một cá nhân có thể không có khả năng học hỏi hay không.</w:t>
      </w:r>
    </w:p>
    <w:p>
      <w:pPr>
        <w:pStyle w:val="Normal"/>
      </w:pPr>
      <w:r>
        <w:t xml:space="preserve">Tóm lại, các chuyên gia dường như yêu cầu ban quản lý đạt một mức hiệu suất khác với chính họ. Trong các cuộc trao đổi tại buổi họp, họ đã sử dụng nhiều đặc điểm của đánh</w:t>
        <w:bookmarkStart w:id="61" w:name="page_01_41"/>
        <w:t> </w:t>
        <w:bookmarkEnd w:id="61"/>
        <w:t>giá không hiệu quả mà chính họ lên án—ví dụ như thiếu dữ liệu cụ thể, và phụ thuộc vào lối logic vòng vo kiểu “trước sau gì chúng tôi cũng thắng.” Cứ như thể họ đang nói: “Đây là những đặc điểm của một hệ thống đánh giá hiệu suất công bằng. Các bạn nên tuân theo. Nhưng chúng tôi không cần phải tuân theo khi chúng tôi đánh giá các bạn.”</w:t>
      </w:r>
    </w:p>
    <w:p>
      <w:pPr>
        <w:pStyle w:val="Normal"/>
      </w:pPr>
      <w:r>
        <w:t>Thật vậy, nếu chúng ta giải thích hành vi của các chuyên gia bằng cách nêu ra các quy tắc mà họ hẳn phải có trong đầu để hành xử như họ đã làm, thì các quy tắc đó sẽ có dạng như sau:</w:t>
      </w:r>
    </w:p>
    <w:p>
      <w:pPr>
        <w:pStyle w:val="Para 059"/>
      </w:pPr>
      <w:r>
        <w:t xml:space="preserve">1. Khi chỉ trích công ty, hãy nêu lời phê bình theo cách bạn cho là có cơ sở—nhưng cũng theo cách ngăn người</w:t>
        <w:bookmarkStart w:id="62" w:name="page_01_42"/>
        <w:t> </w:t>
        <w:bookmarkEnd w:id="62"/>
        <w:t>khác tự quyết định xem tuyên bố có cơ sở của bạn có đúng hay không.</w:t>
      </w:r>
    </w:p>
    <w:p>
      <w:pPr>
        <w:pStyle w:val="Para 059"/>
      </w:pPr>
      <w:r>
        <w:t>2. Khi được yêu cầu minh họa cho những lời chỉ trích của bạn, đừng kèm theo bất kỳ dữ liệu nào mà người khác có thể dùng để tự đánh giá xem những minh họa đó có xác đáng hay không.</w:t>
      </w:r>
    </w:p>
    <w:p>
      <w:pPr>
        <w:pStyle w:val="Para 059"/>
      </w:pPr>
      <w:r>
        <w:t>3. Hãy trình bày các kết luận của bạn theo cách che giấu những hàm ý logic của chúng. Nếu người khác chỉ ra những hàm ý đó, hãy phủ nhận chúng.</w:t>
      </w:r>
    </w:p>
    <w:p>
      <w:pPr>
        <w:pStyle w:val="Normal"/>
      </w:pPr>
      <w:r>
        <w:t xml:space="preserve">Tất nhiên, khi những quy tắc như vậy được mô tả cho các chuyên gia, họ thấy chúng thật đáng ghê tởm. Thật không thể tưởng tượng nổi rằng các quy tắc này có thể giải thích hành động của họ. Thế nhưng, khi tự bảo vệ mình trước nhận</w:t>
        <w:bookmarkStart w:id="63" w:name="page_01_43"/>
        <w:t> </w:t>
        <w:bookmarkEnd w:id="63"/>
        <w:t>xét này, họ gần như luôn vô tình xác nhận các quy tắc.</w:t>
      </w:r>
    </w:p>
    <w:p>
      <w:pPr>
        <w:pStyle w:val="Heading 2"/>
      </w:pPr>
      <w:r>
        <w:bookmarkStart w:id="64" w:name="sec3"/>
        <w:t/>
        <w:bookmarkEnd w:id="64"/>
        <w:t>HỌC CÁCH SUY LUẬN HIỆU QUẢ</w:t>
      </w:r>
    </w:p>
    <w:p>
      <w:pPr>
        <w:pStyle w:val="Normal"/>
      </w:pPr>
      <w:r>
        <w:t xml:space="preserve">Nếu suy luận phòng thủ (defensive reasoning) phổ biến như tôi tin, thì việc tập trung vào thái độ hay sự cam kết của một cá nhân là không bao giờ đủ để tạo ra sự thay đổi thực sự. Và như ví dụ trước đã minh họa, việc tạo ra các cơ cấu hay hệ thống tổ chức mới cũng không đủ. Vấn đề là ngay cả khi mọi người thực sự cam kết cải thiện hiệu suất của mình và ban quản lý đã thay đổi cơ cấu để khuyến khích loại hành vi “đúng đắn”, họ vẫn còn bị mắc kẹt trong suy</w:t>
        <w:bookmarkStart w:id="65" w:name="page_01_44"/>
        <w:t> </w:t>
        <w:bookmarkEnd w:id="65"/>
        <w:t>luận phòng thủ. Hoặc họ không hề nhận thức được thực tế này, hoặc nếu có nhận ra thì họ lại đổ lỗi cho người khác.</w:t>
      </w:r>
    </w:p>
    <w:p>
      <w:pPr>
        <w:pStyle w:val="Normal"/>
      </w:pPr>
      <w:r>
        <w:t>Tuy nhiên, có lý do để tin rằng các tổ chức có thể thoát khỏi vòng luẩn quẩn này. Bất chấp sức mạnh của lý luận phòng thủ, con người thực sự cố gắng tạo ra những gì họ dự định. Họ coi trọng việc hành động một cách thành thạo. Lòng tự trọng của họ gắn chặt với việc cư xử nhất quán và thực hiện hiệu quả. Các công ty có thể sử dụng những khuynh hướng phổ quát này để dạy mọi người cách lý luận theo một cách mới—thực chất là thay đổi các chương trình chính trong đầu họ và do đó định hình lại hành vi của họ.</w:t>
      </w:r>
    </w:p>
    <w:p>
      <w:pPr>
        <w:pStyle w:val="Normal"/>
      </w:pPr>
      <w:r>
        <w:t xml:space="preserve">Mọi người có thể được dạy cách nhận ra lý luận họ sử dụng khi thiết kế và thực hiện hành động</w:t>
        <w:bookmarkStart w:id="66" w:name="page_01_45"/>
        <w:t> </w:t>
        <w:bookmarkEnd w:id="66"/>
        <w:t>của mình. Họ có thể bắt đầu xác định những mâu thuẫn giữa lý thuyết hành động được công bố và thực tế của họ. Họ có thể đối mặt với sự thật rằng họ vô thức thiết kế và thực hiện những hành động mà họ không mong muốn. Cuối cùng, mọi người có thể học cách xác định những gì cá nhân và nhóm làm để tạo ra các phòng thủ của tổ chức và những phòng thủ này đóng góp vào các vấn đề của tổ chức như thế nào.</w:t>
      </w:r>
    </w:p>
    <w:p>
      <w:pPr>
        <w:pStyle w:val="Normal"/>
      </w:pPr>
      <w:r>
        <w:t xml:space="preserve">Khi các công ty bắt đầu quá trình học tập này, họ sẽ khám phá ra rằng loại lý luận cần thiết để giảm bớt và vượt qua các phòng thủ của tổ chức chính là loại “lý luận cứng rắn” làm nền tảng cho việc sử dụng hiệu quả các ý tưởng trong chiến lược, tài chính, tiếp thị, sản xuất và các lĩnh vực quản lý</w:t>
        <w:bookmarkStart w:id="67" w:name="page_01_46"/>
        <w:t> kh</w:t>
        <w:bookmarkEnd w:id="67"/>
        <w:t>ác. Ví dụ, bất kỳ phân tích chiến lược tinh vi nào cũng phụ thuộc vào việc thu thập dữ liệu hợp lệ, phân tích cẩn thận và liên tục kiểm tra các suy luận rút ra từ dữ liệu. Những bài kiểm tra khó khăn nhất được dành cho các kết luận. Các nhà chiến lược giỏi đảm bảo rằng các kết luận của họ có thể chịu được mọi loại chất vấn phê phán.</w:t>
      </w:r>
    </w:p>
    <w:p>
      <w:pPr>
        <w:pStyle w:val="Normal"/>
      </w:pPr>
      <w:r>
        <w:t>Điều đó cũng đúng với lý luận hiệu quả về hành vi con người. Tiêu chuẩn phân tích cũng cao tương tự. Các chương trình nhân sự không còn cần phải dựa trên lý luận “mềm” mà nên mang tính phân tích và dựa trên dữ liệu như bất kỳ lĩnh vực quản lý nào khác.</w:t>
      </w:r>
    </w:p>
    <w:p>
      <w:pPr>
        <w:pStyle w:val="Normal"/>
      </w:pPr>
      <w:r>
        <w:t xml:space="preserve">Tất nhiên, đó không phải là loại lý luận mà các nhà tư vấn sử dụng khi họ gặp phải những vấn đề gây khó xử hoặc đe dọa. Dữ liệu họ thu thập hiếm khi khách quan. Những suy</w:t>
        <w:bookmarkStart w:id="68" w:name="page_01_47"/>
        <w:t> </w:t>
        <w:bookmarkEnd w:id="68"/>
        <w:t>luận họ đưa ra hiếm khi trở nên rõ ràng. Những kết luận họ đạt được phần lớn là tự phục vụ, không thể để người khác kiểm tra, và kết quả là “tự bịt kín,” trơ trơ trước sự thay đổi.</w:t>
      </w:r>
    </w:p>
    <w:p>
      <w:pPr>
        <w:pStyle w:val="Normal"/>
      </w:pPr>
      <w:r>
        <w:t>Làm thế nào một tổ chức có thể bắt đầu thay đổi tình hình này, để dạy các thành viên của mình cách lý luận hiệu quả? Bước đầu tiên là các nhà quản lý cấp cao phải xem xét một cách phê phán và thay đổi lý thuyết ứng dụng của chính họ. Cho đến khi các nhà quản lý cấp cao nhận thức được cách họ lý luận phòng thủ và những hậu quả phản tác dụng do đó, sẽ có rất ít tiến bộ thực sự. Bất kỳ hoạt động thay đổi nào có thể chỉ là một mốt nhất thời.</w:t>
      </w:r>
    </w:p>
    <w:p>
      <w:pPr>
        <w:pStyle w:val="Normal"/>
      </w:pPr>
      <w:r>
        <w:t xml:space="preserve">Thay đổi phải bắt đầu từ cấp cao nhất vì nếu không, các nhà quản lý cấp cao có tâm lý phòng thủ sẽ có xu hướng phủ nhận mọi chuyển biến</w:t>
        <w:bookmarkStart w:id="69" w:name="page_01_48"/>
        <w:t> t</w:t>
        <w:bookmarkEnd w:id="69"/>
        <w:t>rong cách suy luận từ cấp dưới. Nếu các chuyên gia hoặc quản lý cấp trung bắt đầu thay đổi cách họ suy luận và hành động, những thay đổi đó có thể bị coi là kỳ lạ—thậm chí là nguy hiểm—đối với những người ở cấp trên. Kết quả là một tình huống bất ổn khi các nhà quản lý cấp cao vẫn tin rằng việc lảng tránh và che đậy các vấn đề khó khăn là dấu hiệu của sự quan tâm và tinh tế, trong khi cấp dưới của họ lại coi chính những hành động đó là phòng thủ.</w:t>
      </w:r>
    </w:p>
    <w:p>
      <w:pPr>
        <w:pStyle w:val="Normal"/>
      </w:pPr>
      <w:r>
        <w:t xml:space="preserve">Chìa khóa của bất kỳ chương trình đào tạo nào nhằm dạy các nhà quản lý cấp cao cách suy luận hiệu quả là kết nối chương trình với các vấn đề kinh doanh thực tế. Cách tốt nhất để chứng minh tính hữu ích của suy luận hiệu quả là giúp các nhà quản lý bận rộn thấy được nó có thể tạo ra sự khác biệt trực tiếp trong hiệu suất của</w:t>
        <w:bookmarkStart w:id="70" w:name="page_01_49"/>
        <w:t> </w:t>
        <w:bookmarkEnd w:id="70"/>
        <w:t>chính họ và của tổ chức như thế nào. Điều này không xảy ra trong một sớm một chiều. Các nhà quản lý cần có nhiều cơ hội để thực hành các kỹ năng mới. Nhưng một khi họ nắm bắt được tác động mạnh mẽ mà suy luận hiệu quả có thể mang lại cho hiệu suất thực tế, họ sẽ có động lực mạnh mẽ để suy luận hiệu quả không chỉ trong các buổi đào tạo mà còn trong mọi mối quan hệ công việc.</w:t>
      </w:r>
    </w:p>
    <w:p>
      <w:pPr>
        <w:pStyle w:val="Normal"/>
      </w:pPr>
      <w:r>
        <w:t>Một cách đơn giản mà tôi đã sử dụng để bắt đầu quá trình này là yêu cầu những người tham gia xây dựng một dạng nghiên cứu tình huống (case study) sơ khai. Chủ đề là một vấn đề kinh doanh thực tế mà nhà quản lý muốn giải quyết hoặc đã cố gắng nhưng chưa thành công trong quá khứ. Việc viết tình huống thực tế thường mất chưa đến một giờ. Nhưng sau đó, tình huống này trở thành tâm điểm của một quá trình phân tích mở rộng.</w:t>
      </w:r>
    </w:p>
    <w:p>
      <w:pPr>
        <w:pStyle w:val="Normal"/>
      </w:pPr>
      <w:r>
        <w:bookmarkStart w:id="71" w:name="page_01_50"/>
        <w:t>Ví</w:t>
        <w:bookmarkEnd w:id="71"/>
        <w:t> dụ, một CEO tại một công ty tư vấn phát triển tổ chức lớn đang bận tâm với các vấn đề gây ra bởi sự cạnh tranh gay gắt giữa các bộ phận chức năng kinh doanh khác nhau, đại diện là bốn nhân viên trực tiếp của ông. Không chỉ mệt mỏi vì các vấn đề bị dồn lên vai mình, ông còn lo lắng về tác động của các xung đột giữa các bộ phận đến tính linh hoạt của tổ chức. Ông thậm chí đã tính toán rằng số tiền chi ra để giải quyết bất đồng lên tới hàng trăm nghìn đô la mỗi năm. Và càng có nhiều mâu thuẫn, mọi người càng phòng thủ, điều này chỉ làm tăng chi phí cho tổ chức.</w:t>
      </w:r>
    </w:p>
    <w:p>
      <w:pPr>
        <w:pStyle w:val="Normal"/>
      </w:pPr>
      <w:r>
        <w:t xml:space="preserve">Chỉ trong khoảng một đoạn văn, CEO mô tả một cuộc họp mà ông dự định sẽ có với các nhân viên trực tiếp của mình để giải quyết vấn</w:t>
        <w:bookmarkStart w:id="72" w:name="page_01_51"/>
        <w:t> </w:t>
        <w:bookmarkEnd w:id="72"/>
        <w:t>đề. Tiếp theo, ông chia tờ giấy làm đôi, và ở phía bên phải của trang giấy, ông viết một kịch bản cho cuộc họp—giống như kịch bản phim hoặc kịch—mô tả những gì ông sẽ nói và cách các cấp dưới của ông có thể phản hồi. Ở phía bên trái của trang giấy, ông viết ra những suy nghĩ và cảm xúc mà ông có thể có trong cuộc họp nhưng sẽ không bày tỏ vì sợ chúng sẽ làm chệch hướng cuộc thảo luận.</w:t>
      </w:r>
    </w:p>
    <w:p>
      <w:pPr>
        <w:pStyle w:val="Normal"/>
      </w:pPr>
      <w:r>
        <w:t xml:space="preserve">Nhưng thay vì tổ chức cuộc họp, CEO đã phân tích tình huống này cùng với các</w:t>
      </w:r>
      <w:r>
        <w:rPr>
          <w:rStyle w:val="Text0"/>
        </w:rPr>
        <w:t> cấp</w:t>
      </w:r>
      <w:r>
        <w:t xml:space="preserve"> dưới trực tiếp của mình. Tình huống đó trở thành chất xúc tác cho một cuộc thảo luận, trong đó CEO học được một số điều về cách ông ấy hành xử với đội ngũ quản lý của mình.</w:t>
      </w:r>
    </w:p>
    <w:p>
      <w:pPr>
        <w:pStyle w:val="Normal"/>
      </w:pPr>
      <w:r>
        <w:t xml:space="preserve">Ông phát hiện ra rằng bốn cấp dưới trực tiếp thường coi những cuộc trò chuyện</w:t>
        <w:bookmarkStart w:id="73" w:name="page_01_52"/>
        <w:t> </w:t>
        <w:bookmarkEnd w:id="73"/>
        <w:t xml:space="preserve">của ông là phản tác dụng. Dưới vỏ bọc 'ngoại giao', ông thường giả vờ rằng đã có sự đồng thuận về vấn đề, trong khi thực tế không hề có. Kết quả không mong muốn: thay vì cảm thấy yên tâm, các cấp dưới của ông lại cảnh giác và cố đoán 'ông ấy thực</w:t>
      </w:r>
      <w:r>
        <w:rPr>
          <w:rStyle w:val="Text0"/>
        </w:rPr>
        <w:t> sự</w:t>
      </w:r>
      <w:r>
        <w:t xml:space="preserve"> muốn nói gì'.</w:t>
      </w:r>
    </w:p>
    <w:p>
      <w:pPr>
        <w:pStyle w:val="Normal"/>
      </w:pPr>
      <w:r>
        <w:t>CEO cũng nhận ra rằng cách ông xử lý sự cạnh tranh giữa các trưởng bộ phận hoàn toàn mâu thuẫn. Một mặt, ông liên tục thúc giục họ 'hãy nghĩ đến tổ chức như một thể thống nhất.' Mặt khác, ông lại liên tục kêu gọi các hành động—ví dụ như cắt giảm ngân sách bộ phận—khiến họ trực tiếp cạnh tranh với nhau.</w:t>
      </w:r>
    </w:p>
    <w:p>
      <w:pPr>
        <w:pStyle w:val="Normal"/>
      </w:pPr>
      <w:r>
        <w:t xml:space="preserve">Cuối cùng, CEO phát hiện ra rằng nhiều đánh giá và quy kết ngầm mà ông đã liệt kê hóa ra lại sai. Vì chưa bao giờ bày</w:t>
        <w:bookmarkStart w:id="74" w:name="page_01_53"/>
        <w:t> </w:t>
        <w:bookmarkEnd w:id="74"/>
        <w:t>tỏ những giả định này, ông đã không bao giờ nhận ra chúng sai đến mức nào. Hơn nữa, ông biết được rằng phần lớn những gì ông nghĩ mình đang che giấu vẫn lọt đến tai cấp dưới—nhưng kèm theo thông điệp rằng sếp đang che đậy.</w:t>
      </w:r>
    </w:p>
    <w:p>
      <w:pPr>
        <w:pStyle w:val="Normal"/>
      </w:pPr>
      <w:r>
        <w:t xml:space="preserve">Các đồng nghiệp của CEO cũng nhận ra hành vi kém hiệu quả của chính họ. Họ học được điều đó bằng cách xem xét hành vi của mình khi cố gắng giúp CEO phân tích tình huống của ông. Họ cũng học được bằng cách viết và phân tích các tình huống của riêng mình. Họ bắt đầu thấy rằng họ cũng có xu hướng bỏ qua và che đậy các vấn đề thực sự, và CEO thường biết điều đó nhưng không nói ra. Họ cũng đưa ra những quy kết và đánh giá không chính xác mà họ không bày tỏ. Hơn nữa, niềm tin rằng họ phải</w:t>
        <w:bookmarkStart w:id="75" w:name="page_01_54"/>
        <w:t> </w:t>
        <w:bookmarkEnd w:id="75"/>
        <w:t>che giấu những ý tưởng và cảm xúc quan trọng với CEO và với nhau để không làm ai buồn lòng hóa ra là sai lầm. Trong bối cảnh các buổi thảo luận tình huống, toàn bộ đội ngũ quản lý cấp cao đã sẵn sàng thảo luận về những điều trước đây không bao giờ dám đề cập.</w:t>
      </w:r>
    </w:p>
    <w:p>
      <w:pPr>
        <w:pStyle w:val="Normal"/>
      </w:pPr>
      <w:r>
        <w:t>Thực chất, bài tập nghiên cứu tình huống hợp pháp hóa việc nói về những vấn đề mà trước đây mọi người chưa bao giờ có thể đề cập. Một cuộc thảo luận như vậy có thể đầy cảm xúc—thậm chí đau đớn. Nhưng đối với những nhà quản lý có đủ can đảm để kiên trì, phần thưởng rất lớn: các đội ngũ quản lý và toàn bộ tổ chức làm việc cởi mở và hiệu quả hơn, đồng thời có nhiều lựa chọn hơn để hành xử linh hoạt và thích ứng với các tình huống cụ thể.</w:t>
      </w:r>
    </w:p>
    <w:p>
      <w:pPr>
        <w:pStyle w:val="Normal"/>
      </w:pPr>
      <w:r>
        <w:t xml:space="preserve">Khi các nhà quản lý cấp cao được đào tạo về các kỹ năng tư duy mới, họ có thể tác động</w:t>
        <w:bookmarkStart w:id="76" w:name="page_01_55"/>
        <w:t> </w:t>
        <w:bookmarkEnd w:id="76"/>
        <w:t>lớn đến hiệu quả hoạt động của toàn bộ tổ chức—ngay cả khi các nhân viên khác vẫn còn tư duy phòng thủ. CEO đã chủ trì các cuộc họp về quy trình đánh giá hiệu suất đã có thể xoa dịu sự bất mãn vì ông không đáp trả những lời chỉ trích của các chuyên gia theo kiểu ăn miếng trả miếng mà thay vào đó trình bày rõ ràng dữ liệu liên quan. Thực tế, hầu hết những người tham gia coi hành vi của CEO là dấu hiệu cho thấy công ty thực sự hành động theo các giá trị tham gia và sự tham gia của nhân viên mà công ty đề cao.</w:t>
      </w:r>
    </w:p>
    <w:p>
      <w:pPr>
        <w:pStyle w:val="Normal"/>
      </w:pPr>
      <w:r>
        <w:t xml:space="preserve">Tất nhiên, lý tưởng nhất là mọi thành viên trong một tổ chức đều học được cách suy luận một cách hiệu quả. Điều này đã xảy ra tại công ty nơi diễn ra cuộc họp của nhóm tư vấn (case team). Hiện nay, các chuyên gia tư vấn và quản lý của họ có thể đối mặt với một số vấn đề khó khăn</w:t>
        <w:bookmarkStart w:id="77" w:name="page_01_56"/>
        <w:t> </w:t>
        <w:bookmarkEnd w:id="77"/>
        <w:t>nhất trong mối quan hệ tư vấn – khách hàng. Để hình dung được sự khác biệt mà cách suy luận hiệu quả có thể tạo ra, hãy tưởng tượng cuộc trò chuyện ban đầu giữa quản lý và nhóm tư vấn sẽ diễn ra thế nào nếu mọi người đều tham gia vào việc suy luận một cách hiệu quả. (Đoạn đối thoại sau đây dựa trên các buổi làm việc thực tế mà tôi đã tham dự với các nhóm tư vấn khác tại cùng công ty kể từ khi khóa đào tạo được hoàn thành.)</w:t>
      </w:r>
    </w:p>
    <w:p>
      <w:pPr>
        <w:pStyle w:val="Normal"/>
      </w:pPr>
      <w:r>
        <w:t xml:space="preserve">Trước hết, các chuyên gia tư vấn sẽ thể hiện cam kết của họ đối với việc cải tiến liên tục bằng cách sẵn sàng xem xét vai trò của chính họ trong những khó khăn phát sinh trong quá trình thực hiện dự án tư vấn. Chắc chắn họ sẽ chỉ ra rằng các quản lý và khách hàng là một phần của vấn đề, nhưng họ</w:t>
        <w:bookmarkStart w:id="78" w:name="page_01_57"/>
        <w:t> </w:t>
        <w:bookmarkEnd w:id="78"/>
        <w:t>cũng sẽ thừa nhận rằng họ đã góp phần tạo ra vấn đề đó. Quan trọng hơn, họ sẽ đồng ý với quản lý rằng khi họ khám phá các vai trò khác nhau của khách hàng, quản lý và chuyên gia, họ sẽ đảm bảo kiểm tra mọi đánh giá hoặc quy kết (attribution) mà họ có thể đưa ra dựa trên dữ liệu. Mỗi cá nhân sẽ khuyến khích những người khác đặt câu hỏi về cách suy luận của mình. Thực tế, họ sẽ nhấn mạnh vào điều đó. Và đến lượt mình, mọi người sẽ hiểu hành động đặt câu hỏi đó không phải là dấu hiệu của sự thiếu tin tưởng hay xâm phạm quyền riêng tư, mà là một cơ hội quý giá để học hỏi.</w:t>
      </w:r>
    </w:p>
    <w:p>
      <w:pPr>
        <w:pStyle w:val="Normal"/>
      </w:pPr>
      <w:r>
        <w:t>Cuộc trò chuyện về việc người quản lý không muốn nói 'không' có thể sẽ giống như thế này:</w:t>
      </w:r>
    </w:p>
    <w:p>
      <w:pPr>
        <w:pStyle w:val="Para 008"/>
      </w:pPr>
      <w:r>
        <w:bookmarkStart w:id="79" w:name="page_01_58"/>
        <w:t>Chuyên</w:t>
        <w:bookmarkEnd w:id="79"/>
      </w:r>
      <w:r>
        <w:rPr>
          <w:rStyle w:val="Text0"/>
        </w:rPr>
        <w:t> gia #1:</w:t>
      </w:r>
      <w:r>
        <w:t xml:space="preserve"> “Một trong những vấn đề lớn nhất mà tôi gặp phải trong cách bạn quản lý dự án này là bạn dường như không thể nói 'không' khi khách hàng hoặc cấp trên của bạn đưa ra những yêu cầu bất công.” [Đưa ra một ví dụ.]</w:t>
      </w:r>
    </w:p>
    <w:p>
      <w:pPr>
        <w:pStyle w:val="Para 008"/>
      </w:pPr>
      <w:r>
        <w:rPr>
          <w:rStyle w:val="Text0"/>
        </w:rPr>
        <w:t>Chuyên gia #2: “Tôi</w:t>
      </w:r>
      <w:r>
        <w:t xml:space="preserve"> có thêm một ví dụ nữa. [Mô tả một ví dụ thứ hai.] Nhưng tôi cũng muốn nói rằng chúng tôi chưa bao giờ thực sự nói cho bạn biết chúng tôi cảm thấy thế nào về việc này. Sau lưng bạn, chúng tôi đã nói xấu bạn—bạn biết đấy, kiểu như ‘anh ấy thật là yếu đuối’—nhưng chúng tôi chưa bao giờ nói thẳng ra.”</w:t>
      </w:r>
    </w:p>
    <w:p>
      <w:pPr>
        <w:pStyle w:val="Para 008"/>
      </w:pPr>
      <w:r>
        <w:rPr>
          <w:rStyle w:val="Text0"/>
        </w:rPr>
        <w:t>Quản lý:</w:t>
      </w:r>
      <w:r>
        <w:t xml:space="preserve"> “Chắc chắn sẽ hữu ích nếu các bạn đã nói ra điều gì đó. Liệu có điều gì tôi đã nói hoặc làm khiến các bạn nghĩ rằng</w:t>
        <w:bookmarkStart w:id="80" w:name="page_01_59"/>
        <w:t> </w:t>
        <w:bookmarkEnd w:id="80"/>
        <w:t>tốt hơn hết là đừng đề cập vấn đề này với tôi không?”</w:t>
      </w:r>
    </w:p>
    <w:p>
      <w:pPr>
        <w:pStyle w:val="Para 008"/>
      </w:pPr>
      <w:r>
        <w:rPr>
          <w:rStyle w:val="Text0"/>
        </w:rPr>
        <w:t>Chuyên gia #3: “Không</w:t>
      </w:r>
      <w:r>
        <w:t xml:space="preserve"> hẳn. Tôi nghĩ chúng tôi không muốn nghe như thể chúng tôi đang than vãn.”</w:t>
      </w:r>
    </w:p>
    <w:p>
      <w:pPr>
        <w:pStyle w:val="Para 008"/>
      </w:pPr>
      <w:r>
        <w:rPr>
          <w:rStyle w:val="Text0"/>
        </w:rPr>
        <w:t>Quản lý:</w:t>
      </w:r>
      <w:r>
        <w:t xml:space="preserve"> “Chà, tôi chắc chắn không nghĩ các bạn nghe như thể đang than vãn. Nhưng có hai điều hiện lên trong đầu tôi. Nếu tôi hiểu đúng ý các bạn, các</w:t>
      </w:r>
      <w:r>
        <w:rPr>
          <w:rStyle w:val="Text0"/>
        </w:rPr>
        <w:t> bạn</w:t>
      </w:r>
      <w:r>
        <w:t xml:space="preserve"> đã phàn nàn, nhưng sự phàn nàn về tôi và việc tôi không thể nói 'không' đã bị che đậy. Thứ hai, nếu chúng ta đã thảo luận chuyện này, có lẽ tôi đã có được dữ liệu cần thiết để có thể nói 'không'.”</w:t>
      </w:r>
    </w:p>
    <w:p>
      <w:pPr>
        <w:pStyle w:val="Normal"/>
      </w:pPr>
      <w:r>
        <w:t xml:space="preserve">Để ý rằng khi chuyên viên thứ hai mô tả cách các chuyên gia tư vấn đã che đậy những lời phàn nàn của họ, người quản lý không chỉ trích</w:t>
        <w:bookmarkStart w:id="81" w:name="page_01_60"/>
        <w:t> </w:t>
        <w:bookmarkEnd w:id="81"/>
        <w:t>cô ấy. Thay vào đó, anh ấy khen thưởng sự cởi mở của cô ấy bằng cách đáp lại một cách chân thành. Anh ấy tập trung vào những cách mà chính anh ấy cũng có thể đã góp phần vào việc che đậy đó. Việc phản ánh một cách không phòng thủ về vai trò của mình trong vấn đề này giúp các chuyên viên có thể nói về nỗi sợ bị coi là than vãn của họ. Sau đó, người quản lý đồng ý với các chuyên viên rằng họ không nên trở thành những kẻ hay than phiền. Đồng thời, anh ấy chỉ ra những hậu quả phản tác dụng của việc che đậy những lời phàn nàn.</w:t>
      </w:r>
    </w:p>
    <w:p>
      <w:pPr>
        <w:pStyle w:val="Normal"/>
      </w:pPr>
      <w:r>
        <w:t>Một vấn đề chưa được giải quyết khác trong cuộc họp nhóm dự án là về sự kiêu ngạo được cho là của khách hàng. Một cuộc trò chuyện hiệu quả hơn về vấn đề đó có thể diễn ra như thế này:</w:t>
      </w:r>
    </w:p>
    <w:p>
      <w:pPr>
        <w:pStyle w:val="Para 008"/>
      </w:pPr>
      <w:r>
        <w:bookmarkStart w:id="82" w:name="page_01_61"/>
        <w:t>Quản</w:t>
        <w:bookmarkEnd w:id="82"/>
      </w:r>
      <w:r>
        <w:rPr>
          <w:rStyle w:val="Text0"/>
        </w:rPr>
        <w:t> lý:</w:t>
      </w:r>
      <w:r>
        <w:t xml:space="preserve"> “Các bạn nói rằng khách hàng kiêu ngạo và không hợp tác. Họ đã nói gì và làm gì?”</w:t>
      </w:r>
    </w:p>
    <w:p>
      <w:pPr>
        <w:pStyle w:val="Para 008"/>
      </w:pPr>
      <w:r>
        <w:rPr>
          <w:rStyle w:val="Text0"/>
        </w:rPr>
        <w:t>Chuyên viên #1: “Một</w:t>
      </w:r>
      <w:r>
        <w:t xml:space="preserve"> người hỏi tôi đã bao giờ trả lương cho nhân viên chưa. Một người khác hỏi tôi ra trường được bao lâu rồi.”</w:t>
      </w:r>
    </w:p>
    <w:p>
      <w:pPr>
        <w:pStyle w:val="Para 008"/>
      </w:pPr>
      <w:r>
        <w:rPr>
          <w:rStyle w:val="Text0"/>
        </w:rPr>
        <w:t>Chuyên viên #2: “Có</w:t>
      </w:r>
      <w:r>
        <w:t xml:space="preserve"> người còn hỏi tôi bao nhiêu tuổi nữa cơ!”</w:t>
      </w:r>
    </w:p>
    <w:p>
      <w:pPr>
        <w:pStyle w:val="Para 008"/>
      </w:pPr>
      <w:r>
        <w:rPr>
          <w:rStyle w:val="Text0"/>
        </w:rPr>
        <w:t>Chuyên viên #3:</w:t>
      </w:r>
      <w:r>
        <w:t xml:space="preserve"> “Thế còn chưa là gì. Tệ nhất là khi họ nói rằng tất cả những gì chúng ta làm chỉ là phỏng vấn mọi người, viết báo cáo dựa trên những gì họ kể, rồi thu phí.”</w:t>
      </w:r>
    </w:p>
    <w:p>
      <w:pPr>
        <w:pStyle w:val="Para 008"/>
      </w:pPr>
      <w:r>
        <w:rPr>
          <w:rStyle w:val="Text0"/>
        </w:rPr>
        <w:t>Quản lý:</w:t>
      </w:r>
      <w:r>
        <w:t xml:space="preserve"> “Việc chúng ta thường còn trẻ quả thực là một vấn đề thực sự với nhiều khách hàng. Họ rất phòng thủ về điều đó.</w:t>
      </w:r>
    </w:p>
    <w:p>
      <w:pPr>
        <w:pStyle w:val="Normal"/>
      </w:pPr>
      <w:r>
        <w:bookmarkStart w:id="83" w:name="page_01_62"/>
        <w:t>Nhưng</w:t>
        <w:bookmarkEnd w:id="83"/>
        <w:t> tôi muốn tìm hiểu xem liệu có cách nào để họ thoải mái bày tỏ quan điểm mà chúng ta không phải phòng thủ …”</w:t>
      </w:r>
    </w:p>
    <w:p>
      <w:pPr>
        <w:pStyle w:val="Normal"/>
      </w:pPr>
      <w:r>
        <w:t>“Điều khiến tôi băn khoăn về những phản ứng ban đầu của các bạn là các bạn đã cho rằng mình đúng khi gọi khách hàng là ngu ngốc. Một điều tôi nhận thấy ở các chuyên gia tư vấn—ở công ty này và các công ty khác—là chúng ta có xu hướng tự bảo vệ mình bằng cách nói xấu khách hàng.”</w:t>
      </w:r>
    </w:p>
    <w:p>
      <w:pPr>
        <w:pStyle w:val="Para 008"/>
      </w:pPr>
      <w:r>
        <w:rPr>
          <w:rStyle w:val="Text0"/>
        </w:rPr>
        <w:t>Chuyên viên #1:</w:t>
      </w:r>
      <w:r>
        <w:t xml:space="preserve"> “Đúng vậy. Rốt cuộc, nếu họ thực sự ngu ngốc, thì rõ ràng không phải lỗi của chúng ta khi họ không hiểu được!”</w:t>
      </w:r>
    </w:p>
    <w:p>
      <w:pPr>
        <w:pStyle w:val="Para 008"/>
      </w:pPr>
      <w:r>
        <w:rPr>
          <w:rStyle w:val="Text0"/>
        </w:rPr>
        <w:t>Chuyên viên #2: “Tất</w:t>
      </w:r>
      <w:r>
        <w:t xml:space="preserve"> nhiên, lập trường đó là chống lại việc học hỏi và bảo vệ thái quá. Bằng cách cho rằng họ không thể học, chúng ta tự miễn trừ cho mình khỏi việc phải dạy họ.”</w:t>
      </w:r>
    </w:p>
    <w:p>
      <w:pPr>
        <w:pStyle w:val="Para 008"/>
      </w:pPr>
      <w:r>
        <w:bookmarkStart w:id="84" w:name="page_01_63"/>
        <w:t>Chuyên</w:t>
        <w:bookmarkEnd w:id="84"/>
      </w:r>
      <w:r>
        <w:rPr>
          <w:rStyle w:val="Text0"/>
        </w:rPr>
        <w:t> viên #3:</w:t>
      </w:r>
      <w:r>
        <w:t xml:space="preserve"> “Và càng nhiều người trong chúng ta đồng tình với việc nói xấu đó, chúng ta càng củng cố sự phòng thủ của nhau.”</w:t>
      </w:r>
    </w:p>
    <w:p>
      <w:pPr>
        <w:pStyle w:val="Para 008"/>
      </w:pPr>
      <w:r>
        <w:rPr>
          <w:rStyle w:val="Text0"/>
        </w:rPr>
        <w:t>Quản lý:</w:t>
      </w:r>
      <w:r>
        <w:t xml:space="preserve"> “Vậy giải pháp thay thế là gì? Làm thế nào chúng ta có thể khuyến khích khách hàng bày tỏ sự phòng thủ của họ và đồng thời xây dựng dựa trên điều đó một cách tích cực?”</w:t>
      </w:r>
    </w:p>
    <w:p>
      <w:pPr>
        <w:pStyle w:val="Para 008"/>
      </w:pPr>
      <w:r>
        <w:rPr>
          <w:rStyle w:val="Text0"/>
        </w:rPr>
        <w:t>Chuyên viên #1:</w:t>
      </w:r>
      <w:r>
        <w:t xml:space="preserve"> “Chúng ta đều biết rằng vấn đề thực sự không phải là tuổi tác của chúng ta; mà là liệu chúng ta có thể mang lại giá trị cho tổ chức của khách hàng hay không. Họ nên đánh giá chúng ta dựa trên những gì chúng ta tạo ra. Và nếu chúng ta không mang lại giá trị, họ nên loại bỏ chúng ta—dù chúng ta trẻ hay già.”</w:t>
      </w:r>
    </w:p>
    <w:p>
      <w:pPr>
        <w:pStyle w:val="Para 008"/>
      </w:pPr>
      <w:r>
        <w:rPr>
          <w:rStyle w:val="Text0"/>
        </w:rPr>
        <w:t>Quản lý:</w:t>
      </w:r>
      <w:r>
        <w:t xml:space="preserve"> “Có lẽ đó chính xác là những gì chúng ta nên nói với họ.”</w:t>
      </w:r>
    </w:p>
    <w:p>
      <w:pPr>
        <w:pStyle w:val="Para 008"/>
      </w:pPr>
      <w:r>
        <w:bookmarkStart w:id="85" w:name="page_01_64"/>
        <w:t>Trong</w:t>
        <w:bookmarkEnd w:id="85"/>
        <w:t> cả hai ví dụ này, các chuyên gia tư vấn và người quản lý của họ đang thực sự làm việc. Họ đang tìm hiểu về động lực nhóm của chính mình và giải quyết một số vấn đề chung trong mối quan hệ tư vấn – khách hàng. Những hiểu biết họ thu được sẽ giúp họ hành động hiệu quả hơn trong tương lai—cả với tư cách cá nhân lẫn tư cách một nhóm. Họ không chỉ giải quyết vấn đề mà còn phát triển một sự hiểu biết sâu sắc hơn và chi tiết hơn về vai trò của mình với tư cách là thành viên của tổ chức. Họ đang đặt nền móng cho sự cải tiến liên tục thực sự liên tục. Họ đang học cách học.</w:t>
      </w:r>
    </w:p>
    <w:p>
      <w:bookmarkStart w:id="86" w:name="Top_of_01_Argyris_Teaching_08_ab"/>
      <w:bookmarkStart w:id="87" w:name="ABOUT_THE_AUTHOR_Chris_Argyris_i"/>
      <w:pPr>
        <w:pStyle w:val="Para 133"/>
        <w:pageBreakBefore w:val="on"/>
      </w:pPr>
      <w:r>
        <w:bookmarkStart w:id="88" w:name="page_01_65"/>
        <w:t/>
        <w:bookmarkEnd w:id="88"/>
        <w:t>VỀ TÁC GIẢ</w:t>
      </w:r>
      <w:bookmarkEnd w:id="86"/>
      <w:bookmarkEnd w:id="87"/>
    </w:p>
    <w:p>
      <w:pPr>
        <w:pStyle w:val="Normal"/>
      </w:pPr>
      <w:r>
        <w:rPr>
          <w:rStyle w:val="Text0"/>
        </w:rPr>
        <w:t>Chris Argyris</w:t>
      </w:r>
      <w:r>
        <w:t xml:space="preserve"> là Giáo sư Danh dự James Bryant Conant về Giáo dục và Hành vi Tổ chức tại Đại học Harvard.</w:t>
        <w:bookmarkStart w:id="89" w:name="page_01_66"/>
        <w:t/>
        <w:bookmarkEnd w:id="89"/>
      </w:r>
    </w:p>
    <w:p>
      <w:bookmarkStart w:id="90" w:name="Top_of_01_Argyris_Teaching_09_al"/>
      <w:bookmarkStart w:id="91" w:name="ALSO_BY_THIS_AUTHOR_Harvard_Busi"/>
      <w:pPr>
        <w:pStyle w:val="Para 133"/>
        <w:pageBreakBefore w:val="on"/>
      </w:pPr>
      <w:r>
        <w:bookmarkStart w:id="92" w:name="page_01_67"/>
        <w:t/>
        <w:bookmarkEnd w:id="92"/>
        <w:t>CŨNG CỦA TÁC GIẢ NÀY</w:t>
      </w:r>
      <w:bookmarkEnd w:id="90"/>
      <w:bookmarkEnd w:id="91"/>
    </w:p>
    <w:p>
      <w:pPr>
        <w:pStyle w:val="Para 184"/>
      </w:pPr>
      <w:r>
        <w:t>Các bài viết trên Harvard Business Review</w:t>
      </w:r>
    </w:p>
    <w:p>
      <w:pPr>
        <w:pStyle w:val="Para 075"/>
      </w:pPr>
      <w:r>
        <w:t>“Học tập vòng kép trong các tổ chức”</w:t>
      </w:r>
    </w:p>
    <w:p>
      <w:pPr>
        <w:pStyle w:val="Para 075"/>
      </w:pPr>
      <w:r>
        <w:t>“Trao quyền: Bộ quần áo mới của Hoàng đế”</w:t>
      </w:r>
    </w:p>
    <w:p>
      <w:pPr>
        <w:pStyle w:val="Para 075"/>
      </w:pPr>
      <w:r>
        <w:t>“Giao tiếp tốt ngăn cản việc học tập”</w:t>
      </w:r>
    </w:p>
    <w:p>
      <w:pPr>
        <w:pStyle w:val="Para 075"/>
      </w:pPr>
      <w:r>
        <w:t>“Rào cản giữa các cá nhân trong việc ra quyết định”</w:t>
      </w:r>
    </w:p>
    <w:p>
      <w:pPr>
        <w:pStyle w:val="Para 075"/>
      </w:pPr>
      <w:r>
        <w:t>“Sự bất tài có kỹ năng”</w:t>
        <w:bookmarkStart w:id="93" w:name="page_01_68"/>
        <w:t/>
        <w:bookmarkEnd w:id="93"/>
      </w:r>
    </w:p>
    <w:p>
      <w:bookmarkStart w:id="94" w:name="sbo_rt_content_1"/>
      <w:bookmarkStart w:id="95" w:name="a02"/>
      <w:bookmarkStart w:id="96" w:name="Top_of_02_00_cover_xhtml"/>
      <w:pPr>
        <w:pStyle w:val="Para 051"/>
        <w:pageBreakBefore w:val="on"/>
      </w:pPr>
      <w:r>
        <w:drawing>
          <wp:anchor distL="0" distR="0" distT="0" distB="0" simplePos="0" relativeHeight="1" behindDoc="0" locked="0" layoutInCell="1" allowOverlap="1">
            <wp:simplePos x="0" y="0"/>
            <wp:positionH relativeFrom="margin">
              <wp:align>left</wp:align>
            </wp:positionH>
            <wp:positionV relativeFrom="line">
              <wp:align>top</wp:align>
            </wp:positionV>
            <wp:extent cx="5486400" cy="8229600"/>
            <wp:effectExtent l="0" r="0" t="0" b="0"/>
            <wp:wrapTopAndBottom/>
            <wp:docPr id="2" name="2chap_cover.jpg" descr="cover"/>
            <wp:cNvGraphicFramePr>
              <a:graphicFrameLocks noChangeAspect="1"/>
            </wp:cNvGraphicFramePr>
            <a:graphic>
              <a:graphicData uri="http://schemas.openxmlformats.org/drawingml/2006/picture">
                <pic:pic>
                  <pic:nvPicPr>
                    <pic:cNvPr id="0" name="2chap_cover.jpg" descr="cover"/>
                    <pic:cNvPicPr/>
                  </pic:nvPicPr>
                  <pic:blipFill>
                    <a:blip r:embed="rId6"/>
                    <a:stretch>
                      <a:fillRect/>
                    </a:stretch>
                  </pic:blipFill>
                  <pic:spPr>
                    <a:xfrm>
                      <a:off x="0" y="0"/>
                      <a:ext cx="5486400" cy="8229600"/>
                    </a:xfrm>
                    <a:prstGeom prst="rect">
                      <a:avLst/>
                    </a:prstGeom>
                  </pic:spPr>
                </pic:pic>
              </a:graphicData>
            </a:graphic>
          </wp:anchor>
        </w:drawing>
      </w:r>
      <w:bookmarkEnd w:id="94"/>
      <w:bookmarkEnd w:id="95"/>
      <w:bookmarkEnd w:id="96"/>
    </w:p>
    <w:p>
      <w:bookmarkStart w:id="97" w:name="Top_of_01_Argyris_Teaching_10_ar"/>
      <w:bookmarkStart w:id="98" w:name="Article_Summary_The_Idea_at_Work"/>
      <w:pPr>
        <w:pStyle w:val="Para 134"/>
        <w:pageBreakBefore w:val="on"/>
      </w:pPr>
      <w:r>
        <w:bookmarkStart w:id="99" w:name="page_01_69"/>
        <w:t/>
        <w:bookmarkEnd w:id="99"/>
        <w:t>Tóm tắt bài viết</w:t>
      </w:r>
      <w:bookmarkEnd w:id="97"/>
      <w:bookmarkEnd w:id="98"/>
    </w:p>
    <w:p>
      <w:pPr>
        <w:pStyle w:val="Para 185"/>
      </w:pPr>
      <w:r>
        <w:t>Ý tưởng trong công việc</w:t>
      </w:r>
    </w:p>
    <w:p>
      <w:pPr>
        <w:pStyle w:val="Para 021"/>
      </w:pPr>
      <w:r>
        <w:t>Mọi người thường tuyên bố rằng họ cởi mở với phê bình và học hỏi điều mới, nhưng hành động của họ lại cho thấy một bộ giá trị chi phối hoặc lý thuyết hành động (theories-in-use) rất khác:</w:t>
      </w:r>
    </w:p>
    <w:p>
      <w:pPr>
        <w:pStyle w:val="Para 091"/>
      </w:pPr>
      <w:r>
        <w:t>• mong muốn duy trì quyền kiểm soát đơn phương</w:t>
      </w:r>
    </w:p>
    <w:p>
      <w:pPr>
        <w:pStyle w:val="Para 091"/>
      </w:pPr>
      <w:r>
        <w:t>• mục tiêu tối đa hóa “thắng” và tối thiểu hóa “thua”</w:t>
      </w:r>
    </w:p>
    <w:p>
      <w:pPr>
        <w:pStyle w:val="Para 091"/>
      </w:pPr>
      <w:r>
        <w:t>• niềm tin rằng cảm xúc tiêu cực nên bị kìm nén</w:t>
      </w:r>
    </w:p>
    <w:p>
      <w:pPr>
        <w:pStyle w:val="Para 091"/>
      </w:pPr>
      <w:r>
        <w:t>• mong muốn tỏ ra lý trí nhất có thể.</w:t>
      </w:r>
    </w:p>
    <w:p>
      <w:pPr>
        <w:pStyle w:val="Para 021"/>
      </w:pPr>
      <w:r>
        <w:bookmarkStart w:id="100" w:name="page_01_70"/>
        <w:t>Kết</w:t>
        <w:bookmarkEnd w:id="100"/>
        <w:t> hợp lại, những giá trị này bộc lộ một tư thế phòng thủ sâu sắc: nhu cầu tránh xấu hổ, đe dọa, hoặc cảm giác dễ tổn thương và bất tài. Lối suy luận vòng khép kín này giải thích tại sao việc khuyến khích trao đổi cởi mở lại có thể khiến một số người e ngại. Điều này đặc biệt liên quan đến hành vi của nhiều nhân viên có kỹ năng cao và được đào tạo bài bản nhất. Đằng sau những khát vọng cao cả của họ là nỗi sợ thất bại cũng cao không kém và xu hướng cảm thấy xấu hổ khi họ không đạt được tiêu chuẩn cao của mình. Do đó, họ trở nên dễ tổn thương và chán nản trong những tình huống mà họ không thể hiện xuất sắc ngay lập tức.</w:t>
      </w:r>
    </w:p>
    <w:p>
      <w:pPr>
        <w:pStyle w:val="Para 021"/>
      </w:pPr>
      <w:r>
        <w:t xml:space="preserve">May mắn thay,</w:t>
      </w:r>
      <w:r>
        <w:rPr>
          <w:rStyle w:val="Text0"/>
        </w:rPr>
        <w:t> các</w:t>
      </w:r>
      <w:r>
        <w:t xml:space="preserve"> cá nhân và tổ chức hoàn toàn có thể phát triển những mô hình hành vi hiệu quả hơn. Dưới đây là hai gợi ý để thực hiện điều này:</w:t>
      </w:r>
    </w:p>
    <w:p>
      <w:pPr>
        <w:pStyle w:val="Para 135"/>
      </w:pPr>
      <w:r>
        <w:t xml:space="preserve">1.</w:t>
      </w:r>
      <w:r>
        <w:rPr>
          <w:rStyle w:val="Text0"/>
        </w:rPr>
        <w:t> Áp dụng cùng một kiểu “suy luận sắc bén” mà bạn dùng để phân tích chiến lược.</w:t>
      </w:r>
      <w:r>
        <w:t xml:space="preserve"> Thu thập dữ liệu khách quan nhất có thể. Nêu rõ</w:t>
        <w:bookmarkStart w:id="101" w:name="page_01_71"/>
        <w:t> </w:t>
        <w:bookmarkEnd w:id="101"/>
        <w:t>các suy luận của bạn và kiểm tra chúng liên tục. Đưa kết luận của mình vào những bài kiểm tra khắt khe nhất: đảm bảo rằng chúng không vị kỷ hoặc không thể được người khác xác minh.</w:t>
      </w:r>
    </w:p>
    <w:p>
      <w:pPr>
        <w:pStyle w:val="Para 135"/>
      </w:pPr>
      <w:r>
        <w:t xml:space="preserve">2.</w:t>
      </w:r>
      <w:r>
        <w:rPr>
          <w:rStyle w:val="Text0"/>
        </w:rPr>
        <w:t> Các nhà quản lý cấp cao phải là tấm gương về những thay đổi mong</w:t>
      </w:r>
      <w:r>
        <w:t xml:space="preserve"> muốn trước tiên. Khi ban lãnh đạo thể hiện sự sẵn lòng xem xét lại một cách phê phán các lý thuyết hành động của chính mình và thay đổi chúng theo chỉ dẫn, mọi người sẽ thấy dễ dàng hơn để làm điều tương tự.</w:t>
      </w:r>
    </w:p>
    <w:p>
      <w:pPr>
        <w:pStyle w:val="Para 186"/>
      </w:pPr>
      <w:r>
        <w:rPr>
          <w:rStyle w:val="Text0"/>
        </w:rPr>
        <w:t>Ví dụ:</w:t>
      </w:r>
      <w:r>
        <w:t xml:space="preserve"> Một CEO của công ty phát triển tổ chức đã tạo ra một nghiên cứu tình huống để giải quyết các vấn đề thực tế do sự cạnh tranh gay gắt giữa các nhân viên trực tiếp của ông. Trong một đoạn văn, ông mô tả một cuộc họp mà ông dự định tổ chức với cấp dưới. Sau đó, ông viết ra kế hoạch sẽ nói gì, cách ông nghĩ cấp dưới sẽ phản hồi, cũng như mọi suy nghĩ hoặc cảm xúc mà ông nghĩ mình có</w:t>
        <w:bookmarkStart w:id="102" w:name="page_01_72"/>
        <w:t> </w:t>
        <w:bookmarkEnd w:id="102"/>
        <w:t xml:space="preserve">thể có nhưng không bày tỏ vì sợ làm chệch hướng cuộc trò chuyện. Thay vì tổ chức cuộc họp thực sự, ông đã phân tích tình huống mà mình</w:t>
      </w:r>
      <w:r>
        <w:rPr>
          <w:rStyle w:val="Text0"/>
        </w:rPr>
        <w:t> xây</w:t>
      </w:r>
      <w:r>
        <w:t xml:space="preserve"> dựng với các nhân viên trực tiếp. Kết quả là một cuộc trò chuyện đầy sáng tỏ, trong đó CEO và cấp dưới có thể vượt qua lối suy luận vòng khép kín vốn đã đặc trưng cho rất nhiều cuộc thảo luận trước đó.</w:t>
      </w:r>
    </w:p>
    <w:p>
      <w:bookmarkStart w:id="103" w:name="Top_of_03_00_Cover_xhtml"/>
      <w:bookmarkStart w:id="104" w:name="sbo_rt_content_2"/>
      <w:bookmarkStart w:id="105" w:name="a03"/>
      <w:pPr>
        <w:pStyle w:val="Para 051"/>
        <w:pageBreakBefore w:val="on"/>
      </w:pPr>
      <w:r>
        <w:drawing>
          <wp:anchor distL="0" distR="0" distT="0" distB="0" simplePos="0" relativeHeight="1" behindDoc="0" locked="0" layoutInCell="1" allowOverlap="1">
            <wp:simplePos x="0" y="0"/>
            <wp:positionH relativeFrom="margin">
              <wp:align>left</wp:align>
            </wp:positionH>
            <wp:positionV relativeFrom="line">
              <wp:align>top</wp:align>
            </wp:positionV>
            <wp:extent cx="5486400" cy="8229600"/>
            <wp:effectExtent l="0" r="0" t="0" b="0"/>
            <wp:wrapTopAndBottom/>
            <wp:docPr id="3" name="3chap_cover.jpg" descr="cover"/>
            <wp:cNvGraphicFramePr>
              <a:graphicFrameLocks noChangeAspect="1"/>
            </wp:cNvGraphicFramePr>
            <a:graphic>
              <a:graphicData uri="http://schemas.openxmlformats.org/drawingml/2006/picture">
                <pic:pic>
                  <pic:nvPicPr>
                    <pic:cNvPr id="0" name="3chap_cover.jpg" descr="cover"/>
                    <pic:cNvPicPr/>
                  </pic:nvPicPr>
                  <pic:blipFill>
                    <a:blip r:embed="rId7"/>
                    <a:stretch>
                      <a:fillRect/>
                    </a:stretch>
                  </pic:blipFill>
                  <pic:spPr>
                    <a:xfrm>
                      <a:off x="0" y="0"/>
                      <a:ext cx="5486400" cy="8229600"/>
                    </a:xfrm>
                    <a:prstGeom prst="rect">
                      <a:avLst/>
                    </a:prstGeom>
                  </pic:spPr>
                </pic:pic>
              </a:graphicData>
            </a:graphic>
          </wp:anchor>
        </w:drawing>
      </w:r>
      <w:bookmarkEnd w:id="103"/>
      <w:bookmarkEnd w:id="104"/>
      <w:bookmarkEnd w:id="105"/>
    </w:p>
    <w:p>
      <w:bookmarkStart w:id="106" w:name="Harvard_Business_Review_CLASSICS_1"/>
      <w:bookmarkStart w:id="107" w:name="Top_of_03_02_Title_xhtml"/>
      <w:pPr>
        <w:pStyle w:val="Para 032"/>
        <w:pageBreakBefore w:val="on"/>
      </w:pPr>
      <w:r>
        <w:bookmarkStart w:id="108" w:name="page03_iii"/>
        <w:t/>
        <w:bookmarkEnd w:id="108"/>
        <w:t>Harvard Business Review</w:t>
      </w:r>
      <w:bookmarkEnd w:id="106"/>
      <w:bookmarkEnd w:id="107"/>
    </w:p>
    <w:p>
      <w:pPr>
        <w:pStyle w:val="Para 033"/>
      </w:pPr>
      <w:r>
        <w:t>KINH ĐIỂN</w:t>
      </w:r>
    </w:p>
    <w:p>
      <w:pPr>
        <w:pStyle w:val="Para 036"/>
      </w:pPr>
      <w:r>
        <w:t>BẠN SẼ ĐO LƯỜNG</w:t>
        <w:br w:clear="none"/>
        <w:t xml:space="preserve"> CUỘC ĐỜI MÌNH NHƯ THẾ NÀO?</w:t>
      </w:r>
    </w:p>
    <w:p>
      <w:pPr>
        <w:pStyle w:val="Para 026"/>
      </w:pPr>
      <w:r>
        <w:t>Clayton M. Christensen</w:t>
      </w:r>
    </w:p>
    <w:p>
      <w:pPr>
        <w:pStyle w:val="Para 012"/>
      </w:pPr>
      <w:r>
        <w:t>Harvard Business Review Press</w:t>
      </w:r>
    </w:p>
    <w:p>
      <w:pPr>
        <w:pStyle w:val="Para 012"/>
      </w:pPr>
      <w:r>
        <w:t>Boston, Massachusetts</w:t>
      </w:r>
    </w:p>
    <w:p>
      <w:bookmarkStart w:id="109" w:name="Top_of_03_03_Copyright_xhtml"/>
      <w:bookmarkStart w:id="110" w:name="HBR_Press_Quantity_Sales_Discoun"/>
      <w:pPr>
        <w:pStyle w:val="Para 065"/>
        <w:pageBreakBefore w:val="on"/>
      </w:pPr>
      <w:r>
        <w:rPr>
          <w:rStyle w:val="Text1"/>
        </w:rPr>
        <w:bookmarkStart w:id="111" w:name="page03_iv"/>
        <w:t/>
        <w:bookmarkEnd w:id="111"/>
      </w:r>
      <w:r>
        <w:t>HBR PRESS - CHIẾT KHẤU MUA SỐ LƯỢNG</w:t>
      </w:r>
      <w:bookmarkEnd w:id="109"/>
      <w:bookmarkEnd w:id="110"/>
    </w:p>
    <w:p>
      <w:pPr>
        <w:pStyle w:val="Para 092"/>
      </w:pPr>
      <w:r>
        <w:t>Các ấn phẩm của Harvard Business Review Press có sẵn với mức chiết khấu đáng kể khi mua với số lượng lớn cho quà tặng khách hàng, chương trình khuyến mãi và quà tặng kèm. Các phiên bản đặc biệt, bao gồm sách có logo công ty, bìa tùy chỉnh, và thư của công ty hoặc CEO in ở phần đầu sách, cũng như trích đoạn từ các cuốn sách hiện có, cũng có thể được tạo ra với số lượng lớn cho các nhu cầu đặc biệt.</w:t>
      </w:r>
    </w:p>
    <w:p>
      <w:pPr>
        <w:pStyle w:val="Para 093"/>
      </w:pPr>
      <w:r>
        <w:t xml:space="preserve">Để biết chi tiết và thông tin chiết khấu cho cả định dạng bản in và sách điện tử, hãy liên</w:t>
      </w:r>
      <w:r>
        <w:rPr>
          <w:rStyle w:val="Text2"/>
        </w:rPr>
        <w:t> hệ booksales@harvardbusiness.org,</w:t>
      </w:r>
      <w:r>
        <w:t xml:space="preserve"> điện</w:t>
        <w:t> thoại 800-988-0886,</w:t>
        <w:t xml:space="preserve"> h</w:t>
      </w:r>
      <w:hyperlink r:id="rId32">
        <w:r>
          <w:rPr>
            <w:rStyle w:val="Text2"/>
          </w:rPr>
          <w:t>oặc www.hbr.org/bulksale</w:t>
        </w:r>
      </w:hyperlink>
      <w:r>
        <w:t>s.</w:t>
      </w:r>
    </w:p>
    <w:p>
      <w:pPr>
        <w:pStyle w:val="Para 006"/>
      </w:pPr>
      <w:r>
        <w:t>Bản quyền 2017 Harvard Business School Publishing Corporation. Được</w:t>
        <w:br w:clear="none"/>
        <w:t xml:space="preserve"> xuất bản lần đầu trên Harvard</w:t>
      </w:r>
      <w:r>
        <w:rPr>
          <w:rStyle w:val="Text0"/>
        </w:rPr>
        <w:t> Business Review vào</w:t>
      </w:r>
      <w:r>
        <w:t xml:space="preserve"> tháng 7 năm 2010.</w:t>
        <w:br w:clear="none"/>
        <w:t xml:space="preserve"> Bản in lại #R1007B.</w:t>
        <w:br w:clear="none"/>
        <w:t xml:space="preserve"> Bảo lưu mọi quyền.</w:t>
      </w:r>
    </w:p>
    <w:p>
      <w:pPr>
        <w:pStyle w:val="Para 006"/>
      </w:pPr>
      <w:r>
        <w:t xml:space="preserve">Không một phần nào của ấn phẩm này có thể được sao chép, lưu trữ hoặc đưa vào hệ thống truy xuất dữ liệu, hoặc truyền tải dưới bất kỳ hình thức nào, hoặc bằng bất kỳ phương tiện nào (điện tử, cơ khí, sao chụp, ghi âm, hoặc cách khác), mà không có sự cho phép trước của nhà xuất bản. Yêu cầu xin phép nên gửi tới</w:t>
      </w:r>
      <w:r>
        <w:rPr>
          <w:rStyle w:val="Text2"/>
        </w:rPr>
        <w:t> permissions@hbsp.harvard.edu,</w:t>
      </w:r>
      <w:r>
        <w:t> hoặc gửi thư tới Permissions, Harvard Business School Publishing, 60 Harvard Way, Boston, Massachusetts 02163.</w:t>
      </w:r>
    </w:p>
    <w:p>
      <w:pPr>
        <w:pStyle w:val="Para 060"/>
      </w:pPr>
      <w:r>
        <w:t>Các địa chỉ web được tham chiếu trong cuốn sách này đã hoạt động và chính xác tại thời điểm xuất bản nhưng có thể thay đổi.</w:t>
      </w:r>
    </w:p>
    <w:p>
      <w:pPr>
        <w:pStyle w:val="Para 010"/>
      </w:pPr>
      <w:r>
        <w:t>Tên: Christensen, Clayton M., tác giả.</w:t>
      </w:r>
    </w:p>
    <w:p>
      <w:pPr>
        <w:pStyle w:val="Para 010"/>
      </w:pPr>
      <w:r>
        <w:t>Tựa đề: Bạn sẽ đo lường cuộc đời mình như thế nào? / Clayton M. Christensen.</w:t>
      </w:r>
    </w:p>
    <w:p>
      <w:pPr>
        <w:pStyle w:val="Para 010"/>
      </w:pPr>
      <w:r>
        <w:t>Tựa đề khác: Harvard business review classics.</w:t>
      </w:r>
    </w:p>
    <w:p>
      <w:pPr>
        <w:pStyle w:val="Para 010"/>
      </w:pPr>
      <w:r>
        <w:t>Mô tả: Boston, Massachusetts : Harvard Business Review Press, [2017]</w:t>
      </w:r>
    </w:p>
    <w:p>
      <w:pPr>
        <w:pStyle w:val="Para 094"/>
      </w:pPr>
      <w:r>
        <w:t>| Bộ sách: Harvard business review classics</w:t>
      </w:r>
    </w:p>
    <w:p>
      <w:pPr>
        <w:pStyle w:val="Para 010"/>
      </w:pPr>
      <w:r>
        <w:t>Mã định danh: LCCN 2016042146 | ISBN 9781633692565 (bìa mềm: giấy không axit)</w:t>
      </w:r>
    </w:p>
    <w:p>
      <w:pPr>
        <w:pStyle w:val="Para 010"/>
      </w:pPr>
      <w:r>
        <w:t>Chủ đề: LCSH: Chất lượng cuộc sống. | Tính chính trực. | Quản lý.</w:t>
      </w:r>
    </w:p>
    <w:p>
      <w:pPr>
        <w:pStyle w:val="Para 094"/>
      </w:pPr>
      <w:r>
        <w:t>| Đạo đức kinh doanh. | Tự nhận thức.</w:t>
      </w:r>
    </w:p>
    <w:p>
      <w:pPr>
        <w:pStyle w:val="Para 010"/>
      </w:pPr>
      <w:r>
        <w:t>Phân loại: LCC HN25 .C48 2017 | DDC 306—dc23 Hồ sơ LC có sẵn tại https://lccn.loc.gov/2016042146</w:t>
      </w:r>
    </w:p>
    <w:p>
      <w:pPr>
        <w:pStyle w:val="Para 006"/>
      </w:pPr>
      <w:r>
        <w:t>ISBN: 978-1-63369-256-5</w:t>
      </w:r>
    </w:p>
    <w:p>
      <w:pPr>
        <w:pStyle w:val="Para 010"/>
      </w:pPr>
      <w:r>
        <w:t>eISBN: 978-1-63369-257-2</w:t>
      </w:r>
    </w:p>
    <w:p>
      <w:bookmarkStart w:id="112" w:name="THE_HARVARD_BUSINESS_REVIEW_CLAS_1"/>
      <w:bookmarkStart w:id="113" w:name="Top_of_03_04_series_xhtml"/>
      <w:pPr>
        <w:pStyle w:val="Para 052"/>
        <w:pageBreakBefore w:val="on"/>
      </w:pPr>
      <w:r>
        <w:bookmarkStart w:id="114" w:name="page03_v"/>
        <w:t>BỘ</w:t>
        <w:bookmarkEnd w:id="114"/>
        <w:t> SÁCH KINH ĐIỂN CỦA HARVARD BUSINESS REVIEW</w:t>
      </w:r>
      <w:bookmarkEnd w:id="112"/>
      <w:bookmarkEnd w:id="113"/>
    </w:p>
    <w:p>
      <w:pPr>
        <w:pStyle w:val="Para 048"/>
      </w:pPr>
      <w:r>
        <w:t xml:space="preserve">Từ năm 1922,</w:t>
      </w:r>
      <w:r>
        <w:rPr>
          <w:rStyle w:val="Text0"/>
        </w:rPr>
        <w:t> Harvard Business Review đã</w:t>
      </w:r>
      <w:r>
        <w:t xml:space="preserve"> là nguồn hàng đầu về những ý tưởng đột phá trong thực tiễn quản lý — nhiều trong số đó vẫn còn vang vọng và ảnh hưởng đến chúng ta ngày nay. Bộ sách HBR Classics hiện mang đến cho bạn cơ hội để biến những tác phẩm nền tảng này thành một phần thường trực trong tủ sách quản lý của mình. Mỗi tập sách chứa đựng một ý tưởng đột phá đã định hình các phương pháp thực hành tốt nhất và truyền cảm hứng cho vô số nhà quản lý trên khắp thế giới — và sẽ thay đổi cách bạn suy nghĩ về thế giới kinh doanh ngày</w:t>
        <w:bookmarkStart w:id="115" w:name="page03_vi"/>
        <w:t> nay.</w:t>
        <w:bookmarkEnd w:id="115"/>
      </w:r>
    </w:p>
    <w:p>
      <w:bookmarkStart w:id="116" w:name="Before_I_published_The_Innovator"/>
      <w:bookmarkStart w:id="117" w:name="Top_of_03_05_Chapter1_xhtml"/>
      <w:pPr>
        <w:pStyle w:val="Para 136"/>
        <w:pageBreakBefore w:val="on"/>
      </w:pPr>
      <w:r>
        <w:bookmarkStart w:id="118" w:name="page03_1"/>
        <w:t>Trước</w:t>
        <w:bookmarkEnd w:id="118"/>
        <w:t xml:space="preserve"> khi tôi xuất bản</w:t>
      </w:r>
      <w:r>
        <w:rPr>
          <w:rStyle w:val="Text0"/>
        </w:rPr>
        <w:t> cuốn The Innovator’s Dilemma,</w:t>
      </w:r>
      <w:r>
        <w:t xml:space="preserve"> tôi nhận được cuộc gọi từ Andrew Grove, khi đó là chủ tịch của Intel. Ông đã đọc một trong những bài viết đầu tiên của tôi về công nghệ đột phá (disruptive technology), và ông hỏi tôi có thể nói chuyện với các cộng sự trực tiếp của ông và giải thích nghiên cứu của tôi cùng ý nghĩa của nó đối với Intel hay không. Phấn khích, tôi bay đến Thung lũng Silicon và có mặt đúng giờ hẹn, chỉ để nghe Grove nói: “Nghe này, đã có nhiều chuyện xảy ra. Chúng tôi chỉ có 10 phút cho anh. Hãy cho chúng</w:t>
        <w:bookmarkStart w:id="119" w:name="page03_2"/>
        <w:t> </w:t>
        <w:bookmarkEnd w:id="119"/>
        <w:t>tôi biết mô hình đột phá của anh có nghĩa gì đối với Intel.” Tôi nói rằng tôi không thể—rằng tôi cần trọn 30 phút để giải thích mô hình, vì chỉ khi có bối cảnh đó, mọi nhận xét về Intel mới có ý nghĩa. Mười phút sau khi tôi bắt đầu giải thích, Grove ngắt lời: “Nghe này, tôi đã hiểu mô hình của anh. Hãy chỉ cho chúng tôi biết nó có nghĩa gì với Intel thôi.”</w:t>
      </w:r>
      <w:bookmarkEnd w:id="116"/>
      <w:bookmarkEnd w:id="117"/>
    </w:p>
    <w:p>
      <w:pPr>
        <w:pStyle w:val="Para 007"/>
      </w:pPr>
      <w:r>
        <w:t xml:space="preserve">Tôi khăng khăng rằng tôi cần thêm 10 phút để mô tả cách quá trình phá vỡ (disruption) đã diễn ra trong một ngành công nghiệp rất khác, đó là ngành thép, để ông ấy và đội ngũ của ông có thể hiểu được cách thức hoạt động của sự phá vỡ. Tôi kể câu</w:t>
        <w:br w:clear="none"/>
        <w:t> chuyện về cách Nucor và các nhà máy thép mini (minimill) khác bắt đầu bằng việc tấn công phân khúc thấp nhất của thị trường — thép thanh cốt bê tông, hay còn gọi là rebar — và sau đó tiến lên phân khúc cao cấp, cắt giảm giá so với các nhà máy thép truyền thống.</w:t>
      </w:r>
    </w:p>
    <w:p>
      <w:pPr>
        <w:pStyle w:val="Para 007"/>
      </w:pPr>
      <w:r>
        <w:bookmarkStart w:id="120" w:name="page03_3"/>
        <w:t>Khi</w:t>
        <w:bookmarkEnd w:id="120"/>
        <w:t> tôi kể xong câu chuyện về nhà máy thép mini, Grove nói: "OK, tôi hiểu rồi. Điều đó có nghĩa cho Intel là . . ." và sau đó ông trình bày chi tiết điều sẽ trở thành chiến lược của công ty nhằm hướng đến phân khúc thấp nhất của thị trường để ra mắt bộ vi xử lý Celeron.</w:t>
      </w:r>
    </w:p>
    <w:p>
      <w:pPr>
        <w:pStyle w:val="Para 007"/>
      </w:pPr>
      <w:r>
        <w:t>Tôi đã nghĩ về điều đó hàng triệu lần kể từ đó. Nếu tôi bị lừa (suckered) để nói cho Andy Grove biết ông nên nghĩ gì về ngành kinh doanh vi xử lý, chắc tôi đã bị tiêu diệt. Nhưng thay vì bảo ông ấy nên nghĩ gì, tôi đã dạy ông ấy cách suy nghĩ — và sau đó ông ấy tự đi đến quyết định mà tôi cảm thấy là đúng.</w:t>
      </w:r>
    </w:p>
    <w:p>
      <w:pPr>
        <w:pStyle w:val="Para 007"/>
      </w:pPr>
      <w:r>
        <w:t xml:space="preserve">Trải nghiệm đó đã có ảnh hưởng sâu sắc đến tôi. Khi người ta hỏi tôi nghĩ họ nên làm gì, tôi hiếm khi trả lời câu hỏi của họ một cách trực</w:t>
        <w:bookmarkStart w:id="121" w:name="page03_4"/>
        <w:t> </w:t>
        <w:bookmarkEnd w:id="121"/>
        <w:t>tiếp. Thay vào đó, tôi đưa câu hỏi đó vào một trong các mô hình của tôi. Tôi sẽ mô tả cách quá trình trong mô hình đã diễn ra trong một ngành công nghiệp hoàn toàn khác với ngành của họ. Và sau đó, thường thì họ sẽ nói: "OK, tôi hiểu rồi." Và họ sẽ tự trả lời câu hỏi của mình một cách sâu sắc hơn những gì tôi có thể.</w:t>
      </w:r>
    </w:p>
    <w:p>
      <w:pPr>
        <w:pStyle w:val="Para 007"/>
      </w:pPr>
      <w:r>
        <w:t xml:space="preserve">Lớp học của tôi tại Trường Kinh doanh Harvard được thiết kế để giúp sinh viên hiểu lý thuyết quản trị tốt là gì và được xây dựng như thế nào. Trên nền tảng đó, tôi gắn kết các mô hình hoặc lý thuyết khác nhau giúp sinh viên suy nghĩ về các khía cạnh khác nhau trong công việc của một nhà quản lý tổng quát trong việc thúc đẩy đổi mới và tăng trưởng. Trong mỗi buổi học, chúng tôi xem xét một công ty qua lăng kính của các lý thuyết đó — sử dụng chúng để giải thích cách công ty rơi vào tình huống hiện</w:t>
        <w:bookmarkStart w:id="122" w:name="page03_5"/>
        <w:t> t</w:t>
        <w:bookmarkEnd w:id="122"/>
        <w:t>ại và xem xét các hành động quản lý nào sẽ mang lại kết quả cần thiết.</w:t>
      </w:r>
    </w:p>
    <w:p>
      <w:pPr>
        <w:pStyle w:val="Para 007"/>
      </w:pPr>
      <w:r>
        <w:t>Vào ngày cuối cùng của khóa học, tôi yêu cầu sinh viên của mình áp dụng những lăng kính lý thuyết đó vào chính bản thân họ, tìm ra những câu trả lời thuyết phục cho ba câu hỏi: Thứ nhất, làm sao tôi có thể chắc chắn rằng mình sẽ hạnh phúc trong sự nghiệp? Thứ hai, làm sao tôi có thể chắc chắn rằng mối quan hệ của tôi với vợ/chồng và gia đình sẽ trở thành nguồn hạnh phúc lâu dài? Thứ ba, làm sao tôi có thể chắc chắn sẽ không phải ngồi tù? Mặc dù câu hỏi cuối nghe có vẻ đùa cợt, nhưng không phải vậy. Hai trong số 32 người trong lớp học bổng Rhodes của tôi đã phải ngồi tù. Jeff Skilling nổi tiếng với vụ Enron là bạn cùng lớp của tôi tại HBS. Những người này đều là những người tốt — nhưng có điều gì đó trong cuộc sống của họ đã đưa họ đi sai hướng.</w:t>
      </w:r>
    </w:p>
    <w:p>
      <w:pPr>
        <w:pStyle w:val="Para 007"/>
      </w:pPr>
      <w:r>
        <w:bookmarkStart w:id="123" w:name="page03_6"/>
        <w:t>Khi</w:t>
        <w:bookmarkEnd w:id="123"/>
        <w:t> các sinh viên thảo luận về câu trả lời cho những câu hỏi này, tôi mở cuộc sống của chính mình cho họ như một dạng nghiên cứu tình huống, để minh họa cách họ có thể sử dụng các lý thuyết từ khóa học của chúng tôi để định hướng các quyết định trong cuộc sống.</w:t>
      </w:r>
    </w:p>
    <w:p>
      <w:pPr>
        <w:pStyle w:val="Para 007"/>
      </w:pPr>
      <w:r>
        <w:t xml:space="preserve">Một trong những lý thuyết mang lại cái nhìn sâu sắc cho câu hỏi đầu tiên—làm thế nào để chắc chắn tìm thấy hạnh phúc trong sự nghiệp—là lý thuyết của Frederick Herzberg, người khẳng định rằng động lực mạnh mẽ trong cuộc sống của chúng ta không phải là tiền bạc; mà là cơ hội để học hỏi, phát triển trách nhiệm, đóng góp cho người khác và được công nhận cho những thành tích. Tôi kể cho sinh viên nghe về một hình ảnh trong tâm trí tôi khi tôi đang điều hành công ty mà tôi sáng lập trước khi trở thành một học giả. Trong tâm trí, tôi thấy một trong những quản lý của tôi rời nhà đi làm vào một buổi sáng</w:t>
        <w:bookmarkStart w:id="124" w:name="page03_7"/>
        <w:t> </w:t>
        <w:bookmarkEnd w:id="124"/>
        <w:t xml:space="preserve">với lòng tự trọng tương đối cao. Sau đó, tôi hình dung cô ấy lái xe về nhà với gia đình sau 10 giờ, cảm thấy không được trân trọng, thất vọng, không được sử dụng khả năng và bị coi thường. Tôi tưởng tượng sự tự trọng giảm sút đó ảnh hưởng sâu sắc đến cách cô ấy tương tác với con cái. Hình ảnh trong tâm trí tôi sau đó nhanh chóng chuyển sang một ngày khác, khi cô ấy lái xe về nhà với lòng tự trọng cao hơn—cảm thấy rằng mình đã học được nhiều điều, được công nhận vì đã đạt được những điều giá trị và đóng vai trò quan trọng trong sự thành công của một số sáng kiến quan trọng. Tôi lại tưởng tượng điều đó đã ảnh hưởng tích cực đến cô ấy như một người bạn đời và một người mẹ. Kết luận của tôi: Quản lý là một trong những nghề cao quý nhất nếu nó được thực hành tốt. Không có nghề nào khác mang lại nhiều cách để giúp người khác học hỏi và phát triển, nhận</w:t>
        <w:bookmarkStart w:id="125" w:name="page03_8"/>
        <w:t> </w:t>
        <w:bookmarkEnd w:id="125"/>
        <w:t>trách nhiệm và được ghi nhận cho thành tích, và đóng góp vào sự thành công của một đội ngũ. Ngày càng nhiều sinh viên MBA đến trường với suy nghĩ rằng sự nghiệp kinh doanh có nghĩa là mua bán và đầu tư vào các công ty. Thật đáng tiếc. Thực hiện các thương vụ không mang lại những phần thưởng sâu sắc như việc xây dựng con người.</w:t>
      </w:r>
    </w:p>
    <w:p>
      <w:pPr>
        <w:pStyle w:val="Para 007"/>
      </w:pPr>
      <w:r>
        <w:t>Tôi muốn sinh viên rời khỏi lớp học của tôi với nhận thức đó.</w:t>
      </w:r>
    </w:p>
    <w:p>
      <w:bookmarkStart w:id="126" w:name="CREATE_A_STRATEGY_FOR_YOUR_LIFE"/>
      <w:pPr>
        <w:pStyle w:val="Para 040"/>
      </w:pPr>
      <w:r>
        <w:t>HÃY TẠO RA CHIẾN LƯỢC CHO CUỘC ĐỜI BẠN</w:t>
      </w:r>
      <w:bookmarkEnd w:id="126"/>
    </w:p>
    <w:p>
      <w:pPr>
        <w:pStyle w:val="Para 007"/>
      </w:pPr>
      <w:r>
        <w:t xml:space="preserve">Một lý thuyết hữu ích để trả lời câu hỏi thứ hai—Làm thế nào để đảm bảo rằng mối quan hệ của tôi với gia đình là một nguồn hạnh phúc bền vững?—liên quan đến cách</w:t>
        <w:bookmarkStart w:id="127" w:name="page03_9"/>
        <w:t> </w:t>
        <w:bookmarkEnd w:id="127"/>
        <w:t>xác định và thực hiện chiến lược. Cái nhìn sâu sắc chính là chiến lược của một công ty được quyết định bởi các loại sáng kiến mà ban quản lý đầu tư vào. Nếu quy trình phân bổ nguồn lực không được quản lý một cách thành thạo, kết quả có thể rất khác so với những gì ban quản lý dự định. Vì các hệ thống ra quyết định của công ty được thiết kế để hướng các khoản đầu tư vào các sáng kiến mang lại lợi ích hữu hình và tức thời nhất, các công ty thường không đầu tư đúng mức vào các sáng kiến quan trọng cho chiến lược dài hạn của họ.</w:t>
      </w:r>
    </w:p>
    <w:p>
      <w:pPr>
        <w:pStyle w:val="Para 007"/>
      </w:pPr>
      <w:r>
        <w:t xml:space="preserve">Trong những năm qua, tôi đã chứng kiến số phận của các bạn học cùng lớp HBS năm 1979; tôi thấy ngày càng nhiều người đến các buổi hội ngộ trong tình trạng không hạnh phúc, ly hôn và xa</w:t>
        <w:bookmarkStart w:id="128" w:name="page03_10"/>
        <w:t> </w:t>
        <w:bookmarkEnd w:id="128"/>
        <w:t>lánh con cái. Tôi có thể đảm bảo với bạn rằng không một ai trong số họ tốt nghiệp với chiến lược có chủ đích là ly hôn và nuôi dạy những đứa con trở nên xa cách với họ. Thế nhưng, một số lượng đáng kinh ngạc trong số họ đã thực hiện chiến lược đó. Lý do? Họ đã không giữ mục đích cuộc sống của mình ở vị trí trung tâm và hàng đầu khi quyết định cách chi tiêu thời gian, tài năng và năng lượng của mình.</w:t>
      </w:r>
    </w:p>
    <w:p>
      <w:pPr>
        <w:pStyle w:val="Para 007"/>
      </w:pPr>
      <w:r>
        <w:t xml:space="preserve">Thật đáng ngạc nhiên khi một phần đáng kể trong số 900 sinh viên mà HBS tuyển chọn mỗi năm từ những người giỏi nhất thế giới lại ít suy nghĩ về mục đích sống của mình. Tôi nói với các sinh viên rằng HBS có thể là một trong những cơ hội cuối cùng để họ suy ngẫm sâu sắc về câu hỏi đó. Nếu họ nghĩ rằng sau này họ sẽ có nhiều thời gian và năng lượng hơn để suy ngẫm, thì họ nhầm to, vì cuộc</w:t>
        <w:bookmarkStart w:id="129" w:name="page03_11"/>
        <w:t> </w:t>
        <w:bookmarkEnd w:id="129"/>
        <w:t>sống chỉ ngày càng đòi hỏi nhiều hơn: Bạn phải gánh một khoản vay thế chấp; bạn làm việc 70 giờ một tuần; bạn có vợ/chồng và con cái.</w:t>
      </w:r>
    </w:p>
    <w:p>
      <w:pPr>
        <w:pStyle w:val="Para 007"/>
      </w:pPr>
      <w:r>
        <w:t xml:space="preserve">Đối với tôi, việc có một mục đích rõ ràng trong cuộc sống là điều thiết yếu. Nhưng tôi đã phải suy nghĩ rất lâu và kỹ lưỡng mới hiểu được nó. Khi còn là học giả Rhodes, tôi đang theo một chương trình học thuật rất khắc nghiệt, cố nhồi nhét thêm một năm công việc vào khoảng thời gian ở Oxford. Tôi quyết định dành một giờ mỗi tối để đọc, suy ngẫm và cầu nguyện về lý do Chúa đặt tôi trên trái đất này. Đó là một cam kết rất khó khăn để duy trì, vì mỗi giờ tôi dành cho việc đó, tôi lại không học kinh tế lượng ứng dụng. Tôi đã phân vân liệu mình có thực sự đủ khả năng để dành thời gian đó khỏi việc</w:t>
        <w:bookmarkStart w:id="130" w:name="page03_12"/>
        <w:t> </w:t>
        <w:bookmarkEnd w:id="130"/>
        <w:t>học không, nhưng tôi vẫn kiên trì — và cuối cùng đã tìm ra mục đích cuộc đời mình.</w:t>
      </w:r>
    </w:p>
    <w:p>
      <w:pPr>
        <w:pStyle w:val="Para 007"/>
      </w:pPr>
      <w:r>
        <w:t xml:space="preserve">Nếu thay vào đó tôi dành một giờ mỗi ngày để học các kỹ thuật mới nhất nhằm giải quyết các vấn đề tự tương quan trong phân tích hồi quy, tôi đã phí hoài cuộc đời mình. Tôi áp dụng các công cụ kinh tế lượng vài lần một năm, nhưng tôi áp dụng kiến thức về mục đích cuộc sống của mình mỗi ngày. Đó là thứ hữu ích nhất mà tôi từng học. Tôi hứa với sinh viên của mình rằng nếu họ dành thời gian để tìm ra mục đích sống, họ sẽ nhìn lại nó như là điều quan trọng nhất mà họ khám phá ra tại HBS. Nếu họ không tìm ra, họ sẽ chỉ lênh đênh mà không có bánh lái và bị vùi dập trong biển đời đầy sóng gió. Sự rõ ràng về mục đích sẽ vượt xa kiến thức về tính giá theo hoạt động (activity-based costing), bảng điểm cân bằng</w:t>
        <w:bookmarkStart w:id="131" w:name="page03_13"/>
        <w:t> (b</w:t>
        <w:bookmarkEnd w:id="131"/>
        <w:t>alanced scorecards), năng lực cốt lõi (core competence), đổi mới đột phá (disruptive innovation), bốn chữ P (four Ps) và năm lực lượng (five forces).</w:t>
      </w:r>
    </w:p>
    <w:p>
      <w:pPr>
        <w:pStyle w:val="Para 007"/>
      </w:pPr>
      <w:r>
        <w:t>Mục đích của tôi xuất phát từ đức tin tôn giáo của tôi, nhưng đức tin không phải là thứ duy nhất định hướng cho con người. Ví dụ, một cựu sinh viên của tôi đã quyết định rằng mục đích của anh ấy là mang lại sự trung thực và thịnh vượng kinh tế cho đất nước mình và nuôi dạy những đứa trẻ cũng tận tâm và có năng lực với lý tưởng này và với nhau như anh ấy. Mục đích của anh ấy tập trung vào gia đình và những người khác — giống như tôi vậy.</w:t>
      </w:r>
    </w:p>
    <w:p>
      <w:pPr>
        <w:pStyle w:val="Para 007"/>
      </w:pPr>
      <w:r>
        <w:t>Việc lựa chọn và theo đuổi thành công một nghề nghiệp chỉ là một công cụ để đạt được mục đích của bạn. Nhưng nếu không có mục đích, cuộc sống có thể trở nên trống rỗng.</w:t>
      </w:r>
    </w:p>
    <w:p>
      <w:bookmarkStart w:id="132" w:name="ALLOCATE_YOUR_RESOURCES"/>
      <w:pPr>
        <w:pStyle w:val="Para 040"/>
      </w:pPr>
      <w:r>
        <w:bookmarkStart w:id="133" w:name="page03_14"/>
        <w:t/>
        <w:bookmarkEnd w:id="133"/>
        <w:t>PHÂN BỔ NGUỒN LỰC CỦA BẠN</w:t>
      </w:r>
      <w:bookmarkEnd w:id="132"/>
    </w:p>
    <w:p>
      <w:pPr>
        <w:pStyle w:val="Para 007"/>
      </w:pPr>
      <w:r>
        <w:t>Những quyết định của bạn về việc phân bổ thời gian, năng lượng và tài năng cá nhân cuối cùng sẽ định hình chiến lược cuộc đời bạn.</w:t>
      </w:r>
    </w:p>
    <w:p>
      <w:pPr>
        <w:pStyle w:val="Para 007"/>
      </w:pPr>
      <w:r>
        <w:t>Tôi có một loạt các “công việc kinh doanh” cạnh tranh nhau về những nguồn lực này: Tôi đang cố gắng có một mối quan hệ tốt đẹp với vợ, nuôi dạy những đứa con tuyệt vời, đóng góp cho cộng đồng, thành công trong sự nghiệp, đóng góp cho nhà thờ, vân vân. Và tôi gặp chính xác vấn đề giống như một tập đoàn. Tôi có lượng thời gian, năng lượng và tài năng có hạn. Tôi nên dành bao nhiêu cho từng mục tiêu này?</w:t>
      </w:r>
    </w:p>
    <w:p>
      <w:pPr>
        <w:pStyle w:val="Para 007"/>
      </w:pPr>
      <w:r>
        <w:t xml:space="preserve">Những lựa chọn phân bổ có thể khiến cuộc đời bạn trở nên rất khác so với những gì bạn định hướng. Đôi khi điều đó tốt: Những cơ</w:t>
        <w:bookmarkStart w:id="134" w:name="page03_15"/>
        <w:t> </w:t>
        <w:bookmarkEnd w:id="134"/>
        <w:t>hội mà bạn không bao giờ lên kế hoạch sẽ xuất hiện. Nhưng nếu bạn đầu tư sai nguồn lực, kết quả có thể tồi tệ. Khi tôi nghĩ về những người bạn cùng lớp trước đây của mình, những người vô tình đầu tư cho cuộc sống mà lại bất hạnh trống rỗng, tôi không thể không tin rằng những rắc rối của họ liên quan trực tiếp đến góc nhìn ngắn hạn.</w:t>
      </w:r>
    </w:p>
    <w:p>
      <w:pPr>
        <w:pStyle w:val="Para 007"/>
      </w:pPr>
      <w:r>
        <w:t xml:space="preserve">Khi những người có nhu cầu thành tích cao—và điều đó bao gồm tất cả các cựu sinh viên HBS—có thêm nửa giờ thời gian hoặc thêm một chút năng lượng, họ sẽ vô thức phân bổ nó vào những hoạt động mang lại thành tựu hữu hình nhất. Và sự nghiệp mang lại bằng chứng cụ thể nhất rằng chúng ta đang tiến lên. Bạn xuất xưởng một sản phẩm, hoàn thành một thiết kế, hoàn tất một bài thuyết trình, chốt một thương</w:t>
        <w:bookmarkStart w:id="135" w:name="page03_16"/>
        <w:t> </w:t>
        <w:bookmarkEnd w:id="135"/>
        <w:t>vụ, dạy một lớp học, xuất bản một bài báo, được trả lương, được thăng chức. Ngược lại, đầu tư thời gian và năng lượng vào mối quan hệ với vợ/chồng và con cái thường không mang lại cảm giác thành tựu tức thì tương tự. Trẻ con hư mỗi ngày. Mãi đến 20 năm sau, bạn mới có thể chống nạnh và nói, “Tôi đã nuôi dạy một đứa con trai hoặc một đứa con gái tốt.” Bạn có thể lơ là mối quan hệ với vợ/chồng, và từ ngày này qua ngày khác, mọi thứ có vẻ không hề xấu đi. Những người khao khát xuất sắc có khuynh hướng vô thức đầu tư quá ít vào gia đình và đầu tư quá nhiều vào sự nghiệp—mặc dù các mối quan hệ khăng khít và yêu thương với gia đình là nguồn hạnh phúc mạnh mẽ và bền vững nhất.</w:t>
      </w:r>
    </w:p>
    <w:p>
      <w:pPr>
        <w:pStyle w:val="Para 007"/>
      </w:pPr>
      <w:r>
        <w:bookmarkStart w:id="136" w:name="page03_17"/>
        <w:t>Nếu</w:t>
        <w:bookmarkEnd w:id="136"/>
        <w:t> bạn nghiên cứu các nguyên nhân gốc rễ của những thảm họa kinh doanh, hết lần này đến lần khác bạn sẽ thấy khuynh hướng hướng tới những nỗ lực mang lại sự hài lòng tức thì này. Nếu bạn nhìn vào đời sống cá nhân qua lăng kính đó, bạn sẽ thấy cùng một khuôn mẫu đáng kinh ngạc và đáng suy ngẫm: con người phân bổ ngày càng ít nguồn lực hơn cho những điều mà trước đây họ từng nói là quan trọng nhất.</w:t>
      </w:r>
    </w:p>
    <w:p>
      <w:bookmarkStart w:id="137" w:name="CREATE_A_CULTURE"/>
      <w:pPr>
        <w:pStyle w:val="Para 040"/>
      </w:pPr>
      <w:r>
        <w:t>XÂY DỰNG MỘT NỀN VĂN HÓA</w:t>
      </w:r>
      <w:bookmarkEnd w:id="137"/>
    </w:p>
    <w:p>
      <w:pPr>
        <w:pStyle w:val="Para 007"/>
      </w:pPr>
      <w:r>
        <w:t xml:space="preserve">Có một mô hình quan trọng trong lớp chúng tôi gọi là Công cụ Hợp tác (Tools of Cooperation), về cơ bản nói rằng làm một nhà quản lý có tầm nhìn không hẳn là tuyệt vời như người ta ca ngợi. Một chuyện là nhìn thấu tương lai mờ mịt một cách sắc bén và vạch ra những</w:t>
        <w:bookmarkStart w:id="138" w:name="page03_18"/>
        <w:t> đ</w:t>
        <w:bookmarkEnd w:id="138"/>
        <w:t>iều chỉnh hướng đi mà công ty phải thực hiện. Nhưng chuyện khác là thuyết phục những nhân viên có thể không thấy trước những thay đổi, để họ đồng lòng và hợp tác đưa công ty theo hướng mới đó. Biết dùng công cụ nào để tạo ra sự hợp tác cần thiết là một kỹ năng quản lý quan trọng.</w:t>
      </w:r>
    </w:p>
    <w:p>
      <w:pPr>
        <w:pStyle w:val="Para 007"/>
      </w:pPr>
      <w:r>
        <w:t xml:space="preserve">Lý thuyết này sắp xếp các công cụ này theo hai chiều—mức độ mà các thành viên trong tổ chức đồng thuận về những gì họ muốn từ sự tham gia của mình vào doanh nghiệp, và mức độ họ đồng thuận về những hành động nào sẽ tạo ra kết quả mong muốn. Khi có ít sự đồng thuận trên cả hai trục, bạn phải sử dụng “công cụ quyền lực” (power tools)—ép buộc, đe dọa, trừng phạt, v.v.—để đảm bảo sự hợp tác. Nhiều công ty bắt đầu từ góc phần tư này, đó là lý</w:t>
        <w:bookmarkStart w:id="139" w:name="page03_19"/>
        <w:t> </w:t>
        <w:bookmarkEnd w:id="139"/>
        <w:t xml:space="preserve">do tại sao đội ngũ điều hành sáng lập phải đóng vai trò quyết đoán trong việc xác định điều gì cần làm và làm như thế nào. Nếu cách nhân viên phối hợp làm việc để giải quyết các nhiệm vụ đó liên tục thành công, sự đồng thuận bắt đầu hình thành. Edgar Schein của MIT đã mô tả quá trình này là cơ chế xây dựng văn hóa. Cuối cùng, người ta thậm chí không nghĩ về việc cách làm của họ có mang lại thành công hay không. Họ nắm bắt các ưu tiên và tuân theo quy trình theo bản năng và giả định thay vì quyết định rõ ràng—điều đó có nghĩa là họ đã tạo ra một nền văn hóa. Văn hóa, theo những cách thuyết phục nhưng không nói ra, quy định các phương pháp đã được chứng minh và chấp nhận mà các thành viên trong nhóm sử dụng để giải</w:t>
        <w:bookmarkStart w:id="140" w:name="page03_20"/>
        <w:t> </w:t>
        <w:bookmarkEnd w:id="140"/>
        <w:t>quyết các vấn đề tái diễn. Và văn hóa xác định mức độ ưu tiên cho các loại vấn đề khác nhau. Nó có thể là một công cụ quản lý mạnh mẽ.</w:t>
      </w:r>
    </w:p>
    <w:p>
      <w:pPr>
        <w:pStyle w:val="Para 007"/>
      </w:pPr>
      <w:r>
        <w:t xml:space="preserve">Khi sử dụng mô hình này để giải quyết câu hỏi: Làm thế nào tôi có thể chắc chắn rằng gia đình mình trở thành nguồn hạnh phúc lâu dài?, sinh viên của tôi nhanh chóng nhận ra rằng công cụ đơn giản nhất mà cha mẹ có thể sử dụng để nhận được sự hợp tác từ con cái là công cụ quyền lực. Nhưng đến một thời điểm nào đó trong những năm thiếu niên, công cụ quyền lực không còn hiệu quả nữa. Lúc đó, cha mẹ bắt đầu ước rằng họ đã bắt đầu làm việc với con cái từ khi còn rất nhỏ để xây dựng một nền văn hóa trong gia đình, nơi trẻ em theo bản năng cư xử tôn trọng lẫn nhau, vâng lời cha mẹ và chọn điều đúng đắn. Gia đình cũng có văn hóa, giống như công ty.</w:t>
        <w:bookmarkStart w:id="141" w:name="page03_21"/>
        <w:t> N</w:t>
        <w:bookmarkEnd w:id="141"/>
        <w:t>hững nền văn hóa đó có thể được xây dựng một cách có ý thức hoặc phát triển một cách vô tình.</w:t>
      </w:r>
    </w:p>
    <w:p>
      <w:pPr>
        <w:pStyle w:val="Para 007"/>
      </w:pPr>
      <w:r>
        <w:t>Nếu bạn muốn con cái mình có lòng tự trọng vững vàng và sự tự tin rằng chúng có thể giải quyết những vấn đề khó khăn, những phẩm chất đó sẽ không kỳ diệu xuất hiện ở trường trung học. Bạn phải thiết kế chúng vào văn hóa gia đình và phải suy nghĩ về điều này rất sớm. Giống như nhân viên, trẻ em xây dựng lòng tự trọng bằng cách làm những việc khó khăn và học hỏi những gì hiệu quả.</w:t>
      </w:r>
    </w:p>
    <w:p>
      <w:bookmarkStart w:id="142" w:name="AVOID_THE__MARGINAL_COSTS__MISTA"/>
      <w:pPr>
        <w:pStyle w:val="Para 040"/>
      </w:pPr>
      <w:r>
        <w:t>TRÁNH SAI LẦM VỀ “CHI PHÍ BIÊN” (MARGINAL COSTS)</w:t>
      </w:r>
      <w:bookmarkEnd w:id="142"/>
    </w:p>
    <w:p>
      <w:pPr>
        <w:pStyle w:val="Para 007"/>
      </w:pPr>
      <w:r>
        <w:t xml:space="preserve">Chúng ta được dạy trong tài chính và kinh tế rằng khi đánh giá các khoản đầu tư thay thế, chúng ta nên bỏ qua chi phí chìm và chi phí</w:t>
        <w:bookmarkStart w:id="143" w:name="page03_22"/>
        <w:t> </w:t>
        <w:bookmarkEnd w:id="143"/>
        <w:t>cố định, và thay vào đó đưa ra quyết định dựa trên chi phí biên và doanh thu biên mà mỗi phương án đòi hỏi. Trong khóa học của chúng tôi, chúng tôi học rằng học thuyết này khiến các công ty có xu hướng tận dụng những gì họ đã xây dựng để thành công trong quá khứ, thay vì hướng dẫn họ tạo ra những năng lực cần thiết trong tương lai. Nếu chúng ta biết rằng tương lai sẽ hoàn toàn giống như quá khứ, thì cách tiếp cận đó là tốt. Nhưng nếu tương lai khác đi—và hầu như luôn luôn là như vậy—thì làm như vậy là sai lầm.</w:t>
      </w:r>
    </w:p>
    <w:p>
      <w:pPr>
        <w:pStyle w:val="Para 007"/>
      </w:pPr>
      <w:r>
        <w:t xml:space="preserve">Lý thuyết này trả lời cho câu hỏi thứ ba mà tôi thường trao đổi với sinh viên—làm thế nào để sống một cuộc đời liêm chính (không phải ngồi tù). Một cách vô thức, chúng ta thường áp dụng học thuyết chi phí biên (marginal cost doctrine) vào cuộc sống cá nhân khi phải lựa chọn giữa đúng và sai. Có</w:t>
        <w:bookmarkStart w:id="144" w:name="page03_23"/>
        <w:t> m</w:t>
        <w:bookmarkEnd w:id="144"/>
        <w:t>ột giọng nói trong đầu chúng ta thì thầm: 'Này, tôi biết là về nguyên tắc chung, hầu hết mọi người không nên làm điều này. Nhưng trong hoàn cảnh đặc biệt này, chỉ một lần này thôi, thì không sao.' Chi phí biên của việc làm sai trái 'chỉ một lần này' luôn có vẻ hấp dẫn vì quá rẻ. Nó dụ dỗ bạn, và bạn không bao giờ nhìn xem con đường đó cuối cùng sẽ dẫn đến đâu, cũng như không lường hết những cái giá mà lựa chọn đó phải trả. Cái cớ cho sự không chung thủy và gian dối dưới mọi hình thức đều nằm ở cái kinh tế học chi phí biên của 'chỉ một lần này'.</w:t>
      </w:r>
    </w:p>
    <w:p>
      <w:pPr>
        <w:pStyle w:val="Para 007"/>
      </w:pPr>
      <w:r>
        <w:t xml:space="preserve">Tôi muốn kể một câu chuyện về việc tôi đã nhận ra tác hại tiềm ẩn của 'chỉ một lần này' trong chính cuộc đời mình như thế nào. Hồi đó, tôi chơi cho đội bóng rổ đại học của trường Oxford. Chúng tôi cày cuốc hết mình và kết thúc mùa giải với thành tích bất bại. Các thành viên trong đội là những người</w:t>
        <w:bookmarkStart w:id="145" w:name="page03_24"/>
        <w:t> </w:t>
        <w:bookmarkEnd w:id="145"/>
        <w:t>bạn tốt nhất mà tôi từng có trong đời. Chúng tôi lọt vào giải đấu tương đương với NCAA của Anh—và vào đến vòng bán kết. Hóa ra trận chung kết lại được lên lịch vào Chủ nhật. Tôi đã có một cam kết cá nhân với Chúa từ năm 16 tuổi rằng tôi sẽ không bao giờ chơi bóng vào ngày Chủ nhật. Vậy nên tôi đến gặp huấn luyện viên và trình bày vấn đề của mình. Ông ấy tỏ ra không tin nổi. Các đồng đội của tôi cũng vậy, vì tôi là trung phong chính thức. Tất cả mọi người trong đội đều đến nói với tôi: 'Cậu phải chơi thôi. Không thể phá lệ một lần này được sao?'</w:t>
      </w:r>
    </w:p>
    <w:p>
      <w:pPr>
        <w:pStyle w:val="Para 007"/>
      </w:pPr>
      <w:r>
        <w:t>Tôi là một người rất sùng đạo, nên tôi đã đi cầu nguyện về những gì mình nên làm. Tôi nhận được một cảm giác rất rõ ràng rằng mình không nên phá vỡ cam kết—và thế là tôi không chơi trong trận chung kết.</w:t>
      </w:r>
    </w:p>
    <w:p>
      <w:pPr>
        <w:pStyle w:val="Para 007"/>
      </w:pPr>
      <w:r>
        <w:bookmarkStart w:id="146" w:name="page03_25"/>
        <w:t>Xét</w:t>
        <w:bookmarkEnd w:id="146"/>
        <w:t> trên nhiều khía cạnh, đó là một quyết định nhỏ nhặt—liên quan đến một trong vài nghìn ngày Chủ nhật của đời tôi. Về lý thuyết, chắc chắn tôi có thể vượt qua ranh giới đúng một lần đó rồi không bao giờ tái phạm. Nhưng nhìn lại, việc chống lại sự cám dỗ với logic 'Trong hoàn cảnh đặc biệt này, chỉ một lần này thôi, không sao cả' hóa ra lại là một trong những quyết định quan trọng nhất của cuộc đời tôi. Tại sao ư? Cuộc đời tôi là một chuỗi dài vô tận những hoàn cảnh đặc biệt. Nếu tôi đã vượt qua ranh giới một lần đó, chắc chắn tôi sẽ lặp lại điều đó hết lần này đến lần khác trong những năm sau.</w:t>
      </w:r>
    </w:p>
    <w:p>
      <w:pPr>
        <w:pStyle w:val="Para 007"/>
      </w:pPr>
      <w:r>
        <w:t xml:space="preserve">Bài học tôi rút ra là: giữ vững nguyên tắc của mình 100% thời gian dễ hơn nhiều so với việc chỉ giữ 98% thời gian. Nếu bạn nhượng bộ trước 'chỉ một lần này', dựa trên phân tích</w:t>
        <w:bookmarkStart w:id="147" w:name="page03_26"/>
        <w:t> c</w:t>
        <w:bookmarkEnd w:id="147"/>
        <w:t>hi phí biên, như một số bạn cùng lớp cũ của tôi đã làm, bạn sẽ hối hận về nơi mình kết thúc. Bạn phải tự xác định mình đứng về phía điều gì và vạch ra ranh giới ở một nơi an toàn.</w:t>
      </w:r>
    </w:p>
    <w:p>
      <w:bookmarkStart w:id="148" w:name="REMEMBER_THE_IMPORTANCE_OF_HUMIL"/>
      <w:pPr>
        <w:pStyle w:val="Para 040"/>
      </w:pPr>
      <w:r>
        <w:t>HÃY GHI NHỚ TẦM QUAN TRỌNG CỦA SỰ KHIÊM TỐN</w:t>
      </w:r>
      <w:bookmarkEnd w:id="148"/>
    </w:p>
    <w:p>
      <w:pPr>
        <w:pStyle w:val="Para 007"/>
      </w:pPr>
      <w:r>
        <w:t xml:space="preserve">Tôi nhận ra bài học này khi được mời giảng dạy một lớp về sự khiêm tốn tại Đại học Harvard. Tôi yêu cầu tất cả sinh viên mô tả người khiêm tốn nhất mà họ biết. Một đặc điểm nổi bật ở những người khiêm tốn này là: Họ có lòng tự trọng cao. Họ biết mình là ai và cảm thấy hài lòng về bản thân. Chúng tôi cũng nhận định rằng sự khiêm tốn được định nghĩa không phải bởi hành vi hay thái độ tự ti,</w:t>
        <w:bookmarkStart w:id="149" w:name="page03_27"/>
        <w:t> </w:t>
        <w:bookmarkEnd w:id="149"/>
        <w:t>mà bởi sự tôn trọng mà bạn dành cho người khác. Hành vi tốt đẹp tự nhiên nảy sinh từ sự khiêm tốn đó. Ví dụ, bạn sẽ không bao giờ trộm cắp của ai đó, vì bạn tôn trọng người đó quá mức. Bạn cũng sẽ không bao giờ nói dối họ.</w:t>
      </w:r>
    </w:p>
    <w:p>
      <w:pPr>
        <w:pStyle w:val="Para 007"/>
      </w:pPr>
      <w:r>
        <w:t xml:space="preserve">Điều quan trọng là phải mang theo tinh thần khiêm tốn vào cuộc sống. Khi bạn vào được một trường sau đại học hàng đầu, gần như toàn bộ kiến thức bạn có được đến từ những người thông minh hơn và giàu kinh nghiệm hơn bạn: cha mẹ, thầy cô, sếp. Nhưng một khi bạn đã tốt nghiệp từ Harvard Business School hay bất kỳ học viện danh giá nào khác, phần lớn những người bạn gặp hằng ngày có thể không thông minh hơn bạn. Và nếu thái độ của bạn là chỉ những người thông minh hơn mới có thể dạy bạn điều gì đó, thì cơ</w:t>
        <w:bookmarkStart w:id="150" w:name="page03_28"/>
        <w:t> h</w:t>
        <w:bookmarkEnd w:id="150"/>
        <w:t>ội học hỏi của bạn sẽ rất hạn chế. Nhưng nếu bạn có sự háo hức khiêm tốn muốn học hỏi từ mọi người, thì cơ hội học hỏi của bạn sẽ là vô hạn. Nói chung, bạn chỉ có thể khiêm tốn nếu bạn thực sự cảm thấy tốt về bản thân và bạn muốn giúp những người xung quanh cũng cảm thấy tốt về chính họ. Khi chúng ta thấy ai đó có hành vi lăng mạ, kiêu ngạo hoặc hạ thấp người khác, hành vi đó gần như luôn là triệu chứng của sự thiếu tự trọng. Họ cần hạ thấp người khác để cảm thấy tốt hơn về bản thân.</w:t>
      </w:r>
    </w:p>
    <w:p>
      <w:bookmarkStart w:id="151" w:name="CHOOSE_THE_RIGHT_YARDSTICK"/>
      <w:pPr>
        <w:pStyle w:val="Para 040"/>
      </w:pPr>
      <w:r>
        <w:t>CHỌN ĐÚNG THƯỚC ĐO</w:t>
      </w:r>
      <w:bookmarkEnd w:id="151"/>
    </w:p>
    <w:p>
      <w:pPr>
        <w:pStyle w:val="Para 007"/>
      </w:pPr>
      <w:r>
        <w:t xml:space="preserve">Trong năm qua, tôi được chẩn đoán mắc bệnh ung thư và phải đối mặt với khả năng cuộc đời tôi sẽ kết</w:t>
        <w:bookmarkStart w:id="152" w:name="page03_29"/>
        <w:t> </w:t>
        <w:bookmarkEnd w:id="152"/>
        <w:t>thúc sớm hơn tôi dự định. May mắn thay, bây giờ có vẻ như tôi sẽ được tha. Nhưng trải nghiệm đó đã cho tôi một cái nhìn quan trọng về cuộc sống của mình.</w:t>
      </w:r>
    </w:p>
    <w:p>
      <w:pPr>
        <w:pStyle w:val="Para 007"/>
      </w:pPr>
      <w:r>
        <w:t>Tôi có một ý tưởng khá rõ ràng về việc những ý tưởng của mình đã tạo ra doanh thu khổng lồ cho các công ty đã sử dụng nghiên cứu của tôi; tôi biết rằng tôi đã có một tác động đáng kể. Nhưng khi tôi đối mặt với căn bệnh này, thật thú vị khi thấy tác động đó giờ đây không còn quan trọng với tôi nữa. Tôi đã kết luận rằng thước đo mà God dùng để đánh giá cuộc đời tôi không phải là tiền bạc mà là những cá nhân mà tôi đã chạm đến cuộc đời họ.</w:t>
      </w:r>
    </w:p>
    <w:p>
      <w:pPr>
        <w:pStyle w:val="Para 007"/>
      </w:pPr>
      <w:r>
        <w:t xml:space="preserve">Tôi nghĩ đó là cách nó sẽ hoạt động cho tất cả chúng ta. Đừng lo lắng về mức độ nổi bật cá nhân mà bạn đã đạt được; hãy lo lắng về</w:t>
        <w:bookmarkStart w:id="153" w:name="page03_30"/>
        <w:t> nh</w:t>
        <w:bookmarkEnd w:id="153"/>
        <w:t>ững cá nhân mà bạn đã giúp trở thành những người tốt hơn. Đây là lời khuyên cuối cùng của tôi: Hãy suy nghĩ về thước đo mà cuộc đời bạn sẽ được đánh giá, và hãy quyết tâm sống mỗi ngày để cuối cùng, cuộc đời bạn sẽ được đánh giá là thành công.</w:t>
      </w:r>
    </w:p>
    <w:p>
      <w:bookmarkStart w:id="154" w:name="ABOUT_THE_AUTHOR_Clayton_M__Chri"/>
      <w:bookmarkStart w:id="155" w:name="Top_of_03_06_About_the_author_xh"/>
      <w:pPr>
        <w:pStyle w:val="Para 053"/>
        <w:pageBreakBefore w:val="on"/>
      </w:pPr>
      <w:r>
        <w:bookmarkStart w:id="156" w:name="page03_31"/>
        <w:t/>
        <w:bookmarkEnd w:id="156"/>
        <w:t>VỀ TÁC GIẢ</w:t>
      </w:r>
      <w:bookmarkEnd w:id="154"/>
      <w:bookmarkEnd w:id="155"/>
    </w:p>
    <w:p>
      <w:pPr>
        <w:pStyle w:val="Para 007"/>
      </w:pPr>
      <w:r>
        <w:rPr>
          <w:rStyle w:val="Text0"/>
        </w:rPr>
        <w:t>Clayton M. Christensen</w:t>
      </w:r>
      <w:r>
        <w:t xml:space="preserve"> là Giáo sư Quản trị Kinh doanh Kim B. Clark tại Harvard Business School. Ông đã viết một số cuốn sách được giới phê bình đánh giá cao, bao gồm các cuốn bán chạy</w:t>
      </w:r>
      <w:r>
        <w:rPr>
          <w:rStyle w:val="Text0"/>
        </w:rPr>
        <w:t> nhất của New</w:t>
      </w:r>
      <w:r>
        <w:t xml:space="preserve"> York Times là</w:t>
      </w:r>
      <w:r>
        <w:rPr>
          <w:rStyle w:val="Text0"/>
        </w:rPr>
        <w:t> The Innovator’s Dilemma,</w:t>
      </w:r>
      <w:r>
        <w:t xml:space="preserve"> T</w:t>
      </w:r>
      <w:r>
        <w:rPr>
          <w:rStyle w:val="Text0"/>
        </w:rPr>
        <w:t>he Innovator’s Solution và</w:t>
      </w:r>
      <w:r>
        <w:t xml:space="preserve"> Disrupting</w:t>
      </w:r>
      <w:r>
        <w:rPr>
          <w:rStyle w:val="Text0"/>
        </w:rPr>
        <w:t> Class.</w:t>
      </w:r>
      <w:r>
        <w:t xml:space="preserve"> Christensen là đồng sáng lập của Innosight, một công ty tư vấn chiến lược và đổi mới sáng tạo toàn cầu; Rose Park Advisors, một công ty đầu tư; và Clayton Christensen Institute for Disruptive Innovation,</w:t>
        <w:bookmarkStart w:id="157" w:name="page03_32"/>
        <w:t> </w:t>
        <w:bookmarkEnd w:id="157"/>
        <w:t>một tổ chức tư vấn phi lợi nhuận. Năm 2011 và 2013, Christensen được Thinkers50 vinh danh là nhà tư tưởng kinh doanh có ảnh hưởng nhất thế giới.</w:t>
      </w:r>
    </w:p>
    <w:p>
      <w:bookmarkStart w:id="158" w:name="ALSO_BY_THIS_AUTHOR_Harvard_Busi_1"/>
      <w:bookmarkStart w:id="159" w:name="Top_of_03_07_Author_xhtml"/>
      <w:pPr>
        <w:pStyle w:val="Para 053"/>
        <w:pageBreakBefore w:val="on"/>
      </w:pPr>
      <w:r>
        <w:bookmarkStart w:id="160" w:name="page03_33"/>
        <w:t/>
        <w:bookmarkEnd w:id="160"/>
        <w:t>CÁC TÁC PHẨM KHÁC CỦA TÁC GIẢ</w:t>
      </w:r>
      <w:bookmarkEnd w:id="158"/>
      <w:bookmarkEnd w:id="159"/>
    </w:p>
    <w:p>
      <w:pPr>
        <w:pStyle w:val="Para 137"/>
      </w:pPr>
      <w:r>
        <w:t>Sách của Harvard Business Review Press</w:t>
      </w:r>
    </w:p>
    <w:p>
      <w:pPr>
        <w:pStyle w:val="Para 095"/>
      </w:pPr>
      <w:r>
        <w:t>The Clayton M. Christensen Reader</w:t>
      </w:r>
    </w:p>
    <w:p>
      <w:pPr>
        <w:pStyle w:val="Para 095"/>
      </w:pPr>
      <w:r>
        <w:t>The Innovator’s Dilemma: When New Technologies Cause Great Firms to Fail</w:t>
      </w:r>
    </w:p>
    <w:p>
      <w:pPr>
        <w:pStyle w:val="Para 095"/>
      </w:pPr>
      <w:r>
        <w:t>The Innovator’s DNA: Mastering the Five Skills of Disruptive Innovators</w:t>
      </w:r>
      <w:r>
        <w:rPr>
          <w:rStyle w:val="Text0"/>
        </w:rPr>
        <w:t xml:space="preserve"> with Jeffrey H. Dyer and Hal B. Gregersen</w:t>
      </w:r>
    </w:p>
    <w:p>
      <w:pPr>
        <w:pStyle w:val="Para 095"/>
      </w:pPr>
      <w:r>
        <w:t>The Innovator’s Solution: Creating and Sustaining Successful Growth</w:t>
      </w:r>
      <w:r>
        <w:rPr>
          <w:rStyle w:val="Text0"/>
        </w:rPr>
        <w:t xml:space="preserve"> with Michael E. Raynor</w:t>
      </w:r>
    </w:p>
    <w:p>
      <w:pPr>
        <w:pStyle w:val="Para 138"/>
      </w:pPr>
      <w:r>
        <w:bookmarkStart w:id="161" w:name="page03_34"/>
        <w:t/>
        <w:bookmarkEnd w:id="161"/>
        <w:t>Các bài báo trên Harvard Bus</w:t>
      </w:r>
      <w:r>
        <w:rPr>
          <w:rStyle w:val="Text0"/>
        </w:rPr>
        <w:t xml:space="preserve">iness Review</w:t>
      </w:r>
    </w:p>
    <w:p>
      <w:pPr>
        <w:pStyle w:val="Para 020"/>
      </w:pPr>
      <w:r>
        <w:t>“The Capitalist’s Dilemma” cùng Derek van Bever</w:t>
      </w:r>
    </w:p>
    <w:p>
      <w:pPr>
        <w:pStyle w:val="Para 020"/>
      </w:pPr>
      <w:r>
        <w:t>“Consulting on the Cusp of Disruption” cùng Dina Wang và Derek van Bever</w:t>
      </w:r>
    </w:p>
    <w:p>
      <w:pPr>
        <w:pStyle w:val="Para 020"/>
      </w:pPr>
      <w:r>
        <w:t>“Disruptive Innovation for Social Change” cùng Heiner Baumann, Rudy Ruggles và Thomas M. Sadtler</w:t>
      </w:r>
    </w:p>
    <w:p>
      <w:pPr>
        <w:pStyle w:val="Para 020"/>
      </w:pPr>
      <w:r>
        <w:t>“Disruptive Technologies: Catching the Wave” cùng Joseph L. Bower</w:t>
      </w:r>
    </w:p>
    <w:p>
      <w:pPr>
        <w:pStyle w:val="Para 020"/>
      </w:pPr>
      <w:r>
        <w:t>“The Future of Commerce” cùng Adrian Slywotzky, Richard S. Tedlow và Nicholas G. Carr</w:t>
      </w:r>
    </w:p>
    <w:p>
      <w:pPr>
        <w:pStyle w:val="Para 020"/>
      </w:pPr>
      <w:r>
        <w:bookmarkStart w:id="162" w:name="page03_35"/>
        <w:t/>
        <w:bookmarkEnd w:id="162"/>
        <w:t>“Innovation Killers: How Financial Tools Destroy Your Capacity to Do New Things” cùng Stephen P. Kaufman và Willy Shih</w:t>
      </w:r>
    </w:p>
    <w:p>
      <w:pPr>
        <w:pStyle w:val="Para 020"/>
      </w:pPr>
      <w:r>
        <w:t>“The Innovator’s DNA” cùng Jeffrey H. Dyer và Hal B. Gregersen</w:t>
      </w:r>
    </w:p>
    <w:p>
      <w:pPr>
        <w:pStyle w:val="Para 020"/>
      </w:pPr>
      <w:r>
        <w:t>“Know Your Customers’ ‘Jobs to Be Done’” cùng Taddy Hall, Karen Dillon và David Duncan</w:t>
      </w:r>
    </w:p>
    <w:p>
      <w:pPr>
        <w:pStyle w:val="Para 020"/>
      </w:pPr>
      <w:r>
        <w:t>“Making Strategy: Learning by Doing”</w:t>
      </w:r>
    </w:p>
    <w:p>
      <w:pPr>
        <w:pStyle w:val="Para 020"/>
      </w:pPr>
      <w:r>
        <w:t>“Marketing Malpractice: The Cause and the Cure” cùng Scott Cook và Taddy Hall</w:t>
      </w:r>
    </w:p>
    <w:p>
      <w:pPr>
        <w:pStyle w:val="Para 020"/>
      </w:pPr>
      <w:r>
        <w:bookmarkStart w:id="163" w:name="page03_36"/>
        <w:t/>
        <w:bookmarkEnd w:id="163"/>
        <w:t>“Meeting the Challenge of Disruptive Innovation” cùng Michael Overdorf</w:t>
      </w:r>
    </w:p>
    <w:p>
      <w:pPr>
        <w:pStyle w:val="Para 020"/>
      </w:pPr>
      <w:r>
        <w:t>“The New M&amp;A Playbook” cùng Richard Alton, Curtis Rising và Andrew Waldeck</w:t>
      </w:r>
    </w:p>
    <w:p>
      <w:pPr>
        <w:pStyle w:val="Para 020"/>
      </w:pPr>
      <w:r>
        <w:t>“Reinventing Your Business Model” cùng Henning Kagermann và Mark W. Johnson</w:t>
      </w:r>
    </w:p>
    <w:p>
      <w:pPr>
        <w:pStyle w:val="Para 020"/>
      </w:pPr>
      <w:r>
        <w:t>“Skate to Where the Money Will Be” cùng Michael E. Raynor và Matthew C. Verlinden</w:t>
      </w:r>
    </w:p>
    <w:p>
      <w:pPr>
        <w:pStyle w:val="Para 020"/>
      </w:pPr>
      <w:r>
        <w:t>“Surviving Disruption” cùng Max Wessel</w:t>
      </w:r>
    </w:p>
    <w:p>
      <w:pPr>
        <w:pStyle w:val="Para 020"/>
      </w:pPr>
      <w:r>
        <w:bookmarkStart w:id="164" w:name="page03_37"/>
        <w:t>“The</w:t>
        <w:bookmarkEnd w:id="164"/>
        <w:t> Tools of Cooperation and Change” cùng Howard H. Stevenson và Matt Marx</w:t>
      </w:r>
    </w:p>
    <w:p>
      <w:pPr>
        <w:pStyle w:val="Para 020"/>
      </w:pPr>
      <w:r>
        <w:t>“What is Disruptive Innovation?” cùng Michael E. Raynor và Rory McDonald</w:t>
      </w:r>
    </w:p>
    <w:p>
      <w:pPr>
        <w:pStyle w:val="Para 020"/>
      </w:pPr>
      <w:r>
        <w:t>“Why Hard-Nosed Executives Should Care About Executive Theory” cùng Michael E. Raynor</w:t>
      </w:r>
    </w:p>
    <w:p>
      <w:pPr>
        <w:pStyle w:val="Para 020"/>
      </w:pPr>
      <w:r>
        <w:t>“Will Disruptive Innovations Cure Health Care?” cùng Richard Bohmer và John Kenagy</w:t>
      </w:r>
    </w:p>
    <w:p>
      <w:bookmarkStart w:id="165" w:name="Article_Summary_Idea_in_Brief_Ha"/>
      <w:bookmarkStart w:id="166" w:name="Top_of_03_08_Article_summary_xht"/>
      <w:pPr>
        <w:pStyle w:val="Para 066"/>
        <w:pageBreakBefore w:val="on"/>
      </w:pPr>
      <w:r>
        <w:bookmarkStart w:id="167" w:name="page03_38"/>
        <w:t/>
        <w:bookmarkEnd w:id="167"/>
        <w:bookmarkStart w:id="168" w:name="page03_39"/>
        <w:t>T</w:t>
        <w:bookmarkEnd w:id="168"/>
        <w:t>óm tắt bài viết</w:t>
      </w:r>
      <w:bookmarkEnd w:id="165"/>
      <w:bookmarkEnd w:id="166"/>
    </w:p>
    <w:p>
      <w:pPr>
        <w:pStyle w:val="Para 067"/>
      </w:pPr>
      <w:r>
        <w:t>Ý tưởng chính</w:t>
      </w:r>
    </w:p>
    <w:p>
      <w:pPr>
        <w:pStyle w:val="Para 139"/>
      </w:pPr>
      <w:r>
        <w:t xml:space="preserve">Trường Kinh doanh Harvard (Harvard Business School) – Christensen dạy những người theo học MBA đầy khát vọng cách áp dụng các lý thuyết quản lý và đổi mới để xây dựng các công ty mạnh hơn. Nhưng ông cũng tin rằng những mô hình này có thể giúp mọi người sống tốt hơn. Trong bài viết này, ông giải thích cách thức, khám phá những câu hỏi mà mọi người cần phải tự hỏi. Làm sao tôi có thể hạnh phúc trong sự nghiệp? Làm sao tôi có thể chắc chắn rằng mối quan hệ của tôi với gia đình là nguồn hạnh phúc bền lâu? Và làm sao tôi có thể sống cuộc đời mình một cách</w:t>
        <w:bookmarkStart w:id="169" w:name="page03_40"/>
        <w:t> </w:t>
        <w:bookmarkEnd w:id="169"/>
        <w:t>chính trực? Câu trả lời cho câu hỏi đầu tiên đến từ khẳng định của Frederick Herzberg rằng động lực mạnh mẽ nhất không phải là tiền bạc; mà là cơ hội để học hỏi, phát triển trong trách nhiệm, đóng góp và được công nhận. Đó là lý do tại sao quản lý, nếu được thực hành tốt, có thể là nghề cao quý nhất; không có nghề nào khác mang lại nhiều cách giúp mọi người tìm thấy những cơ hội đó.</w:t>
      </w:r>
    </w:p>
    <w:p>
      <w:pPr>
        <w:pStyle w:val="Para 139"/>
      </w:pPr>
      <w:r>
        <w:t xml:space="preserve">Nó không phải là chuyện mua, bán và đầu tư vào các công ty, như nhiều người vẫn nghĩ. Các nguyên tắc phân bổ nguồn lực có thể giúp con người đạt được hạnh phúc trong gia đình. Nếu không được quản lý một cách điêu luyện, những gì nổi lên từ quá trình phân bổ nguồn lực của công ty có thể rất khác so với chiến lược mà ban lãnh đạo dự định theo đuổi. Điều đó cũng đúng trong cuộc sống: Nếu bạn không được dẫn dắt bởi một ý thức rõ ràng về mục đích, bạn có khả năng sẽ phung phí thời gian và năng lượng vào việc đạt được những dấu hiệu thành tựu rõ ràng, ngắn hạn nhất, chứ không phải những gì thực sự quan trọng với bạn. Và cũng giống như việc tập trung vào chi phí biên có thể gây ra những quyết định tồi của công ty, nó có thể dẫn con người đi</w:t>
        <w:bookmarkStart w:id="170" w:name="page03_41"/>
        <w:t> </w:t>
        <w:bookmarkEnd w:id="170"/>
        <w:t>lạc lối. Chi phí biên của việc làm điều gì đó sai trái “chỉ lần này thôi” dường như luôn thấp một cách hấp dẫn. Bạn không nhìn thấy kết quả cuối cùng mà con đường đó dẫn đến. Chìa khóa là xác định bạn đứng về điều gì và vạch ra ranh giới ở một nơi an toàn.</w:t>
      </w:r>
    </w:p>
    <w:p>
      <w:bookmarkStart w:id="171" w:name="sbo_rt_content_3"/>
      <w:bookmarkStart w:id="172" w:name="a04"/>
      <w:bookmarkStart w:id="173" w:name="Top_of_04_cover_xhtml"/>
      <w:pPr>
        <w:pStyle w:val="Para 074"/>
        <w:pageBreakBefore w:val="on"/>
      </w:pPr>
      <w:r>
        <w:drawing>
          <wp:anchor distL="0" distR="0" distT="0" distB="0" simplePos="0" relativeHeight="1" behindDoc="0" locked="0" layoutInCell="1" allowOverlap="1">
            <wp:simplePos x="0" y="0"/>
            <wp:positionH relativeFrom="margin">
              <wp:align>left</wp:align>
            </wp:positionH>
            <wp:positionV relativeFrom="line">
              <wp:align>top</wp:align>
            </wp:positionV>
            <wp:extent cx="5359400" cy="8229600"/>
            <wp:effectExtent l="0" r="0" t="0" b="0"/>
            <wp:wrapTopAndBottom/>
            <wp:docPr id="4" name="2312_cover.jpg" descr="cover"/>
            <wp:cNvGraphicFramePr>
              <a:graphicFrameLocks noChangeAspect="1"/>
            </wp:cNvGraphicFramePr>
            <a:graphic>
              <a:graphicData uri="http://schemas.openxmlformats.org/drawingml/2006/picture">
                <pic:pic>
                  <pic:nvPicPr>
                    <pic:cNvPr id="0" name="2312_cover.jpg" descr="cover"/>
                    <pic:cNvPicPr/>
                  </pic:nvPicPr>
                  <pic:blipFill>
                    <a:blip r:embed="rId8"/>
                    <a:stretch>
                      <a:fillRect/>
                    </a:stretch>
                  </pic:blipFill>
                  <pic:spPr>
                    <a:xfrm>
                      <a:off x="0" y="0"/>
                      <a:ext cx="5359400" cy="8229600"/>
                    </a:xfrm>
                    <a:prstGeom prst="rect">
                      <a:avLst/>
                    </a:prstGeom>
                  </pic:spPr>
                </pic:pic>
              </a:graphicData>
            </a:graphic>
          </wp:anchor>
        </w:drawing>
      </w:r>
      <w:bookmarkEnd w:id="171"/>
      <w:bookmarkEnd w:id="172"/>
      <w:bookmarkEnd w:id="173"/>
    </w:p>
    <w:p>
      <w:bookmarkStart w:id="174" w:name="Harvard_Busines_Review_CLASSICS"/>
      <w:bookmarkStart w:id="175" w:name="Top_of_02_02_title_xhtml"/>
      <w:pPr>
        <w:pStyle w:val="Para 032"/>
        <w:pageBreakBefore w:val="on"/>
      </w:pPr>
      <w:r>
        <w:bookmarkStart w:id="176" w:name="page02_iii"/>
        <w:t/>
        <w:bookmarkEnd w:id="176"/>
        <w:t>Harvard Busines Review</w:t>
      </w:r>
      <w:bookmarkEnd w:id="174"/>
      <w:bookmarkEnd w:id="175"/>
    </w:p>
    <w:p>
      <w:pPr>
        <w:pStyle w:val="Para 033"/>
      </w:pPr>
      <w:r>
        <w:t>KINH ĐIỂN</w:t>
      </w:r>
    </w:p>
    <w:p>
      <w:pPr>
        <w:pStyle w:val="Para 036"/>
      </w:pPr>
      <w:r>
        <w:t>BIẾN MỤC TIÊU THÀNH KẾT QUẢ</w:t>
      </w:r>
    </w:p>
    <w:p>
      <w:pPr>
        <w:pStyle w:val="Para 187"/>
      </w:pPr>
      <w:r>
        <w:t>Sức mạnh của các cơ chế xúc tác</w:t>
      </w:r>
    </w:p>
    <w:p>
      <w:pPr>
        <w:pStyle w:val="Para 026"/>
      </w:pPr>
      <w:r>
        <w:t>Jim Collins</w:t>
      </w:r>
    </w:p>
    <w:p>
      <w:pPr>
        <w:pStyle w:val="Para 012"/>
      </w:pPr>
      <w:r>
        <w:t>Harvard Business Review Press</w:t>
      </w:r>
    </w:p>
    <w:p>
      <w:pPr>
        <w:pStyle w:val="Para 012"/>
      </w:pPr>
      <w:r>
        <w:t>Boston, Massachusetts</w:t>
      </w:r>
    </w:p>
    <w:p>
      <w:bookmarkStart w:id="177" w:name="Top_of_02_03_copyright_xhtml"/>
      <w:bookmarkStart w:id="178" w:name="HBR_Press_Quantity_Sales_Discoun_1"/>
      <w:pPr>
        <w:pStyle w:val="Para 065"/>
        <w:pageBreakBefore w:val="on"/>
      </w:pPr>
      <w:r>
        <w:rPr>
          <w:rStyle w:val="Text1"/>
        </w:rPr>
        <w:bookmarkStart w:id="179" w:name="page02_iv"/>
        <w:t/>
        <w:bookmarkEnd w:id="179"/>
      </w:r>
      <w:r>
        <w:t>Chiết khấu số lượng của HBR Press</w:t>
      </w:r>
      <w:bookmarkEnd w:id="177"/>
      <w:bookmarkEnd w:id="178"/>
    </w:p>
    <w:p>
      <w:pPr>
        <w:pStyle w:val="Para 188"/>
      </w:pPr>
      <w:r>
        <w:t>Các ấn phẩm của Harvard Business Review Press có thể được mua với chiết khấu đáng kể theo số lượng khi mua với số lượng lớn để làm quà tặng cho khách hàng, khuyến mãi bán hàng và quà tặng kèm. Các ấn bản đặc biệt, bao gồm sách có logo công ty, bìa được tùy chỉnh, và thư từ công ty hoặc CEO được in ở phần đầu sách, cũng như các trích đoạn của sách hiện có, cũng có thể được tạo ra với số lượng lớn cho các nhu cầu đặc biệt.</w:t>
      </w:r>
    </w:p>
    <w:p>
      <w:pPr>
        <w:pStyle w:val="Para 093"/>
      </w:pPr>
      <w:r>
        <w:t xml:space="preserve">Để biết chi tiết và thông tin chiết khấu cho cả định dạng sách in và sách điện tử, liên</w:t>
      </w:r>
      <w:r>
        <w:rPr>
          <w:rStyle w:val="Text2"/>
        </w:rPr>
        <w:t> hệ booksales@harvardbusiness.org,</w:t>
      </w:r>
      <w:r>
        <w:t xml:space="preserve"> tel. 800-988-0886, hoặc</w:t>
      </w:r>
      <w:hyperlink r:id="rId32">
        <w:r>
          <w:rPr>
            <w:rStyle w:val="Text2"/>
          </w:rPr>
          <w:t> www.hbr.org/bulksale</w:t>
        </w:r>
      </w:hyperlink>
      <w:r>
        <w:t>s.</w:t>
      </w:r>
    </w:p>
    <w:p>
      <w:pPr>
        <w:pStyle w:val="Para 076"/>
      </w:pPr>
      <w:r>
        <w:t>Bản quyền 2017 Harvard Business School Publishing Corporation. Được xuất</w:t>
        <w:br w:clear="none"/>
        <w:t xml:space="preserve"> bản lần đầu trên tạp chí Harvard</w:t>
      </w:r>
      <w:r>
        <w:rPr>
          <w:rStyle w:val="Text0"/>
        </w:rPr>
        <w:t> Business Review vào tháng</w:t>
      </w:r>
      <w:r>
        <w:t xml:space="preserve"> Bảy–tháng Tám năm 1999.</w:t>
        <w:br w:clear="none"/>
        <w:t> Tái bản #3960.</w:t>
        <w:br w:clear="none"/>
        <w:t> Bảo lưu toàn bộ quyền.</w:t>
      </w:r>
    </w:p>
    <w:p>
      <w:pPr>
        <w:pStyle w:val="Para 076"/>
      </w:pPr>
      <w:r>
        <w:t xml:space="preserve">Không phần nào của ấn phẩm này được sao chép, lưu trữ, hoặc đưa vào hệ thống truy xuất, hoặc truyền tải dưới bất kỳ hình thức nào hoặc bằng bất kỳ phương tiện nào (điện tử, cơ khí, photocopy, ghi âm, hoặc cách khác), khi chưa có sự cho phép trước của nhà xuất bản. Các yêu cầu xin phép nên được gửi tới</w:t>
      </w:r>
      <w:r>
        <w:rPr>
          <w:rStyle w:val="Text2"/>
        </w:rPr>
        <w:t> permissions@hbsp.harvard.edu, hoặc gửi qua</w:t>
      </w:r>
      <w:r>
        <w:t> đường bưu điện tới Permissions, Harvard Business School Publishing, 60 Harvard Way, Boston, Massachusetts 02163.</w:t>
      </w:r>
    </w:p>
    <w:p>
      <w:pPr>
        <w:pStyle w:val="Para 076"/>
      </w:pPr>
      <w:r>
        <w:t>Các địa chỉ web được tham chiếu trong cuốn sách này là hợp lệ và chính xác tại thời điểm xuất bản nhưng có thể thay đổi.</w:t>
      </w:r>
    </w:p>
    <w:p>
      <w:pPr>
        <w:pStyle w:val="Para 076"/>
      </w:pPr>
      <w:r>
        <w:t>Dữ liệu biên mục xuất bản của Library of Congress</w:t>
      </w:r>
    </w:p>
    <w:p>
      <w:pPr>
        <w:pStyle w:val="Para 010"/>
      </w:pPr>
      <w:r>
        <w:t>Tên: Collins, James C. (James Charles), 1958– tác giả.</w:t>
      </w:r>
    </w:p>
    <w:p>
      <w:pPr>
        <w:pStyle w:val="Para 010"/>
      </w:pPr>
      <w:r>
        <w:t>Tiêu đề: Biến mục tiêu thành kết quả: sức mạnh của các cơ chế xúc tác (catalytic mechanisms)/Jim Collins.</w:t>
      </w:r>
    </w:p>
    <w:p>
      <w:pPr>
        <w:pStyle w:val="Para 010"/>
      </w:pPr>
      <w:r>
        <w:t>Các tiêu đề khác: Harvard business review classics.</w:t>
      </w:r>
    </w:p>
    <w:p>
      <w:pPr>
        <w:pStyle w:val="Para 010"/>
      </w:pPr>
      <w:r>
        <w:t>Mô tả: Boston, Massachusetts : Harvard Business Review Press, [2017]</w:t>
      </w:r>
    </w:p>
    <w:p>
      <w:pPr>
        <w:pStyle w:val="Para 094"/>
      </w:pPr>
      <w:r>
        <w:t>| Bộ sách: Harvard Business Review classics</w:t>
      </w:r>
    </w:p>
    <w:p>
      <w:pPr>
        <w:pStyle w:val="Para 010"/>
      </w:pPr>
      <w:r>
        <w:t>Mã định danh: LCCN 2016041613 | ISBN 9781633692589 (pbk.)</w:t>
      </w:r>
    </w:p>
    <w:p>
      <w:pPr>
        <w:pStyle w:val="Para 010"/>
      </w:pPr>
      <w:r>
        <w:t>Chủ đề: LCSH: Lập kế hoạch chiến lược. | Thành công trong kinh doanh. | Bộ máy quan liêu.</w:t>
      </w:r>
    </w:p>
    <w:p>
      <w:pPr>
        <w:pStyle w:val="Para 094"/>
      </w:pPr>
      <w:r>
        <w:t>| Thay đổi tổ chức.</w:t>
      </w:r>
    </w:p>
    <w:p>
      <w:pPr>
        <w:pStyle w:val="Para 010"/>
      </w:pPr>
      <w:r>
        <w:t>Phân loại: LCC HD30.28 .C64317 2017 | DDC 658.4/012—dc23 Bản ghi LC có sẵn tại https://lccn.loc.gov/2016041613</w:t>
      </w:r>
    </w:p>
    <w:p>
      <w:pPr>
        <w:pStyle w:val="Para 076"/>
      </w:pPr>
      <w:r>
        <w:t>ISBN: 9781633692589</w:t>
      </w:r>
    </w:p>
    <w:p>
      <w:pPr>
        <w:pStyle w:val="Para 010"/>
      </w:pPr>
      <w:r>
        <w:t>eISBN: 9781633692596</w:t>
      </w:r>
    </w:p>
    <w:p>
      <w:bookmarkStart w:id="180" w:name="THE_HARVARD_BUSINESS_REVIEW_CLAS_2"/>
      <w:bookmarkStart w:id="181" w:name="Top_of_02_04_series_xhtml"/>
      <w:pPr>
        <w:pStyle w:val="Para 052"/>
        <w:pageBreakBefore w:val="on"/>
      </w:pPr>
      <w:r>
        <w:bookmarkStart w:id="182" w:name="page02_v"/>
        <w:t>BỘ</w:t>
        <w:bookmarkEnd w:id="182"/>
        <w:t> SÁCH KINH ĐIỂN CỦA HARVARD BUSINESS REVIEW</w:t>
      </w:r>
      <w:bookmarkEnd w:id="180"/>
      <w:bookmarkEnd w:id="181"/>
    </w:p>
    <w:p>
      <w:pPr>
        <w:pStyle w:val="Para 048"/>
      </w:pPr>
      <w:r>
        <w:t xml:space="preserve">Từ năm 1922,</w:t>
      </w:r>
      <w:r>
        <w:rPr>
          <w:rStyle w:val="Text0"/>
        </w:rPr>
        <w:t> Harvard Business Review đã</w:t>
      </w:r>
      <w:r>
        <w:t xml:space="preserve"> là nguồn hàng đầu về những ý tưởng đột phá trong thực hành quản lý—nhiều trong số đó vẫn còn nguyên giá trị và ảnh hưởng đến chúng ta ngày nay. Bộ sách Kinh điển HBR hiện mang đến cho bạn cơ hội đưa những bài viết nền tảng này vào bộ sưu tập quản lý lâu dài của mình. Mỗi tập sách chứa đựng một ý tưởng mang tính cách mạng đã định hình các thông lệ tốt nhất và truyền cảm hứng cho vô số nhà quản lý trên toàn thế giới—và sẽ thay đổi cách bạn suy nghĩ về thế giới kinh doanh ngày</w:t>
        <w:bookmarkStart w:id="183" w:name="page02_vi"/>
        <w:t> nay.</w:t>
        <w:bookmarkEnd w:id="183"/>
      </w:r>
    </w:p>
    <w:p>
      <w:bookmarkStart w:id="184" w:name="Most_executives_have_a_big__hair"/>
      <w:bookmarkStart w:id="185" w:name="Top_of_02_05_chapter01_xhtml"/>
      <w:pPr>
        <w:pStyle w:val="Para 136"/>
        <w:pageBreakBefore w:val="on"/>
      </w:pPr>
      <w:r>
        <w:bookmarkStart w:id="186" w:name="page02_1"/>
        <w:t>Hầu</w:t>
        <w:bookmarkEnd w:id="186"/>
        <w:t xml:space="preserve"> hết các nhà điều hành đều có một mục tiêu lớn, táo bạo và đầy tham vọng. Người thì mơ ước biến thương hiệu của mình phổ biến hơn Coca-Cola; người khác lại khao khát tạo ra trang web sinh lời nhất trên không gian mạng; một người nữa lại mong muốn tổ chức của mình hành động đủ quyết đoán để lật đổ đối thủ truyền kiếp. Vậy nên, hầu hết các nhà điều hành đều khao khát hiện thực hóa những mục tiêu vượt trội của mình. Để đạt được điều đó, họ viết các tuyên bố tầm nhìn, phát biểu và khởi động</w:t>
        <w:bookmarkStart w:id="187" w:name="page02_2"/>
        <w:t> </w:t>
        <w:bookmarkEnd w:id="187"/>
        <w:t>các sáng kiến thay đổi. Họ nghĩ ra các chương trình khuyến khích phức tạp, hệ thống hóa các quy tắc và danh mục kiểm tra, ban hành chính sách và quy trình. Nói cách khác, với ý định tốt đẹp nhất, họ tạo ra hết lớp này đến lớp khác của bộ máy quan liêu trì trệ. Có gì đáng ngạc nhiên khi những giấc mơ đầy tham vọng của họ hiếm khi thành hiện thực?</w:t>
      </w:r>
      <w:bookmarkEnd w:id="184"/>
      <w:bookmarkEnd w:id="185"/>
    </w:p>
    <w:p>
      <w:pPr>
        <w:pStyle w:val="Normal"/>
      </w:pPr>
      <w:r>
        <w:t xml:space="preserve">Nhưng các công ty không nhất thiết phải hành động như vậy. Trong sáu năm qua, tôi đã quan sát và nghiên cứu một công cụ quản lý đơn giản nhưng cực kỳ mạnh mẽ giúp các tổ chức biến mục tiêu thành kết quả. Gần đây tôi đã hệ thống hóa nó; tôi gọi nó là</w:t>
      </w:r>
      <w:r>
        <w:rPr>
          <w:rStyle w:val="Text0"/>
        </w:rPr>
        <w:t> cơ chế xúc tác. Cơ</w:t>
      </w:r>
      <w:r>
        <w:t xml:space="preserve"> chế xúc tác là mắt xích quan trọng giữa mục tiêu và kết quả; chúng là phương tiện tiếp sức (galvanizing), phi quan liêu để biến cái này thành cái kia. Nói cách khác, cơ chế xúc tác đối với</w:t>
        <w:bookmarkStart w:id="188" w:name="page02_3"/>
        <w:t> </w:t>
        <w:bookmarkEnd w:id="188"/>
        <w:t>tầm nhìn cũng giống như các yếu tố trung tâm của Hiến pháp Hoa Kỳ đối với Tuyên ngôn Độc lập—những thiết bị chuyển hóa khát vọng cao cả thành hiện thực cụ thể. Chúng làm cho các mục tiêu lớn, táo bạo và đầy tham vọng trở nên có thể đạt được.</w:t>
      </w:r>
    </w:p>
    <w:p>
      <w:pPr>
        <w:pStyle w:val="Normal"/>
      </w:pPr>
      <w:r>
        <w:t>Nghiên cứu của tôi cho thấy rất ít công ty—có lẽ chỉ khoảng 5% hoặc 10%—hiện đang áp dụng cơ chế xúc tác (catalytic mechanisms), và một số trong đó thậm chí còn không nhận thức được là họ đang làm vậy. Tôi cũng phát hiện rằng các cơ chế xúc tác tương đối dễ tạo ra và triển khai. Với hiệu quả của chúng, đây có lẽ là công cụ bị sử dụng ít nhất—nhưng hứa hẹn nhất—mà các nhà điều hành có thể dùng để đạt được những mục tiêu lớn, táo bạo và đầy tham vọng (BHAGs). (Để tìm hiểu thêm về BHAG, xem phần “Giải phẫu của một BHAG.”)</w:t>
      </w:r>
    </w:p>
    <w:p>
      <w:pPr>
        <w:pStyle w:val="Normal"/>
      </w:pPr>
      <w:r>
        <w:bookmarkStart w:id="189" w:name="page02_4"/>
        <w:t>Hãy</w:t>
        <w:bookmarkEnd w:id="189"/>
        <w:t> xem Granite Rock, một công ty 99 năm tuổi ở Watsonville, California, chuyên bán đá dăm nghiền, bê tông, cát và nhựa đường. Mười hai năm trước, khi hai anh em Bruce và Steve Woolpert trở thành đồng chủ tịch, họ đã trao cho công ty một BHAG mới. Granite Rock sẽ mang lại sự hài lòng tuyệt đối cho khách hàng và đạt được danh tiếng về dịch vụ ngang bằng hoặc vượt qua Nordstrom—cửa hàng bách hóa cao cấp nổi tiếng thế giới nhờ việc làm hài lòng khách hàng. Đây không hẳn là một mục tiêu nhút nhát đối với một công ty gia đình có phần cứng nhắc, nơi nhân viên chủ yếu là những người cứng rắn, đẫm mồ hôi vận hành các mỏ đá, và khách hàng—chủ yếu là các công nhân xây dựng và nhà thầu cứng rắn, đẫm mồ hôi—không dễ bị choáng ngợp.</w:t>
      </w:r>
    </w:p>
    <w:p>
      <w:pPr>
        <w:pStyle w:val="Normal"/>
      </w:pPr>
      <w:r>
        <w:bookmarkStart w:id="190" w:name="page02_5"/>
        <w:t>Giờ</w:t>
        <w:bookmarkEnd w:id="190"/>
        <w:t> hãy dừng lại và suy nghĩ một phút: Điều gì để thực sự đạt được một mục tiêu đầy tham vọng như vậy? Hầu hết mọi người sẽ nghĩ ngay đến việc lãnh đạo truyền cảm hứng. Nhưng đó không phải là lựa chọn của Granite Rock, vì nhà Woolpert là một gia đình trầm lặng, sâu sắc và thích đọc sách. Câu trả lời cũng không nằm ở việc tổ chức các sự kiện ồn ào hay khởi động các sáng kiến chăm sóc khách hàng lớn. Hai anh em đã thấy những nỗ lực như vậy ở các công ty khác và tin rằng chúng chẳng có mấy tác dụng lâu dài.</w:t>
      </w:r>
    </w:p>
    <w:p>
      <w:pPr>
        <w:pStyle w:val="Normal"/>
      </w:pPr>
      <w:r>
        <w:t xml:space="preserve">Thay vào đó, họ chọn áp dụng một chính sách mới mang tính cách mạng có tên là “trả thiếu” (short pay). Cuối mỗi hóa đơn của Granite Rock đều ghi: “Nếu bạn không hài lòng vì bất kỳ lý do gì, đừng trả tiền cho chúng tôi. Chỉ cần gạch bỏ dòng mục đó, viết một ghi chú ngắn về vấn</w:t>
        <w:bookmarkStart w:id="191" w:name="page02_6"/>
        <w:t> đ</w:t>
        <w:bookmarkEnd w:id="191"/>
        <w:t>ề, và gửi lại một bản sao hóa đơn kèm theo séc thanh toán số dư.”</w:t>
      </w:r>
    </w:p>
    <w:p>
      <w:pPr>
        <w:pStyle w:val="Normal"/>
      </w:pPr>
      <w:r>
        <w:t>Để tôi nói rõ về “trả thiếu”. Đây không phải là chính sách hoàn tiền. Khách hàng không cần phải trả lại sản phẩm. Họ không cần phải gọi điện khiếu nại. Họ có toàn quyền quyết định xem có trả tiền hay không và trả bao nhiêu, tùy theo mức độ hài lòng của họ.</w:t>
      </w:r>
    </w:p>
    <w:p>
      <w:pPr>
        <w:pStyle w:val="Normal"/>
      </w:pPr>
      <w:r>
        <w:t xml:space="preserve">Để thấy rõ tính cách mạng của “trả thiếu”, hãy tưởng tượng bạn trả tiền vé máy bay sau chuyến bay và có quyền trả ít đi tùy theo trải nghiệm đi lại—không chỉ trên máy bay mà cả trong lúc mua vé và khi xuống máy bay. Hoặc giả sử các trường đại học phát hóa đơn học phí vào cuối học kỳ, kèm theo dòng chữ: “Nếu bạn không hài lòng với sự tận tâm của giảng viên trong bất kỳ môn</w:t>
        <w:bookmarkStart w:id="192" w:name="page02_7"/>
        <w:t> </w:t>
        <w:bookmarkEnd w:id="192"/>
        <w:t>học nào, chỉ cần gạch bỏ môn học đó và gửi cho chúng tôi séc thanh toán học phí cho phần còn lại.” Hoặc giả sử hóa đơn điện thoại di động của bạn có dòng chữ: “Nếu bạn không hài lòng với chất lượng cuộc gọi của bất kỳ cuộc gọi nào, chỉ cần xác định và trừ chúng khỏi tổng số tiền rồi gửi séc thanh toán số dư.”</w:t>
      </w:r>
    </w:p>
    <w:p>
      <w:pPr>
        <w:pStyle w:val="Normal"/>
      </w:pPr>
      <w:r>
        <w:t xml:space="preserve">Trong những năm kể từ khi được áp dụng, cơ chế trả thiếu (short pay) đã có tác động sâu sắc và tích cực đến Granite Rock. Nó đóng vai trò như một hệ thống cảnh báo, cung cấp phản hồi khó có thể bỏ qua về chất lượng dịch vụ và sản phẩm. Nó thúc đẩy các nhà quản lý kiên trì truy tìm nguyên nhân gốc rễ của vấn đề để ngăn chặn việc trả thiếu lặp lại. Nó gửi tín hiệu đến cả nhân viên và khách hàng rằng Granite Rock</w:t>
        <w:bookmarkStart w:id="193" w:name="page02_8"/>
        <w:t> </w:t>
        <w:bookmarkEnd w:id="193"/>
        <w:t>thực sự nghiêm túc về sự hài lòng của khách hàng, theo cách vượt xa những khẩu hiệu. Cuối cùng, nó giúp Granite Rock không bị cuốn vào vinh quang của thành công đáng chú ý của mình.</w:t>
      </w:r>
    </w:p>
    <w:p>
      <w:pPr>
        <w:pStyle w:val="Normal"/>
      </w:pPr>
      <w:r>
        <w:t>Và nó đã đạt được thành công, như đã được tường thuật rộng rãi. Công ty nhỏ bé—chỉ có 610 nhân viên—đã liên tục giành được thị phần trong một ngành kinh doanh hàng hóa (commodity business) bị thống trị bởi những gã khổng lồ, trong khi vẫn áp dụng mức phụ giá (price premium) 6%. Công ty đã giành được Giải thưởng Chất lượng Quốc gia Malcolm Baldrige danh giá vào năm 1992. Và thành quả tài chính của họ đã được cải thiện đáng kể—từ biên lợi nhuận mỏng như dao cạo đến các tỷ lệ lợi nhuận ngang bằng với các công ty như Hewlett-Packard, vốn có lợi nhuận trước thuế khoảng 10%. Không nghi ngờ gì, cơ chế trả thiếu (short pay) là công cụ quan trọng để biến BHAG của anh em nhà Woolpert thành hiện thực.</w:t>
      </w:r>
    </w:p>
    <w:p>
      <w:pPr>
        <w:pStyle w:val="13 Block"/>
        <w:pageBreakBefore w:val="on"/>
      </w:pPr>
    </w:p>
    <w:p>
      <w:bookmarkStart w:id="194" w:name="FIVE_PARTS_OF_A_WHOLE"/>
      <w:pPr>
        <w:pStyle w:val="Para 096"/>
      </w:pPr>
      <w:r>
        <w:bookmarkStart w:id="195" w:name="page02_9"/>
        <w:t/>
        <w:bookmarkEnd w:id="195"/>
        <w:t>NĂM PHẦN CỦA MỘT TỔNG THỂ</w:t>
      </w:r>
      <w:bookmarkEnd w:id="194"/>
    </w:p>
    <w:p>
      <w:pPr>
        <w:pStyle w:val="Normal"/>
      </w:pPr>
      <w:r>
        <w:t>Rõ ràng, không phải công ty nào cũng nên áp dụng cơ chế trả thiếu (short pay). Thay vào đó, các công ty nên có những cơ chế xúc tác (catalytic mechanism) mạnh mẽ như cơ chế trả thiếu. Vậy, sự khác biệt giữa một cơ chế xúc tác và hầu hết các công cụ quản lý truyền thống, chẳng hạn như chính sách tuyển dụng và đãi ngộ của công ty, là gì? Các cơ chế xúc tác có chung năm đặc điểm riêng biệt. (Xem biểu đồ “Các cơ chế xúc tác: Phá vỡ truyền thống”.) Hãy lần lượt xem xét chúng.</w:t>
      </w:r>
    </w:p>
    <w:p>
      <w:bookmarkStart w:id="196" w:name="Characteristic_1__A_catalytic_me"/>
      <w:pPr>
        <w:pStyle w:val="Para 046"/>
      </w:pPr>
      <w:r>
        <w:t>Đặc điểm 1: Cơ chế xúc tác tạo ra các kết quả mong muốn theo những cách không thể đoán trước.</w:t>
      </w:r>
      <w:bookmarkEnd w:id="196"/>
    </w:p>
    <w:p>
      <w:pPr>
        <w:pStyle w:val="Normal"/>
      </w:pPr>
      <w:r>
        <w:t xml:space="preserve">Khi các nhà điều hành xác định một mục tiêu táo bạo của tổ chức, điều đầu tiên họ thường</w:t>
        <w:bookmarkStart w:id="197" w:name="page02_10"/>
        <w:t> </w:t>
        <w:bookmarkEnd w:id="197"/>
        <w:t>làm là thiết kế vô số hệ thống, kiểm soát, quy trình và thực tiễn có vẻ như sẽ giúp đạt được mục tiêu đó. Quá trình này được gọi là sự liên kết (alignment), và nó cực kỳ phổ biến trong giới quản lý, cũng như đối với các học giả kinh doanh và các nhà điều hành. Rốt cuộc, sự liên kết là hợp lý. Nếu bạn muốn thương hiệu của mình phổ biến hơn cả Coke, bạn nên đo lường hiệu quả quảng cáo và thưởng lớn cho các nhà quản lý tiếp thị thành công. Nhưng vấn đề, như tôi đã nói, là các kiểm soát hỗ trợ sự liên kết cũng tạo ra bộ máy hành chính quan liêu (bureaucracy), và chắc hẳn không ai lạ gì khi biết rằng bộ máy quan liêu không tạo ra những kết quả xuất sắc.</w:t>
      </w:r>
    </w:p>
    <w:p>
      <w:pPr>
        <w:pStyle w:val="Normal"/>
      </w:pPr>
      <w:r>
        <w:t xml:space="preserve">Đừng hiểu lầm tôi. Bộ máy quan liêu có thể mang lại kết quả, nhưng những kết quả đó</w:t>
        <w:bookmarkStart w:id="198" w:name="page02_11"/>
        <w:t> </w:t>
        <w:bookmarkEnd w:id="198"/>
        <w:t>sẽ tầm thường vì bộ máy quan liêu dẫn đến sự dễ đoán và tuân thủ. Lịch sử cho chúng ta thấy rằng các tổ chức đạt được sự vĩ đại khi con người được phép làm những điều bất ngờ—thể hiện sự chủ động và sáng tạo, bước ra khỏi con đường đã được định sẵn. Đó là khi những kết quả thú vị, hấp dẫn và đáng kinh ngạc xuất hiện.</w:t>
      </w:r>
    </w:p>
    <w:p>
      <w:pPr>
        <w:pStyle w:val="Normal"/>
      </w:pPr>
      <w:r>
        <w:t xml:space="preserve">Hãy lấy 3M làm ví dụ. Trong nhiều thập kỷ, các nhà điều hành của công ty đã mơ ước có được một luồng sản phẩm mới tuyệt vời liên tục. Để đạt được mục tiêu đó, vào năm 1956, công ty đã thiết lập một cơ chế xúc tác (catalytic mechanism) mà đến nay đã rất nổi tiếng: các nhà khoa học được khuyến khích dành 15% thời gian của họ để thử nghiệm và sáng tạo trong lĩnh vực họ tự chọn. Thật phi quan liêu làm sao! Không ai bảo họ phải làm sản phẩm gì, chỉ bảo họ làm việc bao nhiêu thôi. Và sự</w:t>
        <w:bookmarkStart w:id="199" w:name="page02_12"/>
        <w:t> </w:t>
        <w:bookmarkEnd w:id="199"/>
        <w:t xml:space="preserve">nới lỏng kiểm soát đó đã dẫn đến một loạt các cải tiến sinh lợi, từ giấy ghi chú Post-it nổi tiếng đến những ví dụ ít được biết đến hơn như biển số phản quang và các máy móc thay thế chức năng của tim người trong khi phẫu thuật. Doanh số và lợi nhuận của 3M đã tăng hơn 40 lần kể từ khi đưa ra quy tắc 15%. Cơ chế này đã giúp tạo ra tổng lợi nhuận cổ phiếu vượt mức thị trường 36% và đã đưa công ty thường xuyên lọt vào top 10 trong danh sách các công ty được ngưỡng</w:t>
      </w:r>
      <w:r>
        <w:rPr>
          <w:rStyle w:val="Text0"/>
        </w:rPr>
        <w:t> mộ nhất</w:t>
      </w:r>
      <w:r>
        <w:t> của tạp chí Fortune.</w:t>
      </w:r>
    </w:p>
    <w:p>
      <w:pPr>
        <w:pStyle w:val="Normal"/>
      </w:pPr>
      <w:r>
        <w:t xml:space="preserve">Thật trùng hợp may mắn, sự biến đổi do các cơ chế xúc tác tạo ra buộc việc học hỏi phải diễn ra. Giả sử bạn bắt đầu leo lên vách đá dựng đứng cao 3.000 feet của El Capitan trong Thung lũng Yosemite. Một khi bạn đã vượt qua chặng 15, bạn không thể nào rút lui khỏi</w:t>
        <w:bookmarkStart w:id="200" w:name="page02_13"/>
        <w:t> </w:t>
        <w:bookmarkEnd w:id="200"/>
        <w:t xml:space="preserve">tuyến đường của mình: do bản chất tự nhiên, bạn đã cam kết 100%. Mặc dù bạn không thể dự đoán mình</w:t>
      </w:r>
      <w:r>
        <w:rPr>
          <w:rStyle w:val="Text0"/>
        </w:rPr>
        <w:t> sẽ</w:t>
      </w:r>
      <w:r>
        <w:t xml:space="preserve"> vượt qua các chặng còn lại bằng cách nào—bạn phải ứng biến khi leo—nhưng bạn có thể dự đoán rằng bạn sẽ nghĩ ra cách để lên tới đỉnh. Tại sao? Bởi vì thực tế không có đường rút lui dễ dàng buộc bạn phải lên tới đỉnh. Các cơ chế xúc tác cũng có tác dụng tương tự. Chính sách trả thiếu (short pay) của Granite Rock buộc công ty phải đạt được sự hài lòng hoàn toàn của khách hàng. Mỗi lần khách hàng thực hiện việc trả thiếu, Granite Rock lại học hỏi hoặc phát minh ra cách vận hành hiệu quả hơn. Cuối cùng, kiến thức mới đó dẫn đến kết quả tốt hơn, biến cơ chế xúc tác thành một phần của vòng tròn tích cực (virtuous circle) gồm biến đổi, học hỏi, cải tiến và kết quả nâng cao.</w:t>
      </w:r>
    </w:p>
    <w:p>
      <w:pPr>
        <w:pStyle w:val="Normal"/>
      </w:pPr>
      <w:r>
        <w:bookmarkStart w:id="201" w:name="page02_14"/>
        <w:t>Công</w:t>
        <w:bookmarkEnd w:id="201"/>
        <w:t xml:space="preserve"> cụ "cờ đỏ" (red flag) của tôi cũng minh họa cho vòng tròn đó. Khi tôi lần đầu tiên dạy sinh viên M.B.A. của Stanford theo phương pháp tình huống (case method) vào năm 1988, tôi nhận thấy rằng một số ít sinh viên có xu hướng chi phối cuộc thảo luận. Tôi cũng nhận thấy rằng không có mối tương quan giữa mức độ nói năng hăng hái và mức độ họ nâng cao trải nghiệm học tập chung của lớp. Một số sinh viên nói nhiều có nhiều đóng góp; những người khác chỉ thích nghe chính mình nói. Tệ hơn, tôi nhận thấy khi trò chuyện với sinh viên sau giờ học rằng một số người ít nói có những đóng góp quan trọng nhưng họ lại chọn lọc hoặc ngại ngùng khi chia sẻ. Hơn nữa, khi thấy 15 đến 20 cánh tay giơ lên cùng lúc, tôi không có cách nào biết được cánh tay nào đại diện cho một</w:t>
        <w:bookmarkStart w:id="202" w:name="page02_15"/>
        <w:t> </w:t>
        <w:bookmarkEnd w:id="202"/>
        <w:t>nhận thức thực sự quan trọng, và tôi cảm thấy rằng mình thường xuyên bỏ lỡ đóng góp tốt nhất của một số sinh viên trong suốt cả học kỳ.</w:t>
      </w:r>
    </w:p>
    <w:p>
      <w:pPr>
        <w:pStyle w:val="Normal"/>
      </w:pPr>
      <w:r>
        <w:t xml:space="preserve">Tôi đã giải quyết vấn đề đó bằng cách phát cho mỗi sinh viên một tờ giấy màu đỏ tươi kích thước 8,5 inch x 11 inch vào đầu mỗi học kỳ. Trên đó có hướng dẫn như sau: “Đây là lá cờ đỏ của bạn trong học kỳ này. Nếu bạn giơ tay kèm lá cờ đỏ của mình, cả lớp sẽ dừng lại vì bạn. Không có giới hạn nào về thời gian và cách sử dụng lá cờ đỏ; quyết định hoàn toàn nằm trong tay bạn. Bạn có thể dùng nó để nêu lên một nhận xét, chia sẻ trải nghiệm cá nhân, trình bày phân tích, không đồng ý với giảng viên, thách thức một vị CEO khách mời, phản hồi một sinh viên khác, đặt câu hỏi, đề xuất, hoặc bất cứ điều gì. Sẽ không có bất kỳ hình phạt nào cho</w:t>
        <w:bookmarkStart w:id="203" w:name="page02_16"/>
        <w:t> </w:t>
        <w:bookmarkEnd w:id="203"/>
        <w:t>việc sử dụng lá cờ đỏ. Lá cờ đỏ của bạn chỉ được dùng một lần trong học kỳ. Lá cờ đỏ không thể chuyển nhượng; bạn không thể tặng hoặc bán nó cho sinh viên khác.”</w:t>
      </w:r>
    </w:p>
    <w:p>
      <w:pPr>
        <w:pStyle w:val="Normal"/>
      </w:pPr>
      <w:r>
        <w:t xml:space="preserve">Tôi không hề biết chính xác điều gì sẽ xảy ra mỗi ngày trong lớp. Vậy mà, công cụ lá cờ đỏ nhanh chóng tạo ra một trải nghiệm học tập tốt hơn cho tất cả mọi người. Trong một trường hợp, nó cho phép một sinh viên Ấn Độ rất sâu sắc và ít nói thách thức Anita Roddick về cách sản xuất của Body Shop ở Thế giới thứ ba. Roddick, một CEO lôi cuốn với những quan điểm cực kỳ mạnh mẽ, thường chiếm lĩnh mọi cuộc thảo luận. Lá cờ đỏ buộc bà phải lắng nghe một người chỉ trích. Sự trao đổi sôi nổi giữa hai con người đam mê và hiểu biết này đã mang lại nhiều bài học hơn bất cứ điều gì tôi có thể sắp đặt. Nếu</w:t>
        <w:bookmarkStart w:id="204" w:name="page02_17"/>
        <w:t> </w:t>
        <w:bookmarkEnd w:id="204"/>
        <w:t>không có lá cờ đỏ, chúng tôi sẽ chỉ có thêm một buổi kiểu “Tôi là CEO và để tôi nói cho bạn biết mọi chuyện thế nào.”</w:t>
      </w:r>
    </w:p>
    <w:p>
      <w:pPr>
        <w:pStyle w:val="Normal"/>
      </w:pPr>
      <w:r>
        <w:t>Trong một tình huống khác, một sinh viên dùng lá cờ đỏ của cô ấy để nói: “Giáo sư Collins, tôi nghĩ hôm nay thầy đang điều hành lớp học kém hiệu quả. Thầy dẫn dắt quá nhiều bằng câu hỏi của mình và kìm hãm tư duy độc lập của chúng tôi. Hãy để chúng tôi tự suy nghĩ.” Đó là một khoảnh khắc khó khăn với tôi. Mục tiêu lớn (BHAG) của tôi với vai trò giáo sư là tạo ra lớp học nổi tiếng nhất trường kinh doanh đồng thời áp đặt khối lượng công việc cao nhất và tiêu chuẩn hàng ngày khắt khe nhất. Hệ thống lá cờ đỏ đã cho tôi thấy sự thật rằng phong cách đặt câu hỏi của chính tôi đang cản trở giấc mơ của mình—nhưng nó cũng chỉ ra hướng cải thiện, một lần nữa vì lợi ích của tất cả mọi người.</w:t>
      </w:r>
    </w:p>
    <w:p>
      <w:pPr>
        <w:pStyle w:val="Normal"/>
      </w:pPr>
      <w:r>
        <w:bookmarkStart w:id="205" w:name="page02_18"/>
        <w:t>Thú</w:t>
        <w:bookmarkEnd w:id="205"/>
        <w:t> vị là, không giáo sư nào khác trong trường áp dụng lá cờ đỏ. Một người trong số họ nói với tôi: “Tôi không thể tưởng tượng được việc đó. Ý tôi là, bạn không bao giờ biết điều gì có thể xảy ra. Tôi không bao giờ có thể từ bỏ nhiều quyền kiểm soát trong lớp học của mình.” Điều mà ông ấy và những người khác bỏ lỡ là một nghịch lý lớn: khi bạn từ bỏ kiểm soát và giảm khả năng dự đoán, bạn tăng xác suất đạt được kết quả phi thường.</w:t>
      </w:r>
    </w:p>
    <w:p>
      <w:bookmarkStart w:id="206" w:name="Characteristic_2__A_catalytic_me"/>
      <w:pPr>
        <w:pStyle w:val="Para 046"/>
      </w:pPr>
      <w:r>
        <w:t>Đặc điểm 2: Cơ chế xúc tác phân phối quyền lực vì lợi ích của toàn hệ thống, thường gây khó chịu lớn cho những người theo truyền thống đang nắm giữ quyền lực.</w:t>
      </w:r>
      <w:bookmarkEnd w:id="206"/>
    </w:p>
    <w:p>
      <w:pPr>
        <w:pStyle w:val="Normal"/>
      </w:pPr>
      <w:r>
        <w:t xml:space="preserve">Với đủ quyền lực, các nhà điều hành luôn có thể buộc nhân viên làm theo ý mình. Ví dụ, nếu họ muốn cải thiện dịch vụ khách hàng,</w:t>
        <w:bookmarkStart w:id="207" w:name="page02_19"/>
        <w:t> </w:t>
        <w:bookmarkEnd w:id="207"/>
        <w:t>họ có thể dọa sa thải để ép nhân viên bán hàng mỉm cười và tỏ ra thân thiện. Nếu họ muốn tăng lợi nhuận mỗi cửa hàng, họ có thể trả lương theo năng suất (flowthrough). Và nếu giấc mơ là tăng thị phần, họ chỉ thăng chức cho những quản lý nào đạt được điều đó.</w:t>
      </w:r>
    </w:p>
    <w:p>
      <w:pPr>
        <w:pStyle w:val="Normal"/>
      </w:pPr>
      <w:r>
        <w:t xml:space="preserve">Nhưng hãy xem các cơ chế xúc tác hoạt động như thế nào. Cơ chế trả thiếu (short pay) phân quyền cho khách hàng, khiến các giám đốc của Granite Rock không mấy dễ chịu, nhưng hướng tới mục tiêu lớn hơn là cải tiến liên tục vì lợi ích của cả khách hàng lẫn công ty. Lá cờ đỏ trao quyền cho học sinh, khiến giáo viên bị khó xử, nhưng cuối cùng lại cải thiện việc học tập nói chung. Những người sáng lập</w:t>
        <w:bookmarkStart w:id="208" w:name="page02_20"/>
        <w:t> </w:t>
        <w:bookmarkEnd w:id="208"/>
        <w:t>nước Mỹ đã hiểu điều này khi họ viết Hiến pháp. Xét cho cùng, Hiến pháp là tập hợp các cơ chế xúc tác củng cố và hỗ trợ tầm nhìn quốc gia. Bầu cử, hệ thống kiểm soát và cân bằng, quy định sửa đổi với 2/3 số phiếu, quy trình luận tội—tất cả đều phân tán quyền lực từ một trung tâm duy nhất, khiến những người tìm kiếm quyền lực vô cùng khó chịu, nhưng lại có lợi cho toàn quốc gia.</w:t>
      </w:r>
    </w:p>
    <w:p>
      <w:pPr>
        <w:pStyle w:val="Normal"/>
      </w:pPr>
      <w:r>
        <w:t xml:space="preserve">Các cơ chế xúc tác buộc những điều đúng đắn phải xảy ra ngay cả khi những người nắm quyền thường có lợi ích trong việc ngăn cản điều đó. Hoặc họ</w:t>
      </w:r>
      <w:r>
        <w:rPr>
          <w:rStyle w:val="Text0"/>
        </w:rPr>
        <w:t> có</w:t>
      </w:r>
      <w:r>
        <w:t xml:space="preserve"> lợi ích trong việc duy trì sự trì trệ—để cho những quy trình vô nghĩa, tốn kém tiếp tục tồn tại. Đó là điều đã xảy ra trong nhiều năm, có lẽ nhiều thập kỷ, tại các trại huấn luyện tân binh Thủy quân lục</w:t>
        <w:bookmarkStart w:id="209" w:name="page02_21"/>
        <w:t> </w:t>
        <w:bookmarkEnd w:id="209"/>
        <w:t>chiến Hoa Kỳ. Tất cả tân binh đều được phát đồng phục vào ngày đầu tiên. Hai tuần sau, họ cần bộ khác—số cân sẽ biến mất khi bạn chạy 12 dặm mỗi buổi sáng. Quy định của quân đội yêu cầu phải tiêu hủy những bộ đồng phục mới được sử dụng hai tuần đó. Không phải giặt lại và phát tiếp, mà là tiêu hủy.</w:t>
      </w:r>
    </w:p>
    <w:p>
      <w:pPr>
        <w:pStyle w:val="Normal"/>
      </w:pPr>
      <w:r>
        <w:t>Đầu những năm 1990, Phil Archuleta, một quản lý vật tư tại trại tuyển quân ở San Diego, đề xuất rằng họ nên tái sử dụng đồng phục. Phản hồi của sếp anh ta: “Không. Điều đó trái quy định. Bỏ đi.” Vì vậy, trong một hành động bất phục tùng đáng kinh ngạc, Archuleta đã giặt số đồng phục đó, giấu chúng trong các thùng carton, và kiên nhẫn chờ đợi cho đến khi cuối cùng có một người giám sát sẵn sàng thách thức quy định.</w:t>
      </w:r>
    </w:p>
    <w:p>
      <w:pPr>
        <w:pStyle w:val="Normal"/>
      </w:pPr>
      <w:r>
        <w:bookmarkStart w:id="210" w:name="page02_22"/>
        <w:t>Để</w:t>
        <w:bookmarkEnd w:id="210"/>
        <w:t> trao quyền cho những người như Phil Archuleta trên thế giới, chính phủ đã phát động một sáng kiến rộng khắp vào năm 1994 để giải quyết vũng lầy quan liêu. Một quy định mới về việc miễn trừ đã được đưa ra, và đó là một cơ chế xúc tác tiêu biểu cho vẻ đẹp và sức mạnh của việc phân chia lại quyền lực. Nó có hai thành phần chính:</w:t>
      </w:r>
    </w:p>
    <w:p>
      <w:pPr>
        <w:numPr>
          <w:ilvl w:val="0"/>
          <w:numId w:val="1"/>
        </w:numPr>
        <w:pStyle w:val="Para 049"/>
      </w:pPr>
      <w:r>
        <w:t xml:space="preserve">Các yêu cầu miễn trừ quy định phải được xử lý trong vòng 30 ngày. Sau 30 ngày, nếu không có phản hồi, bên yêu cầu miễn trừ có thể coi như đã được</w:t>
      </w:r>
      <w:r>
        <w:rPr>
          <w:rStyle w:val="Text0"/>
        </w:rPr>
        <w:t> chấp thuận và</w:t>
      </w:r>
      <w:r>
        <w:t xml:space="preserve"> thực hiện việc miễn trừ đó.</w:t>
      </w:r>
    </w:p>
    <w:p>
      <w:pPr>
        <w:numPr>
          <w:ilvl w:val="0"/>
          <w:numId w:val="1"/>
        </w:numPr>
        <w:pStyle w:val="Para 049"/>
      </w:pPr>
      <w:r>
        <w:t xml:space="preserve">Những quan chức có thẩm quyền thay đổi quy định có thể phê duyệt yêu cầu miễn</w:t>
        <w:bookmarkStart w:id="211" w:name="page02_23"/>
        <w:t> </w:t>
        <w:bookmarkEnd w:id="211"/>
        <w:t xml:space="preserve">trừ, nhưng chỉ người</w:t>
      </w:r>
      <w:r>
        <w:rPr>
          <w:rStyle w:val="Text0"/>
        </w:rPr>
        <w:t> đứng đầu cơ quan mới có thể</w:t>
      </w:r>
      <w:r>
        <w:t xml:space="preserve"> từ chối yêu cầu đó.</w:t>
      </w:r>
    </w:p>
    <w:p>
      <w:pPr>
        <w:pStyle w:val="Normal"/>
      </w:pPr>
      <w:r>
        <w:t xml:space="preserve">Hãy suy nghĩ một chút về tác động của cơ chế xúc tác này. Nó phá vỡ xu hướng mặc định, phản xạ tự nhiên của bộ máy quan liêu là chọn sự bất động thay vì hành động, chọn hiện trạng thay vì thay đổi, và chọn những quy định ngớ ngẩn thay vì lẽ thường. Các nhà giám sát không thể nói "không" hoặc không phản hồi nữa. Họ sẽ phải bảo vệ quyết định từ chối của mình lên tận người đứng đầu cơ quan – tương đương với tư lệnh toàn bộ Lực lượng Thủy quân lục chiến Hoa Kỳ – trong vòng 30 ngày. Thay vì phải cố gắng chứng minh tại sao đây là một ý tưởng hay, họ sẽ phải tiêu tốn nhiều năng lượng để chứng minh</w:t>
      </w:r>
      <w:r>
        <w:rPr>
          <w:rStyle w:val="Text0"/>
        </w:rPr>
        <w:t> rằng</w:t>
      </w:r>
      <w:r>
        <w:t xml:space="preserve"> đó là một ý tưởng tồi. Cơ chế xúc</w:t>
        <w:bookmarkStart w:id="212" w:name="page02_24"/>
        <w:t> </w:t>
        <w:bookmarkEnd w:id="212"/>
        <w:t>tác làm nghiêng cán cân quyền lực từ sự trì trệ sang sự thay đổi.</w:t>
      </w:r>
    </w:p>
    <w:p>
      <w:pPr>
        <w:pStyle w:val="Normal"/>
      </w:pPr>
      <w:r>
        <w:t xml:space="preserve">Thật vậy, tác dụng chính của quy định miễn trừ mới – cũng như tất cả các cơ chế xúc tác – là trao cho con người quyền tự do làm điều đúng đắn. Sự miễn trừ cho phép Archuleta thay đổi quy định về đồng phục đã tiết kiệm được nửa triệu đô la trong hai năm. Những ví dụ tương tự về việc mọi người làm điều đúng với quy định miễn trừ xuất hiện rất nhiều trong toàn bộ chính phủ liên bang, từ FDA đến NASA. Ví dụ, các nhân viên giải quyết khiếu nại dân sự (tort claims adjusters) tại Bộ Nông nghiệp đã miễn trừ các quy định để giảm thời gian xử lý khiếu nại từ 51 ngày xuống còn tám ngày – tiết kiệm 84% nhân công. Khi các giám đốc điều hành trao quyền lực và trách nhiệm cho mọi</w:t>
        <w:bookmarkStart w:id="213" w:name="page02_25"/>
        <w:t> </w:t>
        <w:bookmarkEnd w:id="213"/>
        <w:t>người rồi đứng sang một bên, những nguồn năng lượng và năng lực khổng lồ sẽ tuôn chảy. Một lần nữa chúng ta lại thấy một nghịch lý: các giám đốc càng phân tán quyền lực và trách nhiệm, tổ chức càng có khả năng đạt được mục tiêu lớn lao, táo bạo và đầy tham vọng của mình.</w:t>
      </w:r>
    </w:p>
    <w:p>
      <w:bookmarkStart w:id="214" w:name="Characteristic_3__A_catalytic_me"/>
      <w:pPr>
        <w:pStyle w:val="Para 046"/>
      </w:pPr>
      <w:r>
        <w:t>Đặc điểm 3: Cơ chế xúc tác phải có sức mạnh thực thi (teeth)</w:t>
      </w:r>
      <w:bookmarkEnd w:id="214"/>
    </w:p>
    <w:p>
      <w:pPr>
        <w:pStyle w:val="Normal"/>
      </w:pPr>
      <w:r>
        <w:t xml:space="preserve">Nhiều công ty mơ ước về sự hài lòng tuyệt đối của khách hàng; nhưng hiếm có công ty nào có được một cơ chế để biến điều đó thành hiện thực, một cơ chế có sức mạnh thực thi như cơ chế trả thiếu tiền (short pay). Nhiều tổ chức tuyên bố ý định cao cả là trao quyền cho nhân viên; nhưng hiếm có tổ chức nào biến điều đó thành kết quả bằng một cơ chế có sức mạnh thực thi như cơ chế cờ đỏ (red flag). Nhiều công ty tuyên bố rằng họ có ý định "trở thành số một hoặc</w:t>
        <w:bookmarkStart w:id="215" w:name="page02_26"/>
        <w:t> </w:t>
        <w:bookmarkEnd w:id="215"/>
        <w:t xml:space="preserve">số hai trong mọi lĩnh vực cạnh tranh"; nhưng hiếm có công ty nào bổ sung thêm một biện pháp thực thi hiệu quả bằng cách nói: "và nếu doanh nghiệp không phải là số một hoặc số hai, hoặc không nằm trên một lộ trình rõ ràng để đạt được điều</w:t>
      </w:r>
      <w:r>
        <w:rPr>
          <w:rStyle w:val="Text0"/>
        </w:rPr>
        <w:t> đó, chúng tôi sẽ rút lui trong vòng ba</w:t>
      </w:r>
      <w:r>
        <w:t> tháng."</w:t>
      </w:r>
    </w:p>
    <w:p>
      <w:pPr>
        <w:pStyle w:val="Normal"/>
      </w:pPr>
      <w:r>
        <w:t>Thực tế là các giám đốc điều hành dành hàng giờ để soạn thảo, viết lại, và viết lại lần nữa các tuyên bố về giá trị cốt lõi, sứ mệnh và tầm nhìn. Đây thường là một quá trình rất hữu ích, nhưng tự thân một tuyên bố sẽ không hoàn thành được điều gì. Ngược lại, một cơ chế xúc tác thiết lập một quy trình gần như đảm bảo rằng tầm nhìn sẽ được hoàn thành. Một cơ chế xúc tác phải có một bộ răng sắc bén.</w:t>
      </w:r>
    </w:p>
    <w:p>
      <w:pPr>
        <w:pStyle w:val="Normal"/>
      </w:pPr>
      <w:r>
        <w:t xml:space="preserve">Hãy xem xét trường hợp của Tập đoàn Nucor, công ty thép thành công nhất nước Mỹ trong ba thập</w:t>
        <w:bookmarkStart w:id="216" w:name="page02_27"/>
        <w:t> </w:t>
        <w:bookmarkEnd w:id="216"/>
        <w:t xml:space="preserve">kỷ qua. Công ty có một tầm nhìn độc đáo đối với một doanh nghiệp thuộc Vành đai gỉ sét (Rust Belt): trở thành một tổ chức mà công nhân và ban quản lý cùng chia sẻ mục tiêu chung là trở thành đơn vị sản xuất thép hiệu quả nhất, chất lượng cao nhất thế giới, từ đó tạo ra sự ổn định việc làm và sự thịnh vượng cho công ty trong một ngành đang bị cạnh tranh nước ngoài tàn phá. Đằng sau tầm nhìn đó là niềm tin sâu sắc của các nhà lãnh đạo cấp cao Nucor rằng những người lao động lương thiện, chăm chỉ xứng đáng được trả công xứng đáng cho những nỗ lực của họ và miễn là họ có năng suất cao, họ không cần lo lắng về sự an toàn việc làm. Bề ngoài, tầm nhìn của Nucor nghe có vẻ ấm áp và tình cảm. Nhưng đào sâu hơn, bạn sẽ thấy nó thực sự không có chỗ cho những nhân viên không hiệu quả. Nucor đã tạo ra một nền văn hóa năng suất mạnh mẽ, nơi năm</w:t>
        <w:bookmarkStart w:id="217" w:name="page02_28"/>
        <w:t> </w:t>
        <w:bookmarkEnd w:id="217"/>
        <w:t>người làm công việc của mười người ở các công ty thép khác và được trả lương như tám người. Tầm nhìn đã trở thành hiện thực thông qua một loạt các cơ chế xúc tác (catalytic mechanisms) mạnh mẽ và thực sự có hiệu lực, chẳng hạn như cách công nhân tuyến đầu được trả lương:</w:t>
      </w:r>
    </w:p>
    <w:p>
      <w:pPr>
        <w:numPr>
          <w:ilvl w:val="0"/>
          <w:numId w:val="2"/>
        </w:numPr>
        <w:pStyle w:val="Para 049"/>
      </w:pPr>
      <w:r>
        <w:t>Mức lương cơ bản theo giờ thấp hơn mức trung bình của ngành từ 25% đến 33%.</w:t>
      </w:r>
    </w:p>
    <w:p>
      <w:pPr>
        <w:numPr>
          <w:ilvl w:val="0"/>
          <w:numId w:val="2"/>
        </w:numPr>
        <w:pStyle w:val="Para 049"/>
      </w:pPr>
      <w:r>
        <w:t>Mọi người làm việc theo nhóm từ 20 đến 40 người; bảng xếp hạng năng suất của nhóm được cập nhật hàng ngày.</w:t>
      </w:r>
    </w:p>
    <w:p>
      <w:pPr>
        <w:numPr>
          <w:ilvl w:val="0"/>
          <w:numId w:val="2"/>
        </w:numPr>
        <w:pStyle w:val="Para 049"/>
      </w:pPr>
      <w:r>
        <w:t xml:space="preserve">Tiền thưởng từ 80% đến 200% lương cơ bản, dựa trên</w:t>
      </w:r>
      <w:r>
        <w:rPr>
          <w:rStyle w:val="Text0"/>
        </w:rPr>
        <w:t> năng</w:t>
      </w:r>
      <w:r>
        <w:t xml:space="preserve"> suất của nhóm, được trả hàng tuần cho tất cả các nhóm đạt hoặc vượt mục tiêu năng suất.</w:t>
      </w:r>
    </w:p>
    <w:p>
      <w:pPr>
        <w:numPr>
          <w:ilvl w:val="0"/>
          <w:numId w:val="2"/>
        </w:numPr>
        <w:pStyle w:val="Para 049"/>
      </w:pPr>
      <w:r>
        <w:bookmarkStart w:id="218" w:name="page02_29"/>
        <w:t>Nếu</w:t>
        <w:bookmarkEnd w:id="218"/>
        <w:t> bạn đi trễ năm phút, bạn sẽ mất tiền thưởng của ngày đó.</w:t>
      </w:r>
    </w:p>
    <w:p>
      <w:pPr>
        <w:numPr>
          <w:ilvl w:val="0"/>
          <w:numId w:val="2"/>
        </w:numPr>
        <w:pStyle w:val="Para 049"/>
      </w:pPr>
      <w:r>
        <w:t>Nếu bạn đi trễ 30 phút, bạn sẽ mất tiền thưởng của cả tuần.</w:t>
      </w:r>
    </w:p>
    <w:p>
      <w:pPr>
        <w:numPr>
          <w:ilvl w:val="0"/>
          <w:numId w:val="2"/>
        </w:numPr>
        <w:pStyle w:val="Para 049"/>
      </w:pPr>
      <w:r>
        <w:t>Nếu máy móc hỏng khiến việc sản xuất phải dừng lại, sẽ không có bất kỳ sự điều chỉnh bù trừ nào trong cách tính tiền thưởng.</w:t>
      </w:r>
    </w:p>
    <w:p>
      <w:pPr>
        <w:numPr>
          <w:ilvl w:val="0"/>
          <w:numId w:val="2"/>
        </w:numPr>
        <w:pStyle w:val="Para 049"/>
      </w:pPr>
      <w:r>
        <w:t>Nếu sản phẩm bị trả lại vì chất lượng kém, tiền thưởng sẽ giảm tương ứng.</w:t>
      </w:r>
    </w:p>
    <w:p>
      <w:pPr>
        <w:pStyle w:val="Normal"/>
      </w:pPr>
      <w:r>
        <w:t xml:space="preserve">Bạn có thể nghĩ rằng hệ thống của Nucor tập trung quyền lực vào tay ban quản lý, điều này dường như mâu thuẫn với ý tưởng phân quyền vì lợi ích của hệ thống. Nhưng thực tế, cơ chế xúc tác lại lấy quyền lực ra khỏi tay các</w:t>
        <w:bookmarkStart w:id="219" w:name="page02_30"/>
        <w:t> </w:t>
        <w:bookmarkEnd w:id="219"/>
        <w:t>nhà quản lý cá nhân và những ý thích bất chợt của họ. Nucor không có các khoản thưởng tùy ý. Nó giống hệ thống thưởng thể thao hơn: nếu bạn ghi được bao nhiêu điểm hoặc thắng một số cuộc đua nhất định, bạn sẽ nhận được tiền thưởng dựa trên một công thức được định trước. Hết. Công thức đó trao cho công nhân nhiều quyền kiểm soát vận mệnh của chính họ hơn so với các chương trình thưởng trao quyền quyết định lớn cho ban quản lý. Nếu nhóm của bạn đạt đủ điểm, nhóm bạn sẽ nhận được tiền thưởng và không nhà quản lý nào có thể tước nó đi với lý do "Năm nay chúng ta không được tốt lắm" hay "Tôi không thích thái độ của bạn".</w:t>
      </w:r>
    </w:p>
    <w:p>
      <w:pPr>
        <w:pStyle w:val="Normal"/>
      </w:pPr>
      <w:r>
        <w:t xml:space="preserve">Nhân tiện, các cơ chế xúc tác dành cho nhà quản lý của Nucor còn sắc bén hơn. Hệ thống lương thưởng cho giám đốc điều hành vận hành gần giống như</w:t>
        <w:bookmarkStart w:id="220" w:name="page02_31"/>
        <w:t> </w:t>
        <w:bookmarkEnd w:id="220"/>
        <w:t>hệ thống lương thưởng cho công nhân, ngoại trừ việc 'đội' ở đây là toàn bộ nhà máy (đối với quản lý nhà máy) hoặc toàn bộ công ty (đối với cán bộ cấp công ty). Và, không giống như hầu hết các công ty khác, khi thời điểm khó khăn, các giám đốc điều hành của Nucor phải chịu đựng nhiều hơn so với công nhân tuyến đầu: lương công nhân giảm khoảng 25%, lương quản lý nhà máy giảm khoảng 40%, và lương cán bộ cấp công ty giảm khoảng 60%. Trong cuộc suy thoái năm 1982, lương của CEO Ken Iverson đã giảm 75%.</w:t>
      </w:r>
    </w:p>
    <w:p>
      <w:bookmarkStart w:id="221" w:name="Characteristic_4__A_catalytic_me"/>
      <w:pPr>
        <w:pStyle w:val="Para 046"/>
      </w:pPr>
      <w:r>
        <w:t>Đặc điểm 4: Cơ chế xúc tác (catalytic mechanism) giúp đào thải những "virus".</w:t>
      </w:r>
      <w:bookmarkEnd w:id="221"/>
    </w:p>
    <w:p>
      <w:pPr>
        <w:pStyle w:val="Normal"/>
      </w:pPr>
      <w:r>
        <w:t xml:space="preserve">Nhiều biện pháp kiểm soát truyền thống được thiết kế để buộc nhân viên hành xử theo cách "đúng" và làm những điều "đúng", kể cả khi họ không sẵn</w:t>
        <w:bookmarkStart w:id="222" w:name="page02_32"/>
        <w:t> </w:t>
        <w:bookmarkEnd w:id="222"/>
        <w:t>lòng. Ngược lại, các cơ chế xúc tác (catalytic mechanisms) giúp các tổ chức tìm được đúng người ngay từ đầu, giữ chân họ, và đào thải những người không chia sẻ giá trị cốt lõi của công ty.</w:t>
      </w:r>
    </w:p>
    <w:p>
      <w:pPr>
        <w:pStyle w:val="Normal"/>
      </w:pPr>
      <w:r>
        <w:t xml:space="preserve">Các tổ chức vĩ đại đã nhận ra một điều. Câu nói cũ "Con người là tài sản quan trọng nhất của bạn" là sai; những con người đúng</w:t>
      </w:r>
      <w:r>
        <w:rPr>
          <w:rStyle w:val="Text0"/>
        </w:rPr>
        <w:t> đắn</w:t>
      </w:r>
      <w:r>
        <w:t xml:space="preserve"> mới là tài sản quan trọng nhất. Những con người đúng đắn là những người vốn dĩ sẽ thể hiện những hành vi mong muốn, như một phần tự nhiên của tính cách và thái độ của họ, bất kể mọi hệ thống kiểm soát và khuyến khích. Thách thức không phải là đào tạo tất cả mọi người để họ chia sẻ giá trị cốt lõi của bạn. Thách thức thực sự là tìm ra những người đã sẵn sàng chia sẻ các giá trị cốt lõi đó và tạo ra các cơ chế xúc tác có thể củng cố mạnh mẽ các giá trị đó đến mức những người</w:t>
        <w:bookmarkStart w:id="223" w:name="page02_33"/>
        <w:t> </w:t>
        <w:bookmarkEnd w:id="223"/>
        <w:t>không chia sẻ chúng không bao giờ được tuyển dụng, hoặc nếu lọt vào thì họ sẽ tự rời đi.</w:t>
      </w:r>
    </w:p>
    <w:p>
      <w:pPr>
        <w:pStyle w:val="Normal"/>
      </w:pPr>
      <w:r>
        <w:t xml:space="preserve">Hãy quay lại ví dụ về Nucor. Nucor không cố gắng biến những người lười biếng thành người năng suất. Các cơ chế xúc tác của họ tạo ra một môi trường hiệu suất cao, nơi những người có đạo đức làm việc bẩm sinh phát triển mạnh và những kẻ ăn không ngồi rồi phải nhanh chóng rời đi. Ban quản lý thường không sa thải nhân</w:t>
      </w:r>
      <w:r>
        <w:rPr>
          <w:rStyle w:val="Text0"/>
        </w:rPr>
        <w:t> viên kém</w:t>
      </w:r>
      <w:r>
        <w:t xml:space="preserve"> hiệu quả; chính các công nhân làm điều đó. Trong một trường hợp, các thành viên trong nhóm đã đuổi một đồng nghiệp lười biếng ra khỏi nhà máy. Và một phóng viên viết bài về Nucor mô tả rằng anh ta đến đúng giờ cho ca làm việc nhưng tưởng mình đến muộn bởi vì tất cả công nhân đã có mặt từ 30 phút trước để sắp xếp dụng cụ và sẵn sàng xuất phát đúng lúc 7 giờ sáng.</w:t>
      </w:r>
    </w:p>
    <w:p>
      <w:pPr>
        <w:pStyle w:val="Normal"/>
      </w:pPr>
      <w:r>
        <w:bookmarkStart w:id="224" w:name="page02_34"/>
        <w:t>Điều</w:t>
        <w:bookmarkEnd w:id="224"/>
        <w:t> thú vị là Nucor đặt các nhà máy thép của mình không phải ở các thị trấn thép truyền thống, mà chủ yếu ở các vùng nông thôn, nông nghiệp. Lý do rất đơn giản: bạn không thể dạy đạo đức làm việc—một người hoặc có hoặc không. Nhưng bạn có thể dạy nghề luyện thép. Chính vì vậy, Nucor tuyển nông dân và đào tạo họ. Các cơ chế xúc tác của công ty không chấp nhận điều gì khác.</w:t>
      </w:r>
    </w:p>
    <w:p>
      <w:pPr>
        <w:pStyle w:val="Normal"/>
      </w:pPr>
      <w:r>
        <w:t xml:space="preserve">Một ví dụ khác về cơ chế xúc tác loại bỏ những "virus" đến từ W.L. Gore &amp; Associates, một công ty sản xuất vải trị giá gần 2 tỷ đô la. Bill Gore thành lập công ty vào năm 1958 với tầm nhìn tạo ra một nền văn hóa lãnh đạo tự nhiên. Theo quan điểm của Gore, quyền lãnh đạo không thể được chỉ định hay ban phát bởi một vị trí thứ bậc. Bạn là một nhà lãnh đạo khi và</w:t>
        <w:bookmarkStart w:id="225" w:name="page02_35"/>
        <w:t> </w:t>
        <w:bookmarkEnd w:id="225"/>
        <w:t>chỉ khi mọi người chọn đi theo bạn. Lý thuyết của Gore xuất phát không chỉ từ các giá trị cá nhân của ông mà còn từ tư duy kinh doanh của ông: ông tin rằng công việc sáng tạo và hiệu quả nhất nảy sinh khi mọi người tự do cam kết với nhau, chứ không phải khi ông chủ bảo họ phải làm gì.</w:t>
      </w:r>
    </w:p>
    <w:p>
      <w:pPr>
        <w:pStyle w:val="Normal"/>
      </w:pPr>
      <w:r>
        <w:t>Để biến tầm nhìn của mình thành hiện thực, Gore đã phát minh ra một cơ chế xúc tác (catalytic mechanism) thu hút những người phù hợp như nam châm và khiến những người khác phải tránh xa. Tại W.L. Gore &amp; Associates, nhân viên có quyền 'sa thải' sếp của họ. Tất nhiên, họ không thể đuổi người đó khỏi công ty, nhưng nếu cảm thấy sếp mình không lãnh đạo hiệu quả, họ có thể đơn giản bỏ qua sếp và đi theo một người lãnh đạo khác.</w:t>
      </w:r>
    </w:p>
    <w:p>
      <w:pPr>
        <w:pStyle w:val="Normal"/>
      </w:pPr>
      <w:r>
        <w:bookmarkStart w:id="226" w:name="page02_36"/>
        <w:t>Ai</w:t>
        <w:bookmarkEnd w:id="226"/>
        <w:t> lại muốn làm việc ở một công ty như vậy? Chính là những người thuộc về nơi đó—những người biết rằng họ có thể lãnh đạo mà không cần chức danh hay vị trí chính thức, và tin vào triết lý lãnh đạo phi thứ bậc (nonhierarchical leadership). Ai sẽ tránh xa nó như tránh dịch? Bất kỳ ai chỉ thích kéo cần vị thế và quyền lực vì niềm vui khi được kéo. Và nếu bạn là một nhà lãnh đạo theo cấp bậc tình cờ lọt vào công ty nhưng không thể nhanh chóng gạt bỏ quan niệm 'sếp phải là sếp', bạn sẽ chẳng mất bao lâu để tìm ra lối ra.</w:t>
      </w:r>
    </w:p>
    <w:p>
      <w:bookmarkStart w:id="227" w:name="Characteristic_5__A_catalytic_me"/>
      <w:pPr>
        <w:pStyle w:val="Para 046"/>
      </w:pPr>
      <w:r>
        <w:t>Đặc điểm 5: Cơ chế xúc tác tạo ra hiệu ứng liên tục</w:t>
      </w:r>
      <w:bookmarkEnd w:id="227"/>
    </w:p>
    <w:p>
      <w:pPr>
        <w:pStyle w:val="Normal"/>
      </w:pPr>
      <w:r>
        <w:t xml:space="preserve">Cơ chế xúc tác khác biệt cơ bản so với các sự kiện xúc tác. Một bài phát biểu đầy nhiệt huyết</w:t>
        <w:bookmarkStart w:id="228" w:name="page02_37"/>
        <w:t> </w:t>
        <w:bookmarkEnd w:id="228"/>
        <w:t>với đội ngũ, một buổi họp ngoài trời đầy hứng khởi, một từ khóa mới tạo cảm giác phấn khích, một sáng kiến hay mệnh lệnh chiến lược mới, một cuộc khủng hoảng đang cận kề—tất cả những điều này đều là sự kiện xúc tác, và một số trong đó hữu ích. Nhưng chúng không tạo ra hiệu ứng bền bỉ, liên tục như cơ chế xúc tác. Thực tế, một cơ chế xúc tác tốt, miễn là nó không ngừng tiến hóa, có thể kéo dài hàng thập kỷ, như quy tắc 15% tại 3M và cơ chế luận tội trong Hiến pháp Hoa Kỳ minh chứng.</w:t>
      </w:r>
    </w:p>
    <w:p>
      <w:pPr>
        <w:pStyle w:val="Normal"/>
      </w:pPr>
      <w:r>
        <w:t xml:space="preserve">Thiếu các cơ chế xúc tác là một lý do khiến nhiều tổ chức đoàn kết trong khủng hoảng nhưng lại chựng lại khi khủng hoảng qua đi. Các nhà lãnh đạo giả vờ có khủng hoảng—những người tạo ra một nền tảng đang cháy mà không đồng thời xây dựng cơ chế xúc tác—gây hại</w:t>
        <w:bookmarkStart w:id="229" w:name="page02_38"/>
        <w:t> </w:t>
        <w:bookmarkEnd w:id="229"/>
        <w:t>lâu dài nhiều hơn là có lợi, vì họ tạo ra hội chứng nghiện khủng hoảng. Các giám đốc điều hành chỉ dựa vào các sự kiện xúc tác thường tự hỏi vì sao đà tiến triển bị chững lại sau khi giai đoạn phấn khích, hứng khởi hay sợ hãi ban đầu đã qua. Để tạo ra kết quả lâu dài, họ phải chuyển từ việc dàn dựng một chuỗi sự kiện sang xây dựng các cơ chế xúc tác.</w:t>
      </w:r>
    </w:p>
    <w:p>
      <w:pPr>
        <w:pStyle w:val="Normal"/>
      </w:pPr>
      <w:r>
        <w:t xml:space="preserve">Lấy ví dụ về hàng thập kỷ nỗ lực cải cách giáo dục công tại Hoa Kỳ không mấy hiệu quả. Một phần thất bại nằm ở cách tiếp cận cải cách; quá thường xuyên dựa vào các sự kiện một lần và những từ khóa thời thượng hơn là dựa vào các cơ chế xúc tác tạo ra hiệu ứng bền vững. Như Roger Briggs, một giáo viên trung học ở Boulder, Colorado, đã viết trong một bài luận về cải cách trường học: 'Năm nào chúng tôi</w:t>
        <w:bookmarkStart w:id="230" w:name="page02_39"/>
        <w:t> </w:t>
        <w:bookmarkEnd w:id="230"/>
        <w:t xml:space="preserve">cũng có một chương trình hay trào lưu mới. Và chúng chẳng bao giờ thực sự hiệu quả. Cuối cùng, giáo viên chúng tôi học cách phớt lờ chúng, mỉm cười và tiếp tục công việc giảng dạy của mình.' Giờ hãy nhìn vào những gì đã xảy ra khi bang Texas bắt đầu sử dụng một cơ chế xúc tác vào năm 1995: xếp hạng trường học theo nhóm so sánh (comparison-band ranking), gắn trực tiếp với việc phân bổ nguồn lực và trong một số trường hợp là đóng cửa trường. Hiệu ứng liên tục của công cụ này đã thúc đẩy đà cải cách tiến lên. Tại sao? Vâng, nếu trường của bạn xếp thứ 5 trong số 40 trường mà bạn ngồi yên, bạn sẽ tụt hạng. Ngồi yên đủ lâu, cuối cùng bạn sẽ rơi xuống hạng 35 thay vì hạng 5, và có thể phải đối mặt với việc đóng cửa. Vì mọi trường đều được xếp hạng theo cùng tiêu chí, mức</w:t>
        <w:bookmarkStart w:id="231" w:name="page02_40"/>
        <w:t> </w:t>
        <w:bookmarkEnd w:id="231"/>
        <w:t>chuẩn về thành tích liên tục được nâng lên. Trong vòng bốn năm sau khi triển khai cơ chế này, thành tích học sinh ở Texas đã cải thiện trên mọi phương diện. Ví dụ, tỷ lệ học sinh vượt qua kỳ thi kỹ năng toán Texas đã tăng từ khoảng một nửa lên 80%, và tỷ lệ học sinh da đen và gốc Tây Ban Nha vượt qua kỳ thi đã tăng gấp đôi, lên lần lượt 64% và 72%.</w:t>
      </w:r>
    </w:p>
    <w:p>
      <w:pPr>
        <w:pStyle w:val="Normal"/>
      </w:pPr>
      <w:r>
        <w:t xml:space="preserve">Và hãy xem xét tác động lâu dài của một cơ chế xúc tác (catalytic mechanism) tốt trong bối cảnh doanh nghiệp. Darwin Smith, cựu CEO của Kimberly-Clark, đã tạo ra BHAG vào năm 1971 để biến Kimberly-Clark từ một công ty lâm sản và giấy tầm thường thành một công ty hàng tiêu dùng đẳng cấp thế giới. Lúc đó, các nhà phân tích Wall Street đã chế nhạo ý tưởng này, cũng như hầu hết các đối thủ của Kimberly-Clark.</w:t>
        <w:bookmarkStart w:id="232" w:name="page02_41"/>
        <w:t> </w:t>
        <w:bookmarkEnd w:id="232"/>
        <w:t>Smith vẫn không nao núng. Ông tạo ra một sự kiện xúc tác và một cơ chế xúc tác quan trọng không kém. Đối với sự kiện đầu tiên, ông bán một phần lớn các nhà máy sản xuất giấy truyền thống của công ty, qua đó không còn đường thoát dễ dàng khỏi giấc mơ đó. Đối với cơ chế thứ hai, ông cam kết công ty cạnh tranh trực diện với công ty hàng tiêu dùng tốt nhất thế giới: Procter &amp; Gamble. Khi tham gia vào tã giấy dùng một lần, Kimberly-Clark từ đó trở thành đối thủ trực tiếp của P&amp;G. Kimberly-Clark sẽ trở nên xuất sắc trong lĩnh vực hàng tiêu dùng hoặc bị nghiền nát. Vẻ đẹp của cơ chế xúc tác này nằm ở chỗ: không giống như những lời hô hào “thay đổi hoặc chết” quá phổ biến trong giới điều hành hiện đại, tác động liên tục của nó vẫn mạnh mẽ như khi mới được áp dụng gần 30 năm trước.</w:t>
      </w:r>
    </w:p>
    <w:p>
      <w:pPr>
        <w:pStyle w:val="13 Block"/>
        <w:pageBreakBefore w:val="on"/>
      </w:pPr>
    </w:p>
    <w:p>
      <w:bookmarkStart w:id="233" w:name="GETTING_STARTED"/>
      <w:pPr>
        <w:pStyle w:val="Para 096"/>
      </w:pPr>
      <w:r>
        <w:bookmarkStart w:id="234" w:name="page02_42"/>
        <w:t/>
        <w:bookmarkEnd w:id="234"/>
        <w:t>BẮT ĐẦU</w:t>
      </w:r>
      <w:bookmarkEnd w:id="233"/>
    </w:p>
    <w:p>
      <w:pPr>
        <w:pStyle w:val="Normal"/>
      </w:pPr>
      <w:r>
        <w:t>Đây không phải là một bài viết hướng dẫn cách làm; mục tiêu chính của tôi là giới thiệu khái niệm cơ chế xúc tác (catalytic mechanisms) và chứng minh chúng đã giúp một số công ty — và cá nhân — biến BHAG của họ thành hiện thực như thế nào. (Để tìm hiểu thêm về việc sử dụng cơ chế xúc tác cho cá nhân, hãy xem phần phụ lục “Không Chỉ Dành Cho Công Ty.”) Tuy nhiên, nghiên cứu của tôi cho thấy có một vài nguyên tắc chung hỗ trợ quá trình xây dựng các cơ chế xúc tác một cách hiệu quả.</w:t>
      </w:r>
    </w:p>
    <w:p>
      <w:bookmarkStart w:id="235" w:name="Don_t_just_add__remove"/>
      <w:pPr>
        <w:pStyle w:val="Para 046"/>
      </w:pPr>
      <w:r>
        <w:t>Đừng chỉ thêm vào, hãy loại bỏ</w:t>
      </w:r>
      <w:bookmarkEnd w:id="235"/>
    </w:p>
    <w:p>
      <w:pPr>
        <w:pStyle w:val="Normal"/>
      </w:pPr>
      <w:r>
        <w:t xml:space="preserve">Khi theo đuổi các BHAG (mục tiêu lớn đầy tham vọng), khuynh hướng tự nhiên của chúng ta là thêm vào—sáng</w:t>
        <w:bookmarkStart w:id="236" w:name="page02_43"/>
        <w:t> </w:t>
        <w:bookmarkEnd w:id="236"/>
        <w:t>kiến mới, hệ thống mới, chiến lược mới, ưu tiên mới, và giờ là cơ chế xúc tác mới. Nhưng làm vậy, chúng ta làm chính mình quá tải. Chẳng phải đáng sợ khi phiên bản mới của Palm Pilot có chỗ cho 1.500 mục trong danh sách việc cần làm sao? Đáng buồn thay, ít ai trong chúng ta có danh sách “những việc cần dừng lại”. Chúng ta nên có, vì loại bỏ một thứ gì đó—ngắt kết nối nó—cũng có thể tạo ra sức bật (catalytic) như thêm vào điều mới.</w:t>
      </w:r>
    </w:p>
    <w:p>
      <w:pPr>
        <w:pStyle w:val="Normal"/>
      </w:pPr>
      <w:r>
        <w:t xml:space="preserve">Hãy xem trường hợp của bộ phận mạch điện tại Hewlett-Packard. Họ đã thử vô số chương trình và sáng kiến để đạt được BHAG (mục tiêu lớn đầy tham vọng) của mình: trở thành “nơi mà mọi người bước đi với bước chân phấn khởi, cảm thấy hưng phấn với công việc, và tìm kiếm những cách giàu trí tưởng tượng để cải thiện và đổi mới mọi thứ chúng ta làm.” Các sự kiện</w:t>
        <w:bookmarkStart w:id="237" w:name="page02_44"/>
        <w:t> </w:t>
        <w:bookmarkEnd w:id="237"/>
        <w:t>này tạo ra kết quả ngắn hạn—một khoảnh khắc lấp lánh và hào hứng—nhưng sau một hoặc hai tháng, bộ phận này lại trôi về trạng thái buồn tẻ, thường nhật như cũ.</w:t>
      </w:r>
    </w:p>
    <w:p>
      <w:pPr>
        <w:pStyle w:val="Normal"/>
      </w:pPr>
      <w:r>
        <w:t xml:space="preserve">Sau đó, các giám đốc điều hành của bộ phận này xem xét câu hỏi: “Chúng ta nên loại bỏ những chính sách nào?” Trong phần lớn lịch sử của mình, bộ phận này đã thoải mái sống dựa vào một thị trường nội bộ bị bó buộc. Điều gì sẽ xảy ra nếu các bộ phận khác của HP được phép mua linh kiện từ các đối thủ bên ngoài? Bộ phận mạch điện sẽ không bao giờ còn nhận được những đơn hàng nội bộ béo bở được trao tận tay nữa. Không bao giờ có thể chỉ ngồi yên được nữa. Hai tháng, bốn tháng, một năm, năm năm, mười năm sau—các đối thủ cạnh tranh khốc liệt vẫn sẽ ở đó, liên tục nâng mức cược. Viễn cảnh đó</w:t>
        <w:bookmarkStart w:id="238" w:name="page02_45"/>
        <w:t> </w:t>
        <w:bookmarkEnd w:id="238"/>
        <w:t>vừa đáng sợ vừa phấn khích. Các nhà quản lý quyết định ngừng yêu cầu “mua nội bộ” và mở cửa cho cạnh tranh thị trường tự do.</w:t>
      </w:r>
    </w:p>
    <w:p>
      <w:pPr>
        <w:pStyle w:val="Normal"/>
      </w:pPr>
      <w:r>
        <w:t>Chỉ trong vài tuần, bộ phận mạch điện đã trên đà hiện thực hóa BHAG (mục tiêu lớn đầy tham vọng) của mình. Ngay khi bước chân vào cửa, bạn có thể cảm nhận một môi trường hoàn toàn khác biệt. Nơi đó nhộn nhịp hoạt động, và kết quả làm việc thể hiện rõ điều đó.</w:t>
      </w:r>
    </w:p>
    <w:p>
      <w:bookmarkStart w:id="239" w:name="Create__don_t_copy"/>
      <w:pPr>
        <w:pStyle w:val="Para 046"/>
      </w:pPr>
      <w:r>
        <w:t>Sáng tạo, đừng sao chép</w:t>
      </w:r>
      <w:bookmarkEnd w:id="239"/>
    </w:p>
    <w:p>
      <w:pPr>
        <w:pStyle w:val="Normal"/>
      </w:pPr>
      <w:r>
        <w:t>Việc tạo ra các cơ chế chính là một hành động sáng tạo. Tất nhiên, bạn có thể có được những ý tưởng hay bằng cách nhìn xem các tổ chức khác làm gì, nhưng những cơ chế xúc tác (catalytic mechanisms) tốt nhất là những sự thích nghi mang tính đặc thù (idiosyncratic adaptations), nếu không muốn nói là sáng tạo hoàn toàn, cho một tình huống duy nhất.</w:t>
      </w:r>
    </w:p>
    <w:p>
      <w:pPr>
        <w:pStyle w:val="Normal"/>
      </w:pPr>
      <w:r>
        <w:bookmarkStart w:id="240" w:name="page02_46"/>
        <w:t>Vì</w:t>
        <w:bookmarkEnd w:id="240"/>
        <w:t> các cơ chế xúc tác đòi hỏi những ý tưởng mới mẻ, việc mời tất cả thành viên của tổ chức tham gia sáng tạo ra chúng là điều hợp lý. Tất cả mọi người. Chắc chắn, một số cơ chế cần đến sự đóng góp của các lãnh đạo cấp cao, như short pay tại Granite Rock. Tuy nhiên, nhiều cơ chế xúc tác tốt nhất không phải do ban quản lý cấp cao tạo ra. Ví dụ, ý tưởng về quy tắc miễn trừ (waiver rule) của chính phủ liên bang đến từ hai nhân viên—Lance Cope và Jeff Goldstein. Họ làm việc tại các phòng thí nghiệm tái tạo quốc gia (national reinvention labs), và cả hai đều không có quyền trực tiếp đối với bất kỳ cơ quan liên bang nào.</w:t>
      </w:r>
    </w:p>
    <w:p>
      <w:pPr>
        <w:pStyle w:val="Normal"/>
      </w:pPr>
      <w:r>
        <w:t xml:space="preserve">Tôi cũng xin phép dùng một ví dụ cá nhân. Một phần tầm nhìn nghề nghiệp của tôi là cống hiến thông qua giảng dạy và khai thác sự tò mò,</w:t>
        <w:bookmarkStart w:id="241" w:name="page02_47"/>
        <w:t> </w:t>
        <w:bookmarkEnd w:id="241"/>
        <w:t>đam mê học hỏi của mình để tạo ra tác động tích cực đến thế giới. Từ mục tiêu đó nảy sinh yêu cầu bắt buộc rằng tôi phải dành thời gian chủ yếu cho nghiên cứu, viết lách và giảng dạy, đồng thời hạn chế công việc tư vấn chỉ trong những tình huống mà tôi có thể đóng góp với vai trò là một người thầy.</w:t>
      </w:r>
    </w:p>
    <w:p>
      <w:pPr>
        <w:pStyle w:val="Normal"/>
      </w:pPr>
      <w:r>
        <w:t xml:space="preserve">Để củng cố yêu cầu bắt buộc đó, tôi đã tạo ra hai cơ chế xúc tác: 'quy tắc đến Boulder' (come to Boulder rule) và 'quy tắc bốn ngày' (four day rule). Quy tắc đầu tiên nêu rằng tôi sẽ không tham gia vào mối quan hệ tư vấn trực tiếp với bất kỳ tổ chức nào trừ khi giám đốc điều hành đồng ý đến phòng thí nghiệm nghiên cứu Boulder của tôi. Các giám đốc chi rất nhiều tiền cho các chuyên gia tư vấn, nhưng tiền không đồng nghĩa với cam kết—nếu bạn có ngân sách đủ lớn,</w:t>
        <w:bookmarkStart w:id="242" w:name="page02_48"/>
        <w:t> </w:t>
        <w:bookmarkEnd w:id="242"/>
        <w:t>các hóa đơn chẳng hề làm bạn đau lòng. Tuy nhiên, tất cả giám đốc điều hành, dù ngân sách có lớn đến đâu, cũng chỉ có 24 giờ mỗi ngày. Nếu một CEO bay cả quãng đường đến Boulder, họ đã chứng tỏ sự cam kết đối với những cuộc thảo luận nghiêm túc và làm việc chăm chỉ, và khả năng tôi tạo ra tác động đáng kể với vai trò là một người thầy sẽ tăng lên theo cấp số nhân. Quan trọng nhất, những ai không cam kết với sự thay đổi thực sự (và có thể gây khó chịu) sẽ tự loại mình ngay từ đầu.</w:t>
      </w:r>
    </w:p>
    <w:p>
      <w:pPr>
        <w:pStyle w:val="Normal"/>
      </w:pPr>
      <w:r>
        <w:t xml:space="preserve">Cơ chế thứ hai—quy tắc bốn ngày của tôi—nêu rằng bất kỳ tổ chức nào cũng có giới hạn tối đa bốn ngày tư vấn của tôi trong một năm. Tác động lâu dài nhất đến từ việc dạy người ta cách câu cá, chứ không phải câu cá giúp họ. Các tổ chức muốn có một chuyên gia tư vấn câu cá giúp họ sẽ tự loại mình qua cơ chế xúc tác</w:t>
        <w:bookmarkStart w:id="243" w:name="page02_49"/>
        <w:t> n</w:t>
        <w:bookmarkEnd w:id="243"/>
        <w:t xml:space="preserve">ày. Thú thật, đây là những công cụ rất khác thường, và chúng sẽ gây thảm họa cho hầu hết các công ty tư vấn phụ thuộc vào sự tăng trưởng liên tục để nuôi bộ máy của mình. Tuy nhiên, chúng được thiết kế hoàn hảo cho một chiến lược nhằm rõ ràng là không xây dựng một doanh</w:t>
      </w:r>
      <w:r>
        <w:rPr>
          <w:rStyle w:val="Text0"/>
        </w:rPr>
        <w:t> </w:t>
      </w:r>
      <w:r>
        <w:t xml:space="preserve">nghiệp tư vấn lớn. Chúng là duy nhất đối với tôi, cũng như mọi cơ chế xúc tác nên là duy nhất đối với những người tạo ra chúng.</w:t>
      </w:r>
    </w:p>
    <w:p>
      <w:bookmarkStart w:id="244" w:name="Use_money__but_not_only_money"/>
      <w:pPr>
        <w:pStyle w:val="Para 046"/>
      </w:pPr>
      <w:r>
        <w:t>Dùng tiền, nhưng không chỉ dùng tiền</w:t>
      </w:r>
      <w:bookmarkEnd w:id="244"/>
    </w:p>
    <w:p>
      <w:pPr>
        <w:pStyle w:val="Normal"/>
      </w:pPr>
      <w:r>
        <w:t xml:space="preserve">Những ví dụ trong bài viết này có thể khiến bạn nghĩ rằng hầu hết các cơ chế xúc tác (catalytic mechanism) đều dùng tiền. Nhưng thực tế, khi đồng nghiệp nghiên cứu của tôi là Lane Hornung lập danh mục cơ sở dữ liệu về các cơ chế xúc tác của tôi, anh ấy phát hiện chỉ một nửa trong số đó dùng tiền. Điều này có thể</w:t>
        <w:bookmarkStart w:id="245" w:name="page02_50"/>
        <w:t> k</w:t>
        <w:bookmarkEnd w:id="245"/>
        <w:t>hiến một số người bất ngờ—đặc biệt là những ai tin vào câu nói cũ rằng tiền là động lực tốt nhất. Tôi không định nói rằng tiền không thúc đẩy con người đạt kết quả mong muốn; tiền có thể làm cho bất kỳ cơ chế xúc tác nào thêm phần sắc bén. Nhưng hoàn toàn dựa vào tiền phản ánh sự hiểu biết nông cạn về hành vi con người.</w:t>
      </w:r>
    </w:p>
    <w:p>
      <w:pPr>
        <w:pStyle w:val="Normal"/>
      </w:pPr>
      <w:r>
        <w:t xml:space="preserve">Thủy quân lục chiến Hoa Kỳ (U.S. Marine Corps) minh họa chính xác quan điểm của tôi. Quân đoàn này xây dựng sự tận tâm phi thường thông qua một loạt các cơ chế xúc tác tạo ra sự gắn kết tâm lý mãnh liệt giữa các thành viên. Bằng cách cô lập tân binh tại các trại huấn luyện tân binh (boot camp) và tạo ra môi trường mà tân binh chỉ có thể sống sót bằng cách dựa vào nhau, Quân đoàn kích hoạt động lực sâu xa của con người—được cài sẵn trong hầu hết chúng ta—là hỗ trợ và bảo vệ</w:t>
        <w:bookmarkStart w:id="246" w:name="page02_51"/>
        <w:t> </w:t>
        <w:bookmarkEnd w:id="246"/>
        <w:t>những người mà chúng ta coi là gia đình. Hầu hết mọi người sẽ không liều mạng vì tiền thưởng cuối năm, nhưng họ sẽ làm mọi cách để giành được sự tôn trọng và bảo vệ sự an lành của đồng đội.</w:t>
      </w:r>
    </w:p>
    <w:p>
      <w:pPr>
        <w:pStyle w:val="Normal"/>
      </w:pPr>
      <w:r>
        <w:t xml:space="preserve">William Manchester, người đã trở về đơn vị của mình tại Okinawa sau khi nhận một vết thương khiến ông được trao tặng Huân chương Tim Tím (Purple Heart), đã mô tả một cách hùng hồn tâm lý của sự tận tâm trong cuốn sách</w:t>
      </w:r>
      <w:r>
        <w:rPr>
          <w:rStyle w:val="Text0"/>
        </w:rPr>
        <w:t> Goodbye Darkness của ông:</w:t>
      </w:r>
    </w:p>
    <w:p>
      <w:pPr>
        <w:pStyle w:val="Para 007"/>
      </w:pPr>
      <w:r>
        <w:t xml:space="preserve">Và rồi, trong một trong những cú sốc lớn ào ạt mà qua đó động cơ thực sự của một người được hé lộ qua một tầm nhìn chấn động, cuối cùng tôi đã hiểu vì sao ba mươi lăm năm trước, vào ngày Chủ nhật đó, tôi đã trốn khỏi bệnh viện và, bất chấp mệnh lệnh, trở lại mặt trận nơi</w:t>
        <w:bookmarkStart w:id="247" w:name="page02_52"/>
        <w:t> </w:t>
        <w:bookmarkEnd w:id="247"/>
        <w:t>cái chết gần như chắc chắn. Đó là một hành động của tình yêu. Những người lính trên tuyến đầu là gia đình tôi, là nhà của tôi. . . . Họ chưa bao giờ làm tôi thất vọng, và tôi không thể làm điều đó với họ. Tôi phải ở bên họ thay vì để họ chết và tôi sống với nỗi đau rằng tôi có thể đã cứu họ. Giờ tôi biết, con người không chiến đấu vì lá cờ hay Tổ quốc, vì Thủy quân lục chiến hay vinh quang hay bất kỳ khái niệm trừu tượng nào khác. Họ chiến đấu vì</w:t>
      </w:r>
      <w:hyperlink w:anchor="1_1">
        <w:r>
          <w:rPr>
            <w:rStyle w:val="Text2"/>
          </w:rPr>
          <w:bookmarkStart w:id="248" w:name="1"/>
          <w:t> nhau</w:t>
          <w:bookmarkEnd w:id="248"/>
        </w:r>
      </w:hyperlink>
      <w:hyperlink w:anchor="1_1">
        <w:r>
          <w:rPr>
            <w:rStyle w:val="Text5"/>
          </w:rPr>
          <w:t>.1</w:t>
        </w:r>
      </w:hyperlink>
    </w:p>
    <w:p>
      <w:pPr>
        <w:pStyle w:val="Normal"/>
      </w:pPr>
      <w:r>
        <w:t xml:space="preserve">Đúng vậy, các cơ chế xúc tác đôi khi dùng tiền để thêm phần sắc bén, nhưng những cơ chế tốt nhất còn khai thác những nguồn động lực sâu xa hơn của con người. Ngay cả tại Nucor, hiệu quả của các cơ chế xúc tác nằm ở áp lực từ đồng đội và mong muốn không làm đồng đội thất</w:t>
        <w:bookmarkStart w:id="249" w:name="page02_53"/>
        <w:t> </w:t>
        <w:bookmarkEnd w:id="249"/>
        <w:t xml:space="preserve">vọng, nhiều không kém so với số tiền trong phong bì thưởng hằng tuần. Những người giỏi</w:t>
      </w:r>
      <w:r>
        <w:rPr>
          <w:rStyle w:val="Text0"/>
        </w:rPr>
        <w:t> nhất</w:t>
      </w:r>
      <w:r>
        <w:t xml:space="preserve"> không bao giờ chỉ làm việc vì tiền. Và các cơ chế xúc tác nên phản ánh điều đó.</w:t>
      </w:r>
    </w:p>
    <w:p>
      <w:bookmarkStart w:id="250" w:name="Allow_your_mechanisms_to_evolve"/>
      <w:pPr>
        <w:pStyle w:val="Para 046"/>
      </w:pPr>
      <w:r>
        <w:t>Hãy để các cơ chế của bạn phát triển</w:t>
      </w:r>
      <w:bookmarkEnd w:id="250"/>
    </w:p>
    <w:p>
      <w:pPr>
        <w:pStyle w:val="Normal"/>
      </w:pPr>
      <w:r>
        <w:t>Các cơ chế xúc tác mới đôi khi tạo ra những hậu quả tiêu cực ngoài ý muốn và cần được điều chỉnh. Ví dụ, phiên bản đầu tiên của lá cờ đỏ (red flag) đã thất bại vì một số sinh viên tiếp tục chiếm lĩnh cuộc thảo luận trên lớp, nghĩ rằng mọi bình luận của họ đều xứng đáng một lá cờ đỏ. Vì vậy, tôi đã thêm điều kiện: “Lá cờ đỏ của bạn chỉ được dùng một lần trong học kỳ. Lá cờ đỏ của bạn không được chuyển nhượng; bạn không thể tặng hay bán nó cho sinh viên khác.”</w:t>
      </w:r>
    </w:p>
    <w:p>
      <w:pPr>
        <w:pStyle w:val="Normal"/>
      </w:pPr>
      <w:r>
        <w:bookmarkStart w:id="251" w:name="page02_54"/>
        <w:t>Thực</w:t>
        <w:bookmarkEnd w:id="251"/>
        <w:t xml:space="preserve"> ra, mọi cơ chế xúc tác (catalytic mechanism), dù ban đầu có hoạt động hoàn hảo đến đâu, cũng nên tiến hóa. Quy tắc 15% của 3M là một ví dụ điển hình. Năm 1956, ban lãnh đạo đã khuyến khích các nhà khoa học của 3M sử dụng phòng thí nghiệm 3M trong giờ nghỉ trưa để làm bất cứ điều gì họ muốn. Vào những năm 1960, cơ chế xúc tác đó đã được chính thức hóa thành “quy tắc 15%”, theo đó các nhà</w:t>
      </w:r>
      <w:r>
        <w:rPr>
          <w:rStyle w:val="Text0"/>
        </w:rPr>
        <w:t> khoa</w:t>
      </w:r>
      <w:r>
        <w:t xml:space="preserve"> học có thể sử dụng 15% thời gian của họ. Vào những năm 1980, quy tắc 15% được áp dụng rộng rãi cho các nhân viên của 3M (3Mers) ngoài các nhà khoa học, chẳng hạn như để sáng tạo trong sản xuất và tiếp thị. Vào những năm 1990, ban lãnh đạo 3M lo ngại rằng số người sử dụng cơ chế này đã giảm so với các thập kỷ trước. Họ đã thành lập một lực lượng đặc nhiệm để tái tạo quy tắc 15%, củng cố nó bằng các phần thưởng vinh danh đặc biệt cho những ai sử dụng “thời</w:t>
        <w:bookmarkStart w:id="252" w:name="page02_55"/>
        <w:t> </w:t>
        <w:bookmarkEnd w:id="252"/>
        <w:t>gian chui” (bootleg time) – như cách mà nó được gọi – để tạo ra những sáng kiến mang lại lợi nhuận.</w:t>
      </w:r>
    </w:p>
    <w:p>
      <w:pPr>
        <w:pStyle w:val="Normal"/>
      </w:pPr>
      <w:r>
        <w:t>Quy tắc 15% đã là một cơ chế xúc tác (catalytic mechanism) tại 3M trong hơn 40 năm, nhưng nó liên tục được cải tiến để giữ được sự phù hợp và hiệu quả. Đó là cách tiếp cận đúng đắn; không cơ chế xúc tác nào nên được xem là thiêng liêng. Trong một công ty vĩ đại, chỉ có giá trị cốt lõi và mục đích là thiêng liêng; mọi thứ khác, kể cả cơ chế xúc tác, đều cần sẵn sàng cho sự thay đổi.</w:t>
      </w:r>
    </w:p>
    <w:p>
      <w:bookmarkStart w:id="253" w:name="Build_an_integrated_set"/>
      <w:pPr>
        <w:pStyle w:val="Para 046"/>
      </w:pPr>
      <w:r>
        <w:t>Xây dựng một bộ tích hợp</w:t>
      </w:r>
      <w:bookmarkEnd w:id="253"/>
    </w:p>
    <w:p>
      <w:pPr>
        <w:pStyle w:val="Normal"/>
      </w:pPr>
      <w:r>
        <w:t xml:space="preserve">Một cơ chế xúc tác là tốt; nhưng nếu có nhiều cơ chế bổ trợ cho nhau thành một bộ thì còn tốt hơn. Điều đó không có nghĩa là công ty cần hàng trăm cơ chế xúc tác – chỉ cần một vài</w:t>
        <w:bookmarkStart w:id="254" w:name="page02_56"/>
        <w:t> </w:t>
        <w:bookmarkEnd w:id="254"/>
        <w:t xml:space="preserve">cái là đủ. Hãy nhìn lại Granite Rock. Chắc chắn họ không chỉ dựa vào trả lương ngắn hạn (short pay). Họ còn có một cơ chế xúc tác đòi hỏi nhân viên và quản lý phải tạo ra một kế hoạch phát triển tập trung cho nhân viên trong quá trình đánh giá hiệu quả công việc. Thực tế, mọi nhân viên và quản lý phải cùng nhau hoàn thành một biểu mẫu với nội dung: “Học_____ để tôi có thể đóng góp_____.” Có hai yếu tố tạo nên sức mạnh của biểu mẫu này. Thứ nhất, nhân viên và quản lý của họ phải cùng ký duyệt kế hoạch phát triển cuối cùng, buộc hai bên phải liên tục đối thoại cho đến khi đạt được sự đồng thuận. Thứ hai, lương thưởng gắn trực tiếp với việc học hỏi và cải thiện, không chỉ là hiệu quả công việc: những người không nỗ lực cải thiện kỹ năng sẽ nhận mức</w:t>
        <w:bookmarkStart w:id="255" w:name="page02_57"/>
        <w:t> </w:t>
        <w:bookmarkEnd w:id="255"/>
        <w:t xml:space="preserve">lương thấp hơn mức trung bình. Chỉ những ai làm tốt công việc,</w:t>
      </w:r>
      <w:r>
        <w:rPr>
          <w:rStyle w:val="Text0"/>
        </w:rPr>
        <w:t> cải</w:t>
      </w:r>
      <w:r>
        <w:t xml:space="preserve"> thiện kỹ năng và đóng</w:t>
      </w:r>
      <w:r>
        <w:rPr>
          <w:rStyle w:val="Text0"/>
        </w:rPr>
        <w:t> góp</w:t>
      </w:r>
      <w:r>
        <w:t xml:space="preserve"> vào việc cải thiện hệ thống chung của Granite Rock mới được trả lương cao hơn mức trung bình. Vì vậy, những người chỉ đơn thuần làm tốt công việc sẽ tự rời khỏi Granite Rock. Cơ chế xúc tác này đã tạo ra những bất ngờ thú vị: một nhân viên trước đây mù chữ đã dùng nó để nhờ công ty cử anh ta tham gia chương trình học đọc. Khi Granite Rock giành được Giải thưởng Baldrige, anh ta đã đọc một bài phát biểu nhận giải.</w:t>
      </w:r>
    </w:p>
    <w:p>
      <w:pPr>
        <w:pStyle w:val="Normal"/>
      </w:pPr>
      <w:r>
        <w:t xml:space="preserve">Granite Rock cũng sử dụng các cơ chế xúc tác để định hướng tuyển dụng, khuyến khích chấp nhận rủi ro và thúc đẩy những năng lực mới. Điểm mấu chốt ở đây không nằm ở chi tiết mà nằm ở bức tranh lớn: Granite Rock không chỉ dựa vào trả lương ngắn</w:t>
        <w:bookmarkStart w:id="256" w:name="page02_58"/>
        <w:t> </w:t>
        <w:bookmarkEnd w:id="256"/>
        <w:t>hạn (short pay) để theo đuổi mục tiêu lớn, táo bạo và đầy tham vọng (BHAG) của mình – đạt được danh tiếng về sự hài lòng của khách hàng vượt qua cả Nordstrom. Họ có khoảng một tá cơ chế xúc tác hỗ trợ và củng cố lẫn nhau.</w:t>
      </w:r>
    </w:p>
    <w:p>
      <w:pPr>
        <w:pStyle w:val="Normal"/>
      </w:pPr>
      <w:r>
        <w:t>Tuy nhiên, sẽ là một sai lầm nếu lấy bài viết này và khởi động một sáng kiến cơ chế xúc tác lớn. Việc phát triển một bộ cơ chế xúc tác nên là một quá trình tự nhiên, một kỷ luật liên tục, một thói quen trong tư duy và hành động. Khoảng chục cơ chế xúc tác tại Granite Rock đã hình thành trong suốt một thập kỷ. Chắc chắn bạn không muốn dùng ý tưởng này để tạo thêm một tầng quan liêu nữa. Các cơ chế xúc tác phải là chất xúc tác, không phải chất ức chế.</w:t>
      </w:r>
    </w:p>
    <w:p>
      <w:pPr>
        <w:pStyle w:val="13 Block"/>
        <w:pageBreakBefore w:val="on"/>
      </w:pPr>
    </w:p>
    <w:p>
      <w:bookmarkStart w:id="257" w:name="CASTLES_IN_THE_AIR"/>
      <w:pPr>
        <w:pStyle w:val="Para 096"/>
      </w:pPr>
      <w:r>
        <w:bookmarkStart w:id="258" w:name="page02_59"/>
        <w:t/>
        <w:bookmarkEnd w:id="258"/>
        <w:t>LÂU ĐÀI TRÊN KHÔNG</w:t>
      </w:r>
      <w:bookmarkEnd w:id="257"/>
    </w:p>
    <w:p>
      <w:pPr>
        <w:pStyle w:val="Normal"/>
      </w:pPr>
      <w:r>
        <w:t>Gần đây tôi đã làm việc với một chuỗi bán lẻ lớn để xác định BHAG (mục tiêu lớn, táo bạo và đầy tham vọng) của họ cho thế kỷ 21. Công ty đang hoạt động tốt, nhưng họ muốn hiệu quả hoạt động của mình trở nên phi thường. Và vì vậy, các giám đốc điều hành đã đưa ra một mục tiêu cực kỳ tham vọng: làm cho thương hiệu của họ nổi tiếng hơn cả Coke.</w:t>
      </w:r>
    </w:p>
    <w:p>
      <w:pPr>
        <w:pStyle w:val="Normal"/>
      </w:pPr>
      <w:r>
        <w:t xml:space="preserve">Thách thức của công ty đó lúc này là phát minh ra các cơ chế xúc tác để biến giấc mơ thành hiện thực. Tôi đã khuyên các giám đốc điều hành của họ không nên đầu tư quá nhiều vào các sự kiện rùm beng để khuấy động hàng nghìn nhân viên tuyến đầu về BHAG mới. Thay vào đó, họ nên tạo ra và triển khai một bộ cơ chế xúc tác—những công cụ cụ thể, rõ ràng và mạnh mẽ để truyền kỷ luật cho tầm nhìn của</w:t>
        <w:bookmarkStart w:id="259" w:name="page02_60"/>
        <w:t> </w:t>
        <w:bookmarkEnd w:id="259"/>
        <w:t>họ. Suy cho cùng, chỉ riêng các cơ chế xúc tác không thể tạo ra sự vĩ đại; chúng cần một giấc mơ để dẫn đường. Nhưng nếu bạn có thể kết hợp những khát vọng lớn lao, vô hình với những cơ chế xúc tác đơn giản, hữu hình, thì bạn sẽ có sự kết hợp kỳ diệu để duy trì sự xuất sắc.</w:t>
      </w:r>
    </w:p>
    <w:p>
      <w:pPr>
        <w:pStyle w:val="Normal"/>
      </w:pPr>
      <w:r>
        <w:t xml:space="preserve">Ở phần kết của Walden,</w:t>
      </w:r>
      <w:r>
        <w:rPr>
          <w:rStyle w:val="Text0"/>
        </w:rPr>
        <w:t> Henry</w:t>
      </w:r>
      <w:r>
        <w:t xml:space="preserve"> David Thoreau đã viết: "Nếu bạn đã xây lâu đài trên không, công việc của bạn không mất đi; đó là nơi chúng nên ở. Bây giờ hãy đặt nền móng dưới chúng." BHAG là những giấc mơ táo bạo nhất của một công ty. Các cơ chế xúc tác chính là nền móng của chúng. Hãy xây dựng cả hai.</w:t>
      </w:r>
    </w:p>
    <w:p>
      <w:bookmarkStart w:id="260" w:name="Table_1"/>
      <w:pPr>
        <w:pStyle w:val="Para 189"/>
        <w:keepLines w:val="on"/>
      </w:pPr>
      <w:r>
        <w:bookmarkStart w:id="261" w:name="page02_61"/>
        <w:t/>
        <w:bookmarkEnd w:id="261"/>
        <w:t>Bảng 1</w:t>
      </w:r>
      <w:bookmarkEnd w:id="260"/>
    </w:p>
    <w:p>
      <w:pPr>
        <w:pStyle w:val="01 Block"/>
        <w:keepLines w:val="on"/>
      </w:pPr>
    </w:p>
    <w:p>
      <w:pPr>
        <w:pStyle w:val="Para 140"/>
        <w:keepLines w:val="on"/>
      </w:pPr>
      <w:r>
        <w:t>Các Cơ chế Xúc tác: Phá vỡ truyền thống</w:t>
      </w:r>
    </w:p>
    <w:p>
      <w:pPr>
        <w:pStyle w:val="Para 190"/>
        <w:keepLines w:val="on"/>
      </w:pPr>
      <w:r>
        <w:t>Các cơ chế xúc tác có chung năm đặc điểm khác biệt giúp phân biệt chúng với các biện pháp kiểm soát truyền thống</w:t>
      </w:r>
    </w:p>
    <w:tbl>
      <w:tblPr>
        <w:tblW w:type="pct" w:w="5000"/>
      </w:tblPr>
      <w:tr>
        <w:tc>
          <w:tcPr>
            <w:tcW w:type="auto" w:w="0"/>
            <w:tcBorders>
              <w:bottom w:val="single" w:sz="2" w:color="000000"/>
            </w:tcBorders>
            <w:tcMar>
              <w:left w:type="dxa" w:w="280"/>
              <w:top w:type="dxa" w:w="140"/>
            </w:tcMar>
            <w:vAlign w:val="top"/>
          </w:tcPr>
          <w:p>
            <w:pPr>
              <w:pStyle w:val="Para 114"/>
              <w:keepLines w:val="on"/>
            </w:pPr>
            <w:r>
              <w:t xml:space="preserve">Một công cụ, biện pháp kiểm soát hoặc cơ chế quản lý truyền thống:</w:t>
              <w:br w:clear="none"/>
            </w:r>
          </w:p>
        </w:tc>
        <w:tc>
          <w:tcPr>
            <w:tcW w:type="auto" w:w="0"/>
            <w:tcBorders>
              <w:bottom w:val="single" w:sz="2" w:color="000000"/>
            </w:tcBorders>
            <w:tcMar>
              <w:left w:type="dxa" w:w="280"/>
              <w:top w:type="dxa" w:w="140"/>
            </w:tcMar>
            <w:vAlign w:val="top"/>
          </w:tcPr>
          <w:p>
            <w:pPr>
              <w:pStyle w:val="Para 114"/>
              <w:keepLines w:val="on"/>
            </w:pPr>
            <w:r>
              <w:t xml:space="preserve">Một cơ chế xúc tác:</w:t>
              <w:br w:clear="none"/>
            </w:r>
          </w:p>
        </w:tc>
        <w:tc>
          <w:tcPr>
            <w:tcW w:type="auto" w:w="0"/>
            <w:tcBorders>
              <w:bottom w:val="single" w:sz="2" w:color="000000"/>
            </w:tcBorders>
            <w:tcMar>
              <w:left w:type="dxa" w:w="280"/>
              <w:top w:type="dxa" w:w="140"/>
            </w:tcMar>
            <w:vAlign w:val="top"/>
          </w:tcPr>
          <w:p>
            <w:pPr>
              <w:pStyle w:val="Para 114"/>
              <w:keepLines w:val="on"/>
            </w:pPr>
            <w:r>
              <w:t xml:space="preserve">Ví dụ về một cơ chế xúc tác:</w:t>
              <w:br w:clear="none"/>
            </w:r>
          </w:p>
        </w:tc>
      </w:tr>
      <w:tr>
        <w:tc>
          <w:tcPr>
            <w:tcW w:type="auto" w:w="0"/>
            <w:tcBorders>
              <w:top w:val="single" w:sz="2" w:color="000000"/>
            </w:tcBorders>
            <w:tcMar>
              <w:left w:type="dxa" w:w="320"/>
              <w:top w:type="dxa" w:w="160"/>
            </w:tcMar>
            <w:vAlign w:val="top"/>
          </w:tcPr>
          <w:p>
            <w:pPr>
              <w:pStyle w:val="Para 004"/>
              <w:keepLines w:val="on"/>
            </w:pPr>
            <w:r>
              <w:t xml:space="preserve">Giảm sự khác biệt trong khi mở rộng bộ máy quan liêu của tổ chức.</w:t>
              <w:br w:clear="none"/>
            </w:r>
          </w:p>
        </w:tc>
        <w:tc>
          <w:tcPr>
            <w:tcW w:type="auto" w:w="0"/>
            <w:tcBorders>
              <w:top w:val="single" w:sz="2" w:color="000000"/>
            </w:tcBorders>
            <w:tcMar>
              <w:left w:type="dxa" w:w="320"/>
              <w:top w:type="dxa" w:w="160"/>
            </w:tcMar>
            <w:vAlign w:val="top"/>
          </w:tcPr>
          <w:p>
            <w:pPr>
              <w:pStyle w:val="Para 004"/>
              <w:keepLines w:val="on"/>
            </w:pPr>
            <w:r>
              <w:t xml:space="preserve">Tạo ra kết quả mong muốn theo những cách không thể đoán trước.</w:t>
              <w:br w:clear="none"/>
            </w:r>
          </w:p>
        </w:tc>
        <w:tc>
          <w:tcPr>
            <w:tcW w:type="auto" w:w="0"/>
            <w:tcBorders>
              <w:top w:val="single" w:sz="2" w:color="000000"/>
            </w:tcBorders>
            <w:tcMar>
              <w:left w:type="dxa" w:w="320"/>
              <w:top w:type="dxa" w:w="160"/>
            </w:tcMar>
            <w:vAlign w:val="top"/>
          </w:tcPr>
          <w:p>
            <w:pPr>
              <w:pStyle w:val="Para 004"/>
              <w:keepLines w:val="on"/>
            </w:pPr>
            <w:r>
              <w:t xml:space="preserve">Lá cờ đỏ khiến một CEO cực kỳ cố chấp phải lắng nghe thử thách của một sinh viên MBA––giúp cải thiện kiến thức của cả lớp, bất chấp tính chất bất ngờ của cuộc trao đổi.</w:t>
              <w:br w:clear="none"/>
            </w:r>
          </w:p>
        </w:tc>
      </w:tr>
      <w:tr>
        <w:tc>
          <w:tcPr>
            <w:tcW w:type="auto" w:w="0"/>
            <w:tcMar>
              <w:left w:type="dxa" w:w="320"/>
              <w:top w:type="dxa" w:w="160"/>
            </w:tcMar>
            <w:vAlign w:val="top"/>
          </w:tcPr>
          <w:p>
            <w:pPr>
              <w:pStyle w:val="Para 004"/>
              <w:keepLines w:val="on"/>
            </w:pPr>
            <w:r>
              <w:t xml:space="preserve">Tập trung quyền lực vào tay những người có thẩm quyền, những người có thể buộc người khác tuân theo mệnh lệnh của họ.</w:t>
              <w:br w:clear="none"/>
            </w:r>
          </w:p>
        </w:tc>
        <w:tc>
          <w:tcPr>
            <w:tcW w:type="auto" w:w="0"/>
            <w:tcMar>
              <w:left w:type="dxa" w:w="320"/>
              <w:top w:type="dxa" w:w="160"/>
            </w:tcMar>
            <w:vAlign w:val="top"/>
          </w:tcPr>
          <w:p>
            <w:pPr>
              <w:pStyle w:val="Para 004"/>
              <w:keepLines w:val="on"/>
            </w:pPr>
            <w:r>
              <w:t xml:space="preserve">Phân bổ quyền lực vì lợi ích của toàn hệ thống, thường gây khó chịu lớn cho những người theo truyền thống nắm giữ quyền lực.</w:t>
              <w:br w:clear="none"/>
            </w:r>
          </w:p>
        </w:tc>
        <w:tc>
          <w:tcPr>
            <w:tcW w:type="auto" w:w="0"/>
            <w:tcMar>
              <w:left w:type="dxa" w:w="320"/>
              <w:top w:type="dxa" w:w="160"/>
            </w:tcMar>
            <w:vAlign w:val="top"/>
          </w:tcPr>
          <w:p>
            <w:pPr>
              <w:pStyle w:val="Para 004"/>
              <w:keepLines w:val="on"/>
            </w:pPr>
            <w:r>
              <w:t xml:space="preserve">Một quy định mới của chính phủ cho phép một quản lý cấp thấp loại bỏ một quy định cực kỳ lãng phí vốn yêu cầu đốt những bộ đồng phục gần như mới.</w:t>
              <w:br w:clear="none"/>
            </w:r>
          </w:p>
        </w:tc>
      </w:tr>
      <w:tr>
        <w:tc>
          <w:tcPr>
            <w:tcW w:type="auto" w:w="0"/>
            <w:tcMar>
              <w:left w:type="dxa" w:w="320"/>
              <w:top w:type="dxa" w:w="160"/>
            </w:tcMar>
            <w:vAlign w:val="top"/>
          </w:tcPr>
          <w:p>
            <w:pPr>
              <w:pStyle w:val="Para 004"/>
              <w:keepLines w:val="on"/>
            </w:pPr>
            <w:r>
              <w:rPr>
                <w:rStyle w:val="Text7"/>
              </w:rPr>
            </w:r>
            <w:r>
              <w:t xml:space="preserve">Được nhân viên và lãnh đạo hiểu chỉ đơn giản là một ý định.</w:t>
              <w:br w:clear="none"/>
            </w:r>
          </w:p>
        </w:tc>
        <w:tc>
          <w:tcPr>
            <w:tcW w:type="auto" w:w="0"/>
            <w:tcMar>
              <w:left w:type="dxa" w:w="320"/>
              <w:top w:type="dxa" w:w="160"/>
            </w:tcMar>
            <w:vAlign w:val="top"/>
          </w:tcPr>
          <w:p>
            <w:pPr>
              <w:pStyle w:val="Para 004"/>
              <w:keepLines w:val="on"/>
            </w:pPr>
            <w:r>
              <w:t xml:space="preserve">Có một bộ răng sắc bén.</w:t>
              <w:br w:clear="none"/>
            </w:r>
          </w:p>
        </w:tc>
        <w:tc>
          <w:tcPr>
            <w:tcW w:type="auto" w:w="0"/>
            <w:tcMar>
              <w:left w:type="dxa" w:w="320"/>
              <w:top w:type="dxa" w:w="160"/>
            </w:tcMar>
            <w:vAlign w:val="top"/>
          </w:tcPr>
          <w:p>
            <w:pPr>
              <w:pStyle w:val="Para 004"/>
              <w:keepLines w:val="on"/>
            </w:pPr>
            <w:r>
              <w:t xml:space="preserve">Chính sách “trả thiếu” (short pay) của Granite Rock cho phép khách hàng chỉ trả tiền cho những sản phẩm khiến họ hài lòng.</w:t>
              <w:br w:clear="none"/>
            </w:r>
          </w:p>
        </w:tc>
      </w:tr>
      <w:tr>
        <w:tc>
          <w:tcPr>
            <w:tcW w:type="auto" w:w="0"/>
            <w:tcMar>
              <w:left w:type="dxa" w:w="320"/>
              <w:top w:type="dxa" w:w="160"/>
            </w:tcMar>
            <w:vAlign w:val="top"/>
          </w:tcPr>
          <w:p>
            <w:pPr>
              <w:pStyle w:val="Para 004"/>
              <w:keepLines w:val="on"/>
            </w:pPr>
            <w:r>
              <w:t xml:space="preserve">Cố gắng khơi gợi những hành vi đúng đắn từ những người không phù hợp.</w:t>
              <w:br w:clear="none"/>
            </w:r>
          </w:p>
        </w:tc>
        <w:tc>
          <w:tcPr>
            <w:tcW w:type="auto" w:w="0"/>
            <w:tcMar>
              <w:left w:type="dxa" w:w="320"/>
              <w:top w:type="dxa" w:w="160"/>
            </w:tcMar>
            <w:vAlign w:val="top"/>
          </w:tcPr>
          <w:p>
            <w:pPr>
              <w:pStyle w:val="Para 004"/>
              <w:keepLines w:val="on"/>
            </w:pPr>
            <w:r>
              <w:t xml:space="preserve">Thu hút đúng người và loại bỏ những “virus”.</w:t>
              <w:br w:clear="none"/>
            </w:r>
          </w:p>
        </w:tc>
        <w:tc>
          <w:tcPr>
            <w:tcW w:type="auto" w:w="0"/>
            <w:tcMar>
              <w:left w:type="dxa" w:w="320"/>
              <w:top w:type="dxa" w:w="160"/>
            </w:tcMar>
            <w:vAlign w:val="top"/>
          </w:tcPr>
          <w:p>
            <w:pPr>
              <w:pStyle w:val="Para 004"/>
              <w:keepLines w:val="on"/>
            </w:pPr>
            <w:r>
              <w:t xml:space="preserve">Tại W.L. Gore &amp; Associates, nhân viên có thể, trên thực tế, sa thải sếp của mình, đảm bảo một kiểu lãnh đạo phi thứ bậc.</w:t>
              <w:br w:clear="none"/>
            </w:r>
          </w:p>
        </w:tc>
      </w:tr>
      <w:tr>
        <w:tc>
          <w:tcPr>
            <w:tcW w:type="auto" w:w="0"/>
            <w:tcBorders>
              <w:bottom w:val="single" w:sz="2" w:color="auto"/>
            </w:tcBorders>
            <w:tcMar>
              <w:left w:type="dxa" w:w="320"/>
              <w:top w:type="dxa" w:w="160"/>
            </w:tcMar>
            <w:vAlign w:val="top"/>
          </w:tcPr>
          <w:p>
            <w:pPr>
              <w:pStyle w:val="Para 004"/>
              <w:keepLines w:val="on"/>
            </w:pPr>
            <w:r>
              <w:t xml:space="preserve">Có tác động ngắn ngủi như một sự kiện đơn lẻ hay một cơn sốt nhất thời.</w:t>
              <w:br w:clear="none"/>
            </w:r>
          </w:p>
        </w:tc>
        <w:tc>
          <w:tcPr>
            <w:tcW w:type="auto" w:w="0"/>
            <w:tcBorders>
              <w:bottom w:val="single" w:sz="2" w:color="auto"/>
            </w:tcBorders>
            <w:tcMar>
              <w:left w:type="dxa" w:w="320"/>
              <w:top w:type="dxa" w:w="160"/>
            </w:tcMar>
            <w:vAlign w:val="top"/>
          </w:tcPr>
          <w:p>
            <w:pPr>
              <w:pStyle w:val="Para 004"/>
              <w:keepLines w:val="on"/>
            </w:pPr>
            <w:r>
              <w:t xml:space="preserve">Tạo ra hiệu quả lâu dài.</w:t>
              <w:br w:clear="none"/>
            </w:r>
          </w:p>
        </w:tc>
        <w:tc>
          <w:tcPr>
            <w:tcW w:type="auto" w:w="0"/>
            <w:tcBorders>
              <w:bottom w:val="single" w:sz="2" w:color="auto"/>
            </w:tcBorders>
            <w:tcMar>
              <w:left w:type="dxa" w:w="320"/>
              <w:top w:type="dxa" w:w="160"/>
            </w:tcMar>
            <w:vAlign w:val="top"/>
          </w:tcPr>
          <w:p>
            <w:pPr>
              <w:pStyle w:val="Para 004"/>
              <w:keepLines w:val="on"/>
            </w:pPr>
            <w:r>
              <w:t xml:space="preserve">Kimberly-Clark chủ động đặt mình vào cuộc cạnh tranh trực diện với Procter &amp; Gamble để thúc đẩy hiệu quả hoạt động tốt hơn trên thị trường hàng tiêu dùng. Chiến lược này vẫn còn phát huy tác dụng sau 30 năm.</w:t>
              <w:br w:clear="none"/>
            </w:r>
          </w:p>
        </w:tc>
      </w:tr>
    </w:tbl>
    <w:p>
      <w:bookmarkStart w:id="262" w:name="Anatomy_of_a_BHAG"/>
      <w:pPr>
        <w:pStyle w:val="Para 115"/>
      </w:pPr>
      <w:r>
        <w:bookmarkStart w:id="263" w:name="page02_63"/>
        <w:t/>
        <w:bookmarkEnd w:id="263"/>
        <w:t>Mổ xẻ một BHAG</w:t>
      </w:r>
      <w:bookmarkEnd w:id="262"/>
    </w:p>
    <w:p>
      <w:pPr>
        <w:pStyle w:val="07 Block"/>
      </w:pPr>
    </w:p>
    <w:p>
      <w:pPr>
        <w:pStyle w:val="Para 077"/>
      </w:pPr>
      <w:r>
        <w:t xml:space="preserve">Trong nghiên cứu của chúng</w:t>
      </w:r>
      <w:r>
        <w:rPr>
          <w:rStyle w:val="Text0"/>
        </w:rPr>
        <w:t> tôi cho cuốn sách</w:t>
      </w:r>
      <w:r>
        <w:t xml:space="preserve"> “Built to Last”, Jerry Porras và tôi phát hiện rằng hầu hết các công ty vĩ đại trường tồn đều đặt ra và theo đuổi những BHAG (phát âm là BEE-hags, viết tắt của các mục tiêu lớn, gai góc và táo bạo – big, hairy, audacious goals). Có ba đặc điểm chính của một BHAG tốt:</w:t>
      </w:r>
    </w:p>
    <w:p>
      <w:pPr>
        <w:numPr>
          <w:ilvl w:val="0"/>
          <w:numId w:val="3"/>
        </w:numPr>
        <w:pStyle w:val="Para 116"/>
      </w:pPr>
      <w:r>
        <w:rPr>
          <w:rStyle w:val="Text1"/>
        </w:rPr>
        <w:t>Nó có khung thời gian dài—từ mười đến 30 năm hoặc</w:t>
      </w:r>
      <w:r>
        <w:t xml:space="preserve"> hơn. Toàn bộ điểm mấu chốt của BHAG là thúc đẩy tổ chức của bạn tạo ra những thay đổi giúp cải thiện đáng kể năng lực cốt lõi trong dài hạn. BHAG đầu tiên của Citicorp, đặt ra năm 1915—trở thành định chế tài chính thế giới mạnh nhất, hữu dụng nhất, và có tầm ảnh hưởng rộng nhất từ trước đến nay—phải mất</w:t>
        <w:bookmarkStart w:id="264" w:name="page02_64"/>
        <w:t> </w:t>
        <w:bookmarkEnd w:id="264"/>
        <w:t>hơn năm thập kỷ để đạt được. BHAG mới của họ, đặt ra vào đầu những năm 1990—đạt 1 tỷ khách hàng trên toàn thế giới—sẽ cần ít nhất hai thập kỷ để hoàn thành. (Hiện nay con số này chưa đến 100 triệu.) Những BHAG có khung thời gian ngắn có thể khiến các nhà lãnh đạo hy sinh kết quả dài hạn vì mục tiêu ngắn hạn.</w:t>
      </w:r>
    </w:p>
    <w:p>
      <w:pPr>
        <w:numPr>
          <w:ilvl w:val="0"/>
          <w:numId w:val="3"/>
        </w:numPr>
        <w:pStyle w:val="Para 116"/>
      </w:pPr>
      <w:r>
        <w:rPr>
          <w:rStyle w:val="Text1"/>
        </w:rPr>
        <w:t>Nó rõ ràng, hấp dẫn và dễ nắm bắt. Mục tiêu</w:t>
      </w:r>
      <w:r>
        <w:t xml:space="preserve"> trong một BHAG tốt rất hiển nhiên, dù bạn diễn đạt nó bằng cách nào. Ví dụ, BHAG của Philip Morris, đặt ra vào những năm 1950—hạ bệ R.J. Reynolds để trở thành công ty thuốc lá số một thế giới—không để lại nhiều chỗ cho sự nhầm lẫn. Tôi gọi đây là “chuẩn</w:t>
        <w:bookmarkStart w:id="265" w:name="page02_65"/>
        <w:t> </w:t>
        <w:bookmarkEnd w:id="265"/>
        <w:t>mực đỉnh Everest.” Mục tiêu chinh phục đỉnh Everest có thể được diễn đạt là “Leo lên ngọn núi nổi tiếng nhất thế giới” hoặc “Leo lên ngọn núi lớn nhất thế giới” hoặc “Leo lên ngọn núi ở tọa độ 87 độ đông, 28 độ bắc” hoặc “Leo lên ngọn núi ở Nepal cao 29.028 feet” hoặc hàng trăm cách khác. Nếu bạn thấy mình dành vô số giờ để mày mò với một câu chữ, bạn vẫn chưa có một BHAG thực thụ.</w:t>
      </w:r>
    </w:p>
    <w:p>
      <w:pPr>
        <w:numPr>
          <w:ilvl w:val="0"/>
          <w:numId w:val="3"/>
        </w:numPr>
        <w:pStyle w:val="Para 116"/>
      </w:pPr>
      <w:r>
        <w:rPr>
          <w:rStyle w:val="Text1"/>
        </w:rPr>
        <w:t>Nó kết nối với các giá trị cốt lõi và mục đích của tổ chức. Những</w:t>
      </w:r>
      <w:r>
        <w:t xml:space="preserve"> BHAG tốt nhất không phải ngẫu nhiên; chúng phù hợp với các giá trị nền tảng và lý do tồn tại của công ty. Ví dụ, BHAG của Nike vào những năm 1960—nghiền nát Adidas—phù</w:t>
        <w:bookmarkStart w:id="266" w:name="page02_66"/>
        <w:t> h</w:t>
        <w:bookmarkEnd w:id="266"/>
        <w:t>ợp hoàn hảo với mục đích cốt lõi của Nike là “trải nghiệm cảm xúc của cạnh tranh, chiến thắng và đè bẹp đối thủ.” BHAG của Sony vào những năm 1950—trở thành công ty nổi tiếng nhất trong việc thay đổi hình ảnh chất lượng thấp của sản phẩm Nhật Bản trên toàn thế giới—xuất phát trực tiếp từ giá trị cốt lõi đã tuyên bố của họ là nâng cao văn hóa và vị thế quốc gia Nhật Bản.</w:t>
      </w:r>
    </w:p>
    <w:p>
      <w:pPr>
        <w:pStyle w:val="Para 009"/>
      </w:pPr>
      <w:r>
        <w:t xml:space="preserve">Tiêu chí cuối cùng này kết nối trở lại với lý do ban đầu của việc có một BHAG. Nó là một cách mạnh mẽ để kích thích sự tiến bộ—thay đổi, cải thiện, đổi mới, canh tân—trong khi vẫn gìn giữ các giá trị cốt lõi và mục đích của bạn. Chính khả năng đáng chú ý này trong việc kết hợp sự liên tục với thay đổi đã tách biệt các công ty vĩ đại</w:t>
        <w:bookmarkStart w:id="267" w:name="page02_67"/>
        <w:t> </w:t>
        <w:bookmarkEnd w:id="267"/>
        <w:t>bền vững khỏi những công ty chỉ thành công đơn thuần. Tất nhiên, mẹo không chỉ là đặt ra một BHAG mà còn là đạt được nó, và đó là sức mạnh của các cơ chế xúc tác (catalytic mechanisms).</w:t>
      </w:r>
    </w:p>
    <w:p>
      <w:bookmarkStart w:id="268" w:name="Not_for_Companies_Only"/>
      <w:pPr>
        <w:pStyle w:val="Para 115"/>
      </w:pPr>
      <w:r>
        <w:t>Không Chỉ Cho Các Công Ty</w:t>
      </w:r>
      <w:bookmarkEnd w:id="268"/>
    </w:p>
    <w:p>
      <w:pPr>
        <w:pStyle w:val="07 Block"/>
      </w:pPr>
    </w:p>
    <w:p>
      <w:pPr>
        <w:pStyle w:val="Para 077"/>
      </w:pPr>
      <w:r>
        <w:t>Nghiên cứu của tôi tập trung vào tác động của các cơ chế xúc tác (catalytic mechanisms) trong môi trường tổ chức—về cách chúng có thể biến những mục tiêu tham vọng nhất của công ty thành hiện thực. Nhưng các cơ chế xúc tác cũng có thể tạo ra tác động mạnh mẽ đến từng cá nhân. Thật vậy, tôi đã biến các cơ chế xúc tác thành một phần cơ bản trong cách quản lý thời gian của mình, với "quy tắc đến Boulder" và "quy tắc bốn ngày".</w:t>
      </w:r>
    </w:p>
    <w:p>
      <w:pPr>
        <w:pStyle w:val="Para 009"/>
      </w:pPr>
      <w:r>
        <w:bookmarkStart w:id="269" w:name="page02_68"/>
        <w:t>Tôi</w:t>
        <w:bookmarkEnd w:id="269"/>
        <w:t> không đơn độc. Một số cựu sinh viên của tôi tại Trường Kinh doanh Stanford đã áp dụng cơ chế xúc tác để đạt được mục tiêu. Trong một trường hợp, một sinh viên sau khi học xong các khóa học về khởi nghiệp đã trở nên đầy nhiệt huyết với ý tưởng từ bỏ con đường truyền thống và tự mình khởi nghiệp. Nhưng khi thời gian trôi qua, anh ấy cảm thấy gánh nặng nợ nần học tập cùng với sức hấp dẫn của những lời mời làm việc béo bở, tầm nhìn cá nhân của anh ấy phai nhạt. Anh ấy nhận một công việc tại một nhà sản xuất ổ đĩa lớn và có uy tín, và tự hứa với bản thân: "Tôi sẽ tự khởi nghiệp trong năm năm nữa khi tôi trả hết nợ học."</w:t>
      </w:r>
    </w:p>
    <w:p>
      <w:pPr>
        <w:pStyle w:val="Para 009"/>
      </w:pPr>
      <w:r>
        <w:t xml:space="preserve">Trong hầu hết các trường hợp, những giấc mơ như vậy dần phai nhạt theo năm tháng—cùng với sự xuất hiện của xe hơi, nhà cửa, con cái và mọi thứ</w:t>
        <w:bookmarkStart w:id="270" w:name="page02_69"/>
        <w:t> </w:t>
        <w:bookmarkEnd w:id="270"/>
        <w:t>khác. Tuy nhiên, cựu sinh viên của tôi đã thực hiện một cơ chế xúc tác thú vị để giữ cho tầm nhìn của anh ấy luôn sống động. Anh ấy viết một lá thư từ chức và đề ngày năm năm sau. Sau đó, anh ấy đưa bản sao của lá thư cho một vài người đáng tin cậy, cùng với hướng dẫn sau: "Nếu tôi không rời bỏ công việc và tự khởi nghiệp trước ngày đã định, thì hãy gửi lá thư này giúp tôi." Kế hoạch của anh ấy đã thành công. Năm 1996, tôi nhận được email từ anh ấy mô tả cách anh ấy tiết kiệm tiền và dành thời gian ngoài giờ để phát triển các lựa chọn khởi nghiệp. Sau đó, đúng hẹn, anh ấy từ bỏ công việc ổn định và thành lập một quỹ để mua và điều hành công ty riêng của mình.</w:t>
      </w:r>
    </w:p>
    <w:p>
      <w:pPr>
        <w:pStyle w:val="Para 009"/>
      </w:pPr>
      <w:r>
        <w:t xml:space="preserve">Trong một trường hợp khác, một cựu sinh viên đã tạo ra một hội đồng quản trị cá nhân gồm những người anh ấy ngưỡng mộ và không muốn làm họ</w:t>
        <w:bookmarkStart w:id="271" w:name="page02_70"/>
        <w:t> </w:t>
        <w:bookmarkEnd w:id="271"/>
        <w:t>thất vọng, và anh ấy cam kết cá nhân tuân theo sự hướng dẫn của hội đồng—điều đó có sức mạnh trong cuộc sống của anh ấy. Năm 1996, anh ấy viết cho tôi: "Gần đây tôi đã sử dụng hội đồng cá nhân của mình để quyết định có nên rời Morgan Stanley và đi làm với một người bạn trong công ty mới thành lập hai năm của anh ấy hay không. 'Có' là phiếu bầu nhất trí." Vì vậy, bất chấp rủi ro khi rời bỏ một vị trí béo bở và danh giá, anh ấy đã lao vào công ty nhỏ, từ đó đã phát triển gấp bốn lần để có hơn 80 nhân viên.</w:t>
      </w:r>
    </w:p>
    <w:p>
      <w:pPr>
        <w:pStyle w:val="Para 009"/>
      </w:pPr>
      <w:r>
        <w:t xml:space="preserve">Cũng hãy xem xét cơ chế xúc tác (catalytic mechanism) cực kỳ hiệu quả mà một đồng nghiệp của tôi đã sử dụng trong ba năm qua để đạt được mục tiêu lớn táo bạo (BHAG) của cô ấy: sống một cuộc sống trọn vẹn và năng động với vai trò là mẹ, vợ, nhà văn chuyên nghiệp</w:t>
        <w:bookmarkStart w:id="272" w:name="page02_71"/>
        <w:t> </w:t>
        <w:bookmarkEnd w:id="272"/>
        <w:t>và tình nguyện viên nhà thờ, mà không phát điên. Phần giữ cho đầu óc tỉnh táo rất quan trọng vì trước khi có cơ chế xúc tác này, đồng nghiệp của tôi luôn thấy mình quá tải và khốn khổ. Thủ phạm chính là công việc viết lách tự do của cô ấy: cô nhận quá nhiều việc. Cô nhớ lại: “Ngay cả khi chúng tôi không cần tiền, tôi vẫn nhận mọi dự án đến với mình. Có lẽ vì gia đình tôi rất nghèo khi tôi lớn lên, tôi thấy không thể bỏ tiền trên bàn được.” Không ngạc nhiên khi những đứa con của người phụ nữ này phải trả giá cho việc cô làm việc không ngừng nghỉ, cũng như chồng cô và đại gia đình khăng khít. Cô nói: “Hoặc là tôi quá kiệt sức để gặp mọi người, hoặc là tôi gọi họ để nhờ trông con.”</w:t>
      </w:r>
    </w:p>
    <w:p>
      <w:pPr>
        <w:pStyle w:val="Para 009"/>
      </w:pPr>
      <w:r>
        <w:bookmarkStart w:id="273" w:name="page02_72"/>
        <w:t>Một</w:t>
        <w:bookmarkEnd w:id="273"/>
        <w:t> ngày nọ, đồng nghiệp của tôi than thở với chị gái về tình cảnh của mình, người đã nghĩ ra một cơ chế xúc tác hiệu quả. Mỗi khi người phụ nữ nhận thêm việc vượt quá mức doanh thu nhất định—về cơ bản là một mức lương hàng năm thoải mái—cô sẽ trả cho chị gái một khoản phạt 200 đô la mỗi ngày. Đồng nghiệp của tôi, nhận ra ngay tác động tuyệt vời của kế hoạch, đồng ý ngay lập tức.</w:t>
      </w:r>
    </w:p>
    <w:p>
      <w:pPr>
        <w:pStyle w:val="Para 009"/>
      </w:pPr>
      <w:r>
        <w:t xml:space="preserve">Kể từ khi trao quyền cho chị gái, đồng nghiệp của tôi đã giành lại quyền kiểm soát cuộc sống của mình. Giờ cô vui vẻ nhận những công việc có thu nhập ở một mức nhất định, nhưng cô đánh giá từng đề nghị bổ sung với con mắt phê phán mới mẻ. (Cô chỉ nhận thêm việc ngoài giờ vào hai dịp; cả hai dự án đều quá béo bở để có thể bỏ lỡ.) Thực sự, cơ chế xúc tác đã giải phóng đồng nghiệp của tôi khỏi việc làm quá nhiều đến mức cô còn nhận vai trò mới làm</w:t>
        <w:bookmarkStart w:id="274" w:name="page02_73"/>
        <w:t> </w:t>
        <w:bookmarkEnd w:id="274"/>
        <w:t>tình nguyện viên tại trường của con mình. Với tác động mạnh mẽ không thể phủ nhận, cơ chế xúc tác của đồng nghiệp tôi sẽ còn hiệu quả lâu dài chừng nào cô còn tôn trọng nó. Và với kết quả đạt được, cô dự định sẽ duy trì nó trong một thời gian dài.</w:t>
      </w:r>
    </w:p>
    <w:p>
      <w:pPr>
        <w:pStyle w:val="Para 009"/>
      </w:pPr>
      <w:r>
        <w:t>Liệu có ai trong số những người này có thể thay đổi cuộc sống của họ mà không có cơ chế xúc tác không? Có lẽ có, nhưng tôi nghĩ khả năng đó thấp hơn. Cơ chế xúc tác cá nhân có tất cả những lợi ích của cơ chế xúc tác tổ chức: chúng biến ý định tốt thành hành động cụ thể, tăng đáng kể khả năng thực sự trung thành với tầm nhìn cá nhân của bạn thay vì để những ước mơ mãi không thành hiện thực.</w:t>
      </w:r>
    </w:p>
    <w:p>
      <w:pPr>
        <w:pStyle w:val="00 Block"/>
      </w:pPr>
    </w:p>
    <w:p>
      <w:pPr>
        <w:pStyle w:val="Para 096"/>
      </w:pPr>
      <w:r>
        <w:t>GHI CHÚ</w:t>
      </w:r>
    </w:p>
    <w:p>
      <w:pPr>
        <w:pStyle w:val="Normal"/>
      </w:pPr>
      <w:hyperlink w:anchor="1">
        <w:r>
          <w:rPr>
            <w:rStyle w:val="Text2"/>
          </w:rPr>
          <w:bookmarkStart w:id="275" w:name="1_1"/>
          <w:t>1.</w:t>
          <w:bookmarkEnd w:id="275"/>
        </w:r>
      </w:hyperlink>
      <w:r>
        <w:t xml:space="preserve"> William Manchester,</w:t>
      </w:r>
      <w:r>
        <w:rPr>
          <w:rStyle w:val="Text0"/>
        </w:rPr>
        <w:t> Goodbye Darkness</w:t>
      </w:r>
      <w:r>
        <w:t xml:space="preserve"> (Boston: Little, Brown and Company, 1979).</w:t>
        <w:bookmarkStart w:id="276" w:name="page02_74"/>
        <w:t/>
        <w:bookmarkEnd w:id="276"/>
      </w:r>
    </w:p>
    <w:p>
      <w:bookmarkStart w:id="277" w:name="ABOUT_THE_AUTHOR_Jim_Collins_ope"/>
      <w:bookmarkStart w:id="278" w:name="Top_of_02_06_about_the_author_xh"/>
      <w:pPr>
        <w:pStyle w:val="Para 053"/>
        <w:pageBreakBefore w:val="on"/>
      </w:pPr>
      <w:r>
        <w:bookmarkStart w:id="279" w:name="page02_75"/>
        <w:t/>
        <w:bookmarkEnd w:id="279"/>
        <w:t>VỀ TÁC GIẢ</w:t>
      </w:r>
      <w:bookmarkEnd w:id="277"/>
      <w:bookmarkEnd w:id="278"/>
    </w:p>
    <w:p>
      <w:pPr>
        <w:pStyle w:val="Normal"/>
      </w:pPr>
      <w:r>
        <w:rPr>
          <w:rStyle w:val="Text0"/>
        </w:rPr>
        <w:t>Jim Collins</w:t>
      </w:r>
      <w:r>
        <w:t xml:space="preserve"> điều hành một phòng thí nghiệm nghiên cứu quản lý ở Boulder, Colorado. Ông là đồng tác giả, cùng với Jerry I. Porras, của cuốn sách 'Built to Last: Successful Habits of Visionary Companies' (HarperBusiness, 1994) và bài báo 'Building Your Company’s Vision' (HBR, tháng 9–10 năm</w:t>
        <w:bookmarkStart w:id="280" w:name="page02_76"/>
        <w:t> 1996).</w:t>
        <w:bookmarkEnd w:id="280"/>
      </w:r>
    </w:p>
    <w:p>
      <w:bookmarkStart w:id="281" w:name="Top_of_02_07_summary_xhtml"/>
      <w:bookmarkStart w:id="282" w:name="Article_Summary_Idea_in_Brief_Ma"/>
      <w:pPr>
        <w:pStyle w:val="Para 066"/>
        <w:pageBreakBefore w:val="on"/>
      </w:pPr>
      <w:r>
        <w:bookmarkStart w:id="283" w:name="page02_77"/>
        <w:t/>
        <w:bookmarkEnd w:id="283"/>
        <w:t>Tóm tắt bài viết</w:t>
      </w:r>
      <w:bookmarkEnd w:id="281"/>
      <w:bookmarkEnd w:id="282"/>
    </w:p>
    <w:p>
      <w:pPr>
        <w:pStyle w:val="Para 067"/>
      </w:pPr>
      <w:r>
        <w:t>Ý tưởng chính</w:t>
      </w:r>
    </w:p>
    <w:p>
      <w:pPr>
        <w:pStyle w:val="Para 021"/>
      </w:pPr>
      <w:r>
        <w:t xml:space="preserve">Nhiều chương trình thay đổi rầm rộ công bố sự khởi đầu của họ bằng các Mục tiêu Lớn, Táo bạo và Đầy thử thách (BHAGs). Nhưng cũng không ít chương trình lại mắc kẹt ngay ở rào cản đầu tiên để đạt được những mục tiêu đó—đó là huy động tổ chức rời khỏi hiện trạng. Các cơ chế xúc tác (catalytic mechanisms) giúp phóng tổ chức vượt qua rào cản này. Công cụ đơn giản nhưng mạnh mẽ này cho phép các công ty đẩy mức độ cam kết vượt qua điểm không thể quay đầu. Chúng là những phương tiện kích thích, phi quan liêu để biến tầm nhìn thành hiện thực, thường liên quan đến việc phân phối lại quyền lực.</w:t>
        <w:bookmarkStart w:id="284" w:name="page02_78"/>
        <w:t> </w:t>
        <w:bookmarkEnd w:id="284"/>
        <w:t>Trả thiếu (short pay) là một ví dụ điển hình về cơ chế xúc tác. Granite Rock đã huy động nhân viên của mình đạt đến mức độ cải thiện hiệu suất cuồng nhiệt bằng chính sách đơn giản nhưng triệt để này, mời gọi những khách hàng không hoàn toàn hài lòng giảm số tiền trên hóa đơn của họ mà không cần trả lại sản phẩm. Tất nhiên, chính sách trả thiếu không phù hợp với mọi công ty, nhưng các cơ chế xúc tác khác có sức mạnh lớn như vậy chắc chắn là phù hợp.</w:t>
      </w:r>
    </w:p>
    <w:p>
      <w:bookmarkStart w:id="285" w:name="Harvard_Business_Review_CLASSICS_2"/>
      <w:bookmarkStart w:id="286" w:name="Top_of_04_Title_xhtml"/>
      <w:pPr>
        <w:pStyle w:val="Para 141"/>
        <w:pageBreakBefore w:val="on"/>
      </w:pPr>
      <w:r>
        <w:t>Harvard Business Review</w:t>
      </w:r>
      <w:bookmarkEnd w:id="285"/>
      <w:bookmarkEnd w:id="286"/>
    </w:p>
    <w:p>
      <w:pPr>
        <w:pStyle w:val="Para 142"/>
      </w:pPr>
      <w:r>
        <w:t>KINH ĐIỂN</w:t>
      </w:r>
    </w:p>
    <w:p>
      <w:pPr>
        <w:pStyle w:val="Para 052"/>
      </w:pPr>
      <w:r>
        <w:t>TỰ QUẢN LÝ</w:t>
        <w:br w:clear="none"/>
        <w:t xml:space="preserve"> BẢN THÂN</w:t>
      </w:r>
    </w:p>
    <w:p>
      <w:pPr>
        <w:pStyle w:val="Para 143"/>
      </w:pPr>
      <w:r>
        <w:t>Peter F. Drucker</w:t>
      </w:r>
    </w:p>
    <w:p>
      <w:pPr>
        <w:pStyle w:val="Para 144"/>
      </w:pPr>
      <w:r>
        <w:t>Harvard Business Review Press</w:t>
        <w:br w:clear="none"/>
        <w:t xml:space="preserve"> Boston, Massachusetts</w:t>
      </w:r>
    </w:p>
    <w:p>
      <w:bookmarkStart w:id="287" w:name="Top_of_04_Copyrights_xhtml"/>
      <w:bookmarkStart w:id="288" w:name="Copyright_2008_Harvard_Business_1"/>
      <w:pPr>
        <w:pStyle w:val="Para 191"/>
        <w:pageBreakBefore w:val="on"/>
      </w:pPr>
      <w:r>
        <w:t>Bản quyền 2008 Harvard Business School Publishing Corporation</w:t>
      </w:r>
      <w:bookmarkEnd w:id="287"/>
      <w:bookmarkEnd w:id="288"/>
    </w:p>
    <w:p>
      <w:pPr>
        <w:pStyle w:val="Para 034"/>
      </w:pPr>
      <w:r>
        <w:t xml:space="preserve">Được xuất bản lần đầu trên</w:t>
      </w:r>
      <w:r>
        <w:rPr>
          <w:rStyle w:val="Text0"/>
        </w:rPr>
        <w:t> Harvard Business Review vào</w:t>
      </w:r>
      <w:r>
        <w:t xml:space="preserve"> tháng 3 năm 1999</w:t>
      </w:r>
      <w:r>
        <w:rPr>
          <w:rStyle w:val="Text4"/>
        </w:rPr>
        <w:t> và tháng 1 năm 2005</w:t>
      </w:r>
    </w:p>
    <w:p>
      <w:pPr>
        <w:pStyle w:val="Para 034"/>
      </w:pPr>
      <w:r>
        <w:t>Mã tái bản # R0501K</w:t>
      </w:r>
    </w:p>
    <w:p>
      <w:pPr>
        <w:pStyle w:val="Para 034"/>
      </w:pPr>
      <w:r>
        <w:t>Bảo lưu mọi quyền</w:t>
      </w:r>
    </w:p>
    <w:p>
      <w:pPr>
        <w:pStyle w:val="14 Block"/>
      </w:pPr>
    </w:p>
    <w:p>
      <w:pPr>
        <w:pStyle w:val="Para 044"/>
      </w:pPr>
      <w:r>
        <w:t xml:space="preserve">Không một phần nào của ấn phẩm này được sao chép, lưu trữ hoặc đưa vào hệ thống truy xuất, hoặc truyền tải dưới bất kỳ hình thức nào, hoặc bằng bất kỳ phương tiện nào (điện tử, cơ học, sao chụp, ghi âm, hoặc cách khác), mà không có sự cho phép trước của nhà xuất bản. Yêu cầu xin phép nên gửi đến</w:t>
      </w:r>
      <w:r>
        <w:rPr>
          <w:rStyle w:val="Text2"/>
        </w:rPr>
        <w:t> permissions@hbsp.harvard.edu,</w:t>
      </w:r>
      <w:r>
        <w:t> hoặc gửi thư đến Permissions, Harvard Business School Publishing, 60 Harvard Way, Boston, Massachusetts 02163.</w:t>
      </w:r>
    </w:p>
    <w:p>
      <w:pPr>
        <w:pStyle w:val="Para 044"/>
      </w:pPr>
      <w:r>
        <w:t>Dữ liệu Biên mục Xuất bản của Thư viện Quốc hội Mỹ</w:t>
      </w:r>
    </w:p>
    <w:p>
      <w:pPr>
        <w:pStyle w:val="Para 034"/>
      </w:pPr>
      <w:r>
        <w:t>Drucker, Peter F. (Peter Ferdinand), 1909−2005.</w:t>
      </w:r>
    </w:p>
    <w:p>
      <w:pPr>
        <w:pStyle w:val="Para 034"/>
      </w:pPr>
      <w:r>
        <w:t>Tự quản lý bản thân / Peter F. Drucker.</w:t>
      </w:r>
    </w:p>
    <w:p>
      <w:pPr>
        <w:pStyle w:val="Para 034"/>
      </w:pPr>
      <w:r>
        <w:t>p. cm. — (Harvard Business Review classics)</w:t>
      </w:r>
    </w:p>
    <w:p>
      <w:pPr>
        <w:pStyle w:val="Para 034"/>
      </w:pPr>
      <w:r>
        <w:t>Tái bản từ một bài viết trên Harvard Business Review. Được tái bản trước</w:t>
        <w:br w:clear="none"/>
        <w:t xml:space="preserve"> đó vào năm 1999 với mã tái bản 99204.</w:t>
      </w:r>
    </w:p>
    <w:p>
      <w:pPr>
        <w:pStyle w:val="Para 034"/>
      </w:pPr>
      <w:r>
        <w:t>ISBN 978-1-4221-2312-6</w:t>
      </w:r>
    </w:p>
    <w:p>
      <w:pPr>
        <w:pStyle w:val="Para 034"/>
      </w:pPr>
      <w:r>
        <w:t>1. Phát triển sự nghiệp. 2. Thay đổi sự nghiệp. 3. Tự quản lý</w:t>
        <w:br w:clear="none"/>
        <w:t xml:space="preserve"> (Tâm lý học) 4. Tự hoàn thiện bản thân (Tâm lý học) 5. Thành</w:t>
        <w:br w:clear="none"/>
        <w:t> công—Khía cạnh tâm lý. I. Harvard Business Review. II. Tên sách.</w:t>
      </w:r>
    </w:p>
    <w:p>
      <w:pPr>
        <w:pStyle w:val="Para 034"/>
      </w:pPr>
      <w:r>
        <w:t>HF5381.D677 2008</w:t>
      </w:r>
    </w:p>
    <w:p>
      <w:pPr>
        <w:pStyle w:val="Para 034"/>
      </w:pPr>
      <w:r>
        <w:t>650.1—dc22</w:t>
      </w:r>
    </w:p>
    <w:p>
      <w:pPr>
        <w:pStyle w:val="Para 192"/>
      </w:pPr>
      <w:r>
        <w:t>2007037486</w:t>
      </w:r>
    </w:p>
    <w:p>
      <w:pPr>
        <w:pStyle w:val="15 Block"/>
      </w:pPr>
    </w:p>
    <w:p>
      <w:bookmarkStart w:id="289" w:name="Top_of_04_Review_xhtml"/>
      <w:bookmarkStart w:id="290" w:name="THE_HARVARD_BUSINESS_REVIEW_CLAS_3"/>
      <w:pPr>
        <w:pStyle w:val="Heading 1"/>
        <w:pageBreakBefore w:val="on"/>
      </w:pPr>
      <w:r>
        <w:t>BỘ</w:t>
        <w:br w:clear="none"/>
        <w:t xml:space="preserve"> SÁCH KINH ĐIỂN HARVARD</w:t>
        <w:br w:clear="none"/>
        <w:t xml:space="preserve"> BUSINESS REVIEW</w:t>
      </w:r>
      <w:bookmarkEnd w:id="289"/>
      <w:bookmarkEnd w:id="290"/>
    </w:p>
    <w:p>
      <w:pPr>
        <w:pStyle w:val="Normal"/>
      </w:pPr>
      <w:r>
        <w:t xml:space="preserve">Kể từ năm 1922,</w:t>
      </w:r>
      <w:r>
        <w:rPr>
          <w:rStyle w:val="Text0"/>
        </w:rPr>
        <w:t> Harvard Business Review</w:t>
      </w:r>
      <w:r>
        <w:t xml:space="preserve"> đã là nguồn hàng đầu về những ý tưởng đột phá trong thực tiễn quản lý—nhiều trong số đó vẫn còn vang vọng và ảnh hưởng đến chúng ta ngày nay. Bộ sách Kinh điển HBR (HBR Classics) mang đến cho bạn cơ hội biến những tác phẩm có tính nền tảng này thành một phần của thư viện quản lý lâu dài. Mỗi tập sách chứa đựng một ý tưởng đột phá đã định hình các phương pháp thực hành tốt nhất và truyền cảm hứng cho vô số nhà quản lý trên khắp thế giới—và sẽ thay đổi cách bạn suy nghĩ về thế giới kinh doanh ngày nay.</w:t>
      </w:r>
    </w:p>
    <w:p>
      <w:bookmarkStart w:id="291" w:name="MANAGING_ONESELF_History_s_great"/>
      <w:bookmarkStart w:id="292" w:name="Top_of_04_Chapter01_xhtml"/>
      <w:pPr>
        <w:pStyle w:val="Heading 1"/>
        <w:pageBreakBefore w:val="on"/>
      </w:pPr>
      <w:r>
        <w:t>TỰ QUẢN LÝ</w:t>
        <w:br w:clear="none"/>
        <w:t xml:space="preserve"> BẢN THÂN</w:t>
      </w:r>
      <w:bookmarkEnd w:id="291"/>
      <w:bookmarkEnd w:id="292"/>
    </w:p>
    <w:p>
      <w:pPr>
        <w:pStyle w:val="Normal"/>
      </w:pPr>
      <w:r>
        <w:t>Những nhà kiệt xuất trong lịch sử—như Napoléon, da Vinci, Mozart—luôn tự quản lý bản thân. Đó chính là điều tạo nên sự vĩ đại của họ. Nhưng họ là những ngoại lệ hiếm hoi, tài năng và thành tựu của họ quá khác thường, đến mức được coi là nằm ngoài ranh giới của sự tồn tại bình thường của con người. Ngày nay, hầu hết chúng ta, kể cả những người có năng lực hạn chế, phải học cách tự quản lý. Chúng ta phải học cách phát triển bản thân. Chúng ta phải đặt mình vào nơi có thể tạo ra đóng góp lớn nhất. Và chúng ta phải giữ cho đầu óc minh mẫn và gắn bó trong suốt sự nghiệp kéo dài 50 năm, điều đó có nghĩa là biết cách và biết khi nào để thay đổi công việc chúng ta làm.</w:t>
      </w:r>
    </w:p>
    <w:p>
      <w:bookmarkStart w:id="293" w:name="WHAT_ARE_MY_STRENGTHS"/>
      <w:pPr>
        <w:pStyle w:val="Heading 2"/>
      </w:pPr>
      <w:r>
        <w:t>ĐIỂM MẠNH CỦA TÔI LÀ GÌ?</w:t>
      </w:r>
      <w:bookmarkEnd w:id="293"/>
    </w:p>
    <w:p>
      <w:pPr>
        <w:pStyle w:val="Normal"/>
      </w:pPr>
      <w:r>
        <w:t>Hầu hết mọi người nghĩ rằng họ biết mình giỏi việc gì. Họ thường sai. Thông thường, người ta biết mình không giỏi việc gì—và ngay cả khi đó, số người sai vẫn nhiều hơn số người đúng. Và dù sao, một người chỉ có thể phát huy từ thế mạnh. Không thể xây dựng hiệu suất dựa trên điểm yếu, chứ đừng nói đến việc dựa trên thứ mình hoàn toàn không thể làm được.</w:t>
      </w:r>
    </w:p>
    <w:p>
      <w:pPr>
        <w:pStyle w:val="Para 001"/>
      </w:pPr>
      <w:r>
        <w:t>Trong suốt chiều dài lịch sử, con người hiếm khi cần biết điểm mạnh của mình. Một người sinh ra đã ấn định vị trí và nghề nghiệp: con trai của nông dân cũng sẽ là nông dân; con gái của thợ thủ công sẽ là vợ thợ thủ công; vân vân. Nhưng bây giờ con người có sự lựa chọn. Chúng ta cần biết điểm mạnh của mình để biết mình thuộc về nơi nào.</w:t>
      </w:r>
    </w:p>
    <w:p>
      <w:pPr>
        <w:pStyle w:val="Para 001"/>
      </w:pPr>
      <w:r>
        <w:t>Cách duy nhất để khám phá điểm mạnh của bạn là thông qua phân tích phản hồi. Mỗi khi bạn đưa ra quyết định quan trọng hoặc thực hiện hành động then chốt, hãy viết ra điều bạn mong đợi sẽ xảy ra. Chín hoặc mười hai tháng sau, hãy so sánh kết quả thực tế với kỳ vọng của bạn. Tôi đã thực hành phương pháp này từ 15 đến 20 năm nay, và mỗi lần thực hiện, tôi đều ngạc nhiên. Phân tích phản hồi đã cho tôi thấy, chẳng hạn—và tôi vô cùng ngạc nhiên—rằng tôi có sự hiểu biết trực giác về những người làm kỹ thuật, dù họ là kỹ sư, kế toán hay nhà nghiên cứu thị trường. Nó cũng cho tôi thấy rằng tôi không thực sự hòa hợp với những người theo chủ nghĩa tổng quát.</w:t>
      </w:r>
    </w:p>
    <w:p>
      <w:pPr>
        <w:pStyle w:val="Para 001"/>
      </w:pPr>
      <w:r>
        <w:t>Phân tích phản hồi không hề mới. Nó được phát minh vào khoảng thế kỷ XIV bởi một nhà thần học người Đức vốn hoàn toàn vô danh, và khoảng 150 năm sau, được John Calvin và Ignatius of Loyola khám phá một cách khá độc lập, cả hai đã đưa nó vào thực hành cho những người đi theo họ. Thực tế, sự tập trung bền bỉ vào hiệu suất và kết quả mà thói quen này mang lại đã giải thích tại sao các thể chế do hai người này sáng lập—Giáo hội Calvin và Dòng Tên—đã thống trị châu Âu trong vòng 30 năm.</w:t>
      </w:r>
    </w:p>
    <w:p>
      <w:pPr>
        <w:pStyle w:val="Para 001"/>
      </w:pPr>
      <w:r>
        <w:t>Nếu thực hành một cách nhất quán, phương pháp đơn giản này sẽ trong một khoảng thời gian khá ngắn, có thể hai hoặc ba năm, cho bạn thấy điểm mạnh của mình nằm ở đâu—và đây là điều quan trọng nhất cần biết. Phương pháp sẽ cho bạn thấy những gì bạn đang làm hoặc không làm mà khiến bạn không nhận được đầy đủ lợi ích từ điểm mạnh của mình. Nó sẽ chỉ cho bạn thấy những lĩnh vực bạn không đặc biệt thành thạo. Và cuối cùng, nó sẽ chỉ ra nơi bạn không có điểm mạnh và không thể đạt được hiệu quả.</w:t>
      </w:r>
    </w:p>
    <w:p>
      <w:pPr>
        <w:pStyle w:val="Para 001"/>
      </w:pPr>
      <w:r>
        <w:t>Phân tích phản hồi đưa ra vài gợi ý hành động. Trước hết, hãy tập trung vào điểm mạnh của mình. Hãy đặt bản thân vào nơi điểm mạnh đó phát huy được hiệu quả.</w:t>
      </w:r>
    </w:p>
    <w:p>
      <w:pPr>
        <w:pStyle w:val="Para 001"/>
      </w:pPr>
      <w:r>
        <w:t>Thứ hai, hãy trau dồi điểm mạnh. Phân tích sẽ nhanh chóng chỉ ra bạn cần cải thiện kỹ năng nào hay trang bị thêm kỹ năng gì. Nó cũng cho thấy những lỗ hổng kiến thức—và chúng thường có thể lấp đầy. Nhà toán học là bẩm sinh, nhưng ai cũng có thể học lượng giác.</w:t>
      </w:r>
    </w:p>
    <w:p>
      <w:pPr>
        <w:pStyle w:val="Para 001"/>
      </w:pPr>
      <w:r>
        <w:t>Thứ ba, hãy tìm xem sự kiêu ngạo trí tuệ đang khiến bạn thiếu hiểu biết nghiêm trọng ở đâu và khắc phục điều đó. Rất nhiều người, đặc biệt là những chuyên gia giỏi một lĩnh vực, thường coi thường kiến thức ở lĩnh vực khác hoặc cho rằng thông minh là đủ. Chẳng hạn, kỹ sư hàng đầu thường tự hào vì không biết gì về con người. Họ tin rằng con người quá lộn xộn so với một bộ óc kỹ thuật tốt. Ngược lại, chuyên viên nhân sự lại tự hào về sự dốt nát của mình trong kế toán cơ bản hay các phương pháp định lượng. Nhưng tự hào về sự thiếu hiểu biết đó chỉ tự đánh bại chính mình. Hãy bắt tay vào việc trau dồi các kỹ năng và kiến thức cần thiết để phát huy hết điểm mạnh của bạn.</w:t>
      </w:r>
    </w:p>
    <w:p>
      <w:pPr>
        <w:pStyle w:val="Para 001"/>
      </w:pPr>
      <w:r>
        <w:t>Khắc phục thói quen xấu—những việc bạn làm hoặc không làm giảm hiệu quả và kết quả—cũng quan trọng không kém. Những thói quen này sẽ sớm xuất hiện trong phản hồi. Ví dụ, một người lập kế hoạch có thể thấy rằng kế hoạch tuyệt đẹp của mình thất bại chỉ vì không theo đuổi đến cùng. Giống như bao người thông minh, anh tin rằng ý tưởng có thể dời núi. Nhưng xe ủi mới dời được núi; ý tưởng chỉ cho biết xe ủi cần làm việc ở đâu. Người lập kế hoạch đó cần học rằng công việc không kết thúc khi kế hoạch hoàn thành. Anh ta phải tìm người thực hiện kế hoạch và giải thích cho họ. Anh ta phải điều chỉnh, thay đổi trong quá trình thực hiện. Và cuối cùng, phải quyết định khi nào thì dừng thúc đẩy kế hoạch.</w:t>
      </w:r>
    </w:p>
    <w:p>
      <w:pPr>
        <w:pStyle w:val="Para 001"/>
      </w:pPr>
      <w:r>
        <w:t>Đồng thời, phản hồi cũng sẽ cho thấy vấn đề có phải do thiếu phép lịch sự không. Phép lịch sự là dầu bôi trơn của tổ chức. Định luật tự nhiên là hai vật thể chuyển động tiếp xúc với nhau tạo ra ma sát. Điều này đúng với con người cũng như với vật vô tri. Phép lịch sự—những điều đơn giản như nói "làm ơn" và "cảm ơn", biết tên người đối diện hoặc hỏi thăm gia đình họ—giúp hai người làm việc cùng nhau dù họ có thích nhau hay không. Người thông minh, nhất là người trẻ thông minh, thường không hiểu điều này. Nếu phân tích cho thấy công việc xuất sắc của ai đó cứ thất bại mãi mỗi khi cần sự hợp tác từ người khác, thì rất có thể là do thiếu sự tế nhị—tức là thiếu phép lịch sự.</w:t>
      </w:r>
    </w:p>
    <w:p>
      <w:pPr>
        <w:pStyle w:val="Para 001"/>
      </w:pPr>
      <w:r>
        <w:t>Việc so sánh kỳ vọng của bạn với kết quả đạt được cũng cho bạn biết điều gì không nên làm. Chúng ta ai cũng có vô số lĩnh vực mà mình không có tài năng hay kỹ năng, và gần như không có cơ hội để đạt được mức trung bình. Trong những lĩnh vực đó, một người—đặc biệt là nhân viên tri thức (knowledge worker)—không nên nhận việc, nhận nhiệm vụ và dự án. Bạn nên dành càng ít công sức càng tốt để cải thiện những lĩnh vực mình yếu kém. Chúng ta cần nhiều năng lượng và công sức để vươn từ kém lên trung bình hơn rất nhiều so với việc vươn từ khá lên xuất sắc. Thế nhưng hầu hết mọi người—đặc biệt là giáo viên và các tổ chức—lại tập trung vào việc biến người kém thành người trung bình. Năng lượng, nguồn lực và thời gian nên dành cho việc biến người có năng lực thành ngôi sao xuất sắc.</w:t>
      </w:r>
    </w:p>
    <w:p>
      <w:bookmarkStart w:id="294" w:name="HOW_DO_I_PERFORM"/>
      <w:pPr>
        <w:pStyle w:val="Heading 2"/>
      </w:pPr>
      <w:r>
        <w:t>TÔI LÀM VIỆC RA SAO?</w:t>
      </w:r>
      <w:bookmarkEnd w:id="294"/>
    </w:p>
    <w:p>
      <w:pPr>
        <w:pStyle w:val="Normal"/>
      </w:pPr>
      <w:r>
        <w:t>Đáng kinh ngạc là rất ít người biết cách họ hoàn thành công việc. Thực tế, hầu hết chúng ta thậm chí còn không biết rằng những người khác nhau làm việc và thể hiện khác nhau. Quá nhiều người làm việc theo cách không phải của họ, và điều đó gần như đảm bảo họ sẽ không có kết quả. Đối với nhân viên tri thức, câu hỏi 'Tôi làm việc ra sao?' có thể còn quan trọng hơn cả 'Thế mạnh của tôi là gì?'</w:t>
      </w:r>
    </w:p>
    <w:p>
      <w:pPr>
        <w:pStyle w:val="Para 001"/>
      </w:pPr>
      <w:r>
        <w:t xml:space="preserve">Giống như thế mạnh của bạn, cách bạn làm việc hiệu quả là duy nhất. Đó là vấn đề tính cách. Dù tính cách là do bẩm sinh hay do nuôi dưỡng, nó chắc chắn được hình thành từ lâu trước khi một người bắt đầu đi</w:t>
      </w:r>
      <w:r>
        <w:rPr>
          <w:rStyle w:val="Text0"/>
        </w:rPr>
        <w:t> l</w:t>
      </w:r>
      <w:r>
        <w:t xml:space="preserve">àm. Và cách một người thể hiện là điều sẵn</w:t>
      </w:r>
      <w:r>
        <w:rPr>
          <w:rStyle w:val="Text0"/>
        </w:rPr>
        <w:t> có,</w:t>
      </w:r>
      <w:r>
        <w:t xml:space="preserve"> giống như năng khiếu hay không phải là năng khiếu là điều sẵn có. Cách làm việc của một người có thể được điều chỉnh nhẹ, nhưng khó có thể thay đổi hoàn toàn—và chắc chắn không dễ dàng. Cũng như con người đạt kết quả bằng cách làm điều mình giỏi, họ cũng đạt kết quả bằng cách làm việc theo cách phù hợp nhất với mình. Một vài đặc điểm tính cách phổ biến thường quyết định cách một người làm việc.</w:t>
      </w:r>
    </w:p>
    <w:p>
      <w:pPr>
        <w:pStyle w:val="Heading 3"/>
      </w:pPr>
      <w:r>
        <w:t>Tôi là người đọc hay người nghe?</w:t>
      </w:r>
    </w:p>
    <w:p>
      <w:pPr>
        <w:pStyle w:val="Para 001"/>
      </w:pPr>
      <w:r>
        <w:t>Điều đầu tiên cần biết là bạn thuộc nhóm người đọc (reader) hay người nghe (listener). Quá ít người nhận ra rằng có hai kiểu người đọc và nghe, và hiếm ai có cả hai. Càng ít người biết mình thuộc kiểu nào. Nhưng một vài ví dụ sẽ cho thấy sự thiếu hiểu biết này gây hại như thế nào.</w:t>
      </w:r>
    </w:p>
    <w:p>
      <w:pPr>
        <w:pStyle w:val="Para 001"/>
      </w:pPr>
      <w:r>
        <w:t>Khi Dwight Eisenhower còn là Tư lệnh tối cao của lực lượng Đồng minh ở châu Âu, ông là người được báo chí yêu mến. Các cuộc họp báo của ông nổi tiếng vì phong cách của chúng—Tướng Eisenhower cho thấy sự làm chủ hoàn toàn trước mọi câu hỏi được đặt ra, và ông có thể miêu tả một tình huống và giải thích một chính sách trong hai hoặc ba câu văn trau chuốt và thanh lịch. Mười năm sau, cũng chính những nhà báo từng ngưỡng mộ ông lại công khai khinh thường Tổng thống Eisenhower. Họ phàn nàn rằng ông không bao giờ trả lời đúng câu hỏi, mà cứ lan man mãi về chuyện khác. Họ cũng thường xuyên chế nhạo ông vì đã 'hành hạ' tiếng Anh chuẩn với những câu trả lời lủng củng và sai ngữ pháp.</w:t>
      </w:r>
    </w:p>
    <w:p>
      <w:pPr>
        <w:pStyle w:val="Para 001"/>
      </w:pPr>
      <w:r>
        <w:t>Eisenhower dường như không nhận ra rằng mình là người đọc, chứ không phải người nghe. Khi còn là Tư lệnh Tối cao ở châu Âu, các trợ lý của ông đảm bảo rằng mọi câu hỏi từ báo chí đều được trình bày bằng văn bản ít nhất nửa giờ trước khi cuộc họp báo bắt đầu. Và khi đó Eisenhower hoàn toàn kiểm soát tình hình. Khi trở thành tổng thống, ông kế nhiệm hai người thuộc kiểu người nghe, Franklin D. Roosevelt và Harry Truman. Cả hai đều biết mình là người nghe và đều thích các cuộc họp báo tự do. Eisenhower có thể cảm thấy rằng ông phải làm như hai người tiền nhiệm đã làm. Kết quả là, ông thậm chí không bao giờ nghe được các câu hỏi mà các nhà báo đặt ra. Và Eisenhower thậm chí không phải là một trường hợp cực đoan của người không biết lắng nghe.</w:t>
      </w:r>
    </w:p>
    <w:p>
      <w:pPr>
        <w:pStyle w:val="Para 001"/>
      </w:pPr>
      <w:r>
        <w:t>Vài năm sau, Lyndon Johnson đã hủy hoại nhiệm kỳ tổng thống của mình, phần lớn là do không nhận ra rằng mình là người nghe. Người tiền nhiệm của ông, John Kennedy, là một người đọc, đã tập hợp một nhóm nhà văn xuất sắc làm trợ lý, đảm bảo rằng họ viết bản ghi nhớ trước khi thảo luận trực tiếp với ông. Johnson giữ những người này trong đội ngũ của mình—và họ tiếp tục viết. Dường như ông chưa bao giờ hiểu một từ nào trong những gì họ viết. Tuy nhiên, với tư cách là thượng nghị sĩ, Johnson đã rất xuất sắc; vì các nghị sĩ, trên hết, phải là người biết lắng nghe.</w:t>
      </w:r>
    </w:p>
    <w:p>
      <w:pPr>
        <w:pStyle w:val="Para 001"/>
      </w:pPr>
      <w:r>
        <w:t>Rất ít người nghe có thể được đào tạo, hoặc tự đào tạo, thành người đọc có năng lực—và ngược lại. Do đó, người nghe cố gắng trở thành người đọc sẽ chịu số phận của Lyndon Johnson, trong khi người đọc cố gắng trở thành người nghe sẽ chịu số phận của Dwight Eisenhower. Họ sẽ không thể hoàn thành hay đạt được gì.</w:t>
      </w:r>
    </w:p>
    <w:p>
      <w:pPr>
        <w:pStyle w:val="Heading 3"/>
      </w:pPr>
      <w:r>
        <w:t>Tôi học bằng cách nào?</w:t>
      </w:r>
    </w:p>
    <w:p>
      <w:pPr>
        <w:pStyle w:val="Para 001"/>
      </w:pPr>
      <w:r>
        <w:t>Điều thứ hai cần biết về cách một người thể hiện hiệu quả là biết cách họ học. Nhiều nhà văn hạng nhất—Winston Churchill chỉ là một ví dụ—học kém ở trường. Họ thường nhớ về thời đi học như một cực hình. Tuy nhiên, ít bạn cùng lớp của họ nhớ theo cách đó. Họ có thể không thích trường lắm, nhưng điều tồi tệ nhất họ phải chịu là sự buồn chán. Lời giải thích là các nhà văn, theo quy luật, không học bằng cách nghe và đọc. Họ học bằng cách viết. Vì trường học không cho phép họ học theo cách này, họ bị điểm kém.</w:t>
      </w:r>
    </w:p>
    <w:p>
      <w:pPr>
        <w:pStyle w:val="Para 001"/>
      </w:pPr>
      <w:r>
        <w:t>Các trường học ở khắp nơi được tổ chức dựa trên giả định rằng chỉ có một cách học đúng duy nhất và đó là cách giống nhau cho tất cả mọi người. Nhưng bị ép học theo cách nhà trường dạy là địa ngục đối với những học sinh học theo cách khác. Thực tế, có lẽ có đến nửa tá cách học khác nhau.</w:t>
      </w:r>
    </w:p>
    <w:p>
      <w:pPr>
        <w:pStyle w:val="Para 001"/>
      </w:pPr>
      <w:r>
        <w:t>Có những người, như Churchill, học bằng cách viết. Một số người học bằng cách ghi chép thật nhiều. Ví dụ, Beethoven để lại một số lượng lớn sổ phác thảo, nhưng ông nói rằng ông chưa bao giờ thực sự xem chúng khi sáng tác. Khi được hỏi tại sao ông giữ chúng, người ta kể rằng ông trả lời: "Nếu tôi không viết ra ngay, tôi sẽ quên ngay lập tức. Nếu tôi ghi vào sổ phác thảo, tôi sẽ không bao giờ quên và không bao giờ phải tra cứu lại." Một số người học bằng cách thực hành. Những người khác học bằng cách nghe chính mình nói.</w:t>
      </w:r>
    </w:p>
    <w:p>
      <w:pPr>
        <w:pStyle w:val="Para 001"/>
      </w:pPr>
      <w:r>
        <w:t>Một vị tổng giám đốc mà tôi biết đã biến một doanh nghiệp gia đình nhỏ và tầm thường thành công ty dẫn đầu trong ngành. Ông ấy thuộc tuýp người học bằng cách nói. Ông có thói quen gọi toàn bộ nhân viên cấp cao vào văn phòng mỗi tuần một lần và nói chuyện với họ suốt hai ba tiếng đồng hồ. Ông thường nêu ra các vấn đề chính sách và tranh luận ba quan điểm khác nhau cho từng vấn đề. Ông hiếm khi hỏi ý kiến hay câu hỏi của các cộng sự; ông chỉ cần một khán giả để nghe ông nói. Đó là cách ông học. Và dù ông là một trường hợp khá đặc biệt, việc học qua nói chuyện hoàn toàn không phải là phương pháp hiếm gặp. Các luật sư tranh tụng thành công cũng học theo cách này, cũng như nhiều bác sĩ chẩn đoán (và tôi cũng vậy).</w:t>
      </w:r>
    </w:p>
    <w:p>
      <w:pPr>
        <w:pStyle w:val="Para 001"/>
      </w:pPr>
      <w:r>
        <w:t xml:space="preserve">Trong tất cả những điều quan trọng để hiểu về bản thân, hiểu cách bạn học là điều dễ dàng nhất. Khi tôi hỏi mọi người: “Bạn học bằng cách nào?” hầu hết đều biết câu trả lời. Nhưng khi tôi hỏi: “Bạn có áp dụng kiến thức này không?” thì rất ít người trả lời là có. Tuy nhiên, áp dụng kiến thức này chính là chìa khóa dẫn đến hiệu quả công việc; hay nói đúng</w:t>
      </w:r>
      <w:r>
        <w:rPr>
          <w:rStyle w:val="Text0"/>
        </w:rPr>
        <w:t> hơn,</w:t>
      </w:r>
      <w:r>
        <w:t xml:space="preserve"> không áp dụng nó sẽ khiến một người không thể làm việc hiệu quả.</w:t>
      </w:r>
    </w:p>
    <w:p>
      <w:pPr>
        <w:pStyle w:val="Para 001"/>
      </w:pPr>
      <w:r>
        <w:t>“Tôi là người đọc hay người nghe?” và “Tôi học bằng cách nào?” là những câu hỏi đầu tiên cần đặt ra. Nhưng chúng không phải là những câu hỏi duy nhất. Để quản lý bản thân hiệu quả, bạn cũng phải hỏi: “Tôi có làm việc tốt với mọi người không, hay tôi là người thích làm việc một mình?” Và nếu bạn làm việc tốt với mọi người, bạn phải tự hỏi: “Trong mối quan hệ nào?”</w:t>
      </w:r>
    </w:p>
    <w:p>
      <w:pPr>
        <w:pStyle w:val="Para 001"/>
      </w:pPr>
      <w:r>
        <w:t>Một số người làm việc hiệu quả nhất khi ở vị trí cấp dưới. Tướng George Patton, anh hùng quân sự vĩ đại của Mỹ trong Thế chiến II, là một ví dụ điển hình. Patton là chỉ huy quân đội hàng đầu của nước Mỹ. Tuy nhiên, khi ông được đề xuất cho một vị trí chỉ huy độc lập, Tướng George Marshall, tham mưu trưởng Hoa Kỳ — và có lẽ là người chọn nhân tài thành công nhất trong lịch sử nước Mỹ — đã nói: “Patton là người cấp dưới xuất sắc nhất mà quân đội Mỹ từng tạo ra, nhưng ông ta sẽ là một chỉ huy tồi tệ nhất.”</w:t>
      </w:r>
    </w:p>
    <w:p>
      <w:pPr>
        <w:pStyle w:val="Para 001"/>
      </w:pPr>
      <w:r>
        <w:t>Một số người làm việc hiệu quả nhất khi là thành viên nhóm. Những người khác lại làm việc tốt nhất khi một mình. Một số người có tài đặc biệt trong vai trò huấn luyện viên và người cố vấn; những người khác lại hoàn toàn bất tài làm người cố vấn.</w:t>
      </w:r>
    </w:p>
    <w:p>
      <w:pPr>
        <w:pStyle w:val="Para 001"/>
      </w:pPr>
      <w:r>
        <w:t>Một câu hỏi quan trọng khác là: “Tôi tạo ra kết quả với vai trò người ra quyết định hay người cố vấn?” Rất nhiều người làm việc xuất sắc nhất với vai trò cố vấn nhưng không thể gánh vác trách nhiệm và áp lực khi phải ra quyết định. Ngược lại, nhiều người khác lại cần một cố vấn để buộc bản thân phải suy nghĩ; sau đó họ mới có thể ra quyết định và hành động nhanh chóng, tự tin và can đảm.</w:t>
      </w:r>
    </w:p>
    <w:p>
      <w:pPr>
        <w:pStyle w:val="Para 001"/>
      </w:pPr>
      <w:r>
        <w:t>Nhân tiện, đây là một lý do mà người số hai trong một tổ chức thường thất bại khi được thăng lên vị trí số một. Vị trí cao nhất đòi hỏi một người ra quyết định. Những nhà ra quyết định mạnh mẽ thường đặt một người họ tin cậy vào vị trí số hai làm cố vấn — và ở vị trí đó, người này làm rất xuất sắc. Nhưng ở vị trí số một, chính người đó lại thất bại. Anh ta hoặc cô ta biết quyết định nên là gì nhưng không thể chấp nhận trách nhiệm thực sự đưa ra nó.</w:t>
      </w:r>
    </w:p>
    <w:p>
      <w:pPr>
        <w:pStyle w:val="Para 001"/>
      </w:pPr>
      <w:r>
        <w:t>Các câu hỏi quan trọng khác cần đặt ra bao gồm: Tôi có làm việc tốt dưới áp lực không, hay tôi cần một môi trường có cấu trúc chặt chẽ và có thể dự đoán được? Tôi làm việc hiệu quả nhất trong tổ chức lớn hay tổ chức nhỏ? Rất ít người làm việc tốt trong mọi loại môi trường. Tôi đã nhiều lần chứng kiến những người rất thành công trong các tổ chức lớn lại vật lộn thảm hại khi chuyển sang các tổ chức nhỏ hơn. Và điều ngược lại cũng đúng.</w:t>
      </w:r>
    </w:p>
    <w:p>
      <w:pPr>
        <w:pStyle w:val="Para 001"/>
      </w:pPr>
      <w:r>
        <w:t>Kết luận này đáng để nhắc lại: Đừng cố gắng thay đổi bản thân—bạn khó có thể thành công. Nhưng hãy nỗ lực hết mình để cải thiện cách bạn thực hiện công việc. Và hãy cố gắng đừng nhận những công việc mà bạn không thể hoàn thành hoặc sẽ chỉ hoàn thành một cách kém cỏi.</w:t>
      </w:r>
    </w:p>
    <w:p>
      <w:bookmarkStart w:id="295" w:name="WHAT_ARE_MY_VALUES"/>
      <w:pPr>
        <w:pStyle w:val="Heading 2"/>
      </w:pPr>
      <w:r>
        <w:t>GIÁ TRỊ CỦA TÔI LÀ GÌ?</w:t>
      </w:r>
      <w:bookmarkEnd w:id="295"/>
    </w:p>
    <w:p>
      <w:pPr>
        <w:pStyle w:val="Normal"/>
      </w:pPr>
      <w:r>
        <w:t>Để có thể quản lý chính mình, cuối cùng bạn phải tự hỏi: Giá trị của tôi là gì? Đây không phải là vấn đề đạo đức. Về mặt đạo đức, các quy tắc là giống nhau cho tất cả mọi người, và bài kiểm tra rất đơn giản. Tôi gọi nó là “bài kiểm tra gương” (mirror test).</w:t>
      </w:r>
    </w:p>
    <w:p>
      <w:pPr>
        <w:pStyle w:val="Para 001"/>
      </w:pPr>
      <w:r>
        <w:t>Trong những năm đầu của thế kỷ này, nhà ngoại giao được kính trọng nhất trong tất cả các cường quốc là đại sứ Đức tại London. Ông rõ ràng được định sẵn cho những điều vĩ đại—ít nhất là trở thành bộ trưởng ngoại giao của đất nước mình, nếu không muốn nói là thủ tướng liên bang. Tuy nhiên, vào năm 1906, ông đột ngột từ chức thay vì chủ trì một bữa tiệc tối do đoàn ngoại giao tổ chức cho Edward VII. Nhà vua nổi tiếng là người ham mê phụ nữ và đã nói rõ ông muốn một bữa tiệc như thế nào. Đại sứ được cho là đã nói: 'Tôi từ chối nhìn thấy một kẻ ma cô trong gương vào buổi sáng khi tôi cạo râu.'</w:t>
      </w:r>
    </w:p>
    <w:p>
      <w:pPr>
        <w:pStyle w:val="Para 001"/>
      </w:pPr>
      <w:r>
        <w:t>Đó chính là bài kiểm tra gương. Đạo đức đòi hỏi bạn phải tự hỏi: Tôi muốn nhìn thấy một người như thế nào trong gương vào buổi sáng? Hành vi đạo đức trong một loại tổ chức hoặc tình huống nào đó cũng chính là hành vi đạo đức trong loại tổ chức hoặc tình huống khác. Nhưng đạo đức chỉ là một phần của hệ giá trị—đặc biệt là hệ giá trị của một tổ chức.</w:t>
      </w:r>
    </w:p>
    <w:p>
      <w:pPr>
        <w:pStyle w:val="Para 001"/>
      </w:pPr>
      <w:r>
        <w:t>Làm việc trong một tổ chức có hệ giá trị không thể chấp nhận được hoặc không tương thích với hệ giá trị của bản thân sẽ khiến một người vừa rơi vào thất vọng vừa không thể hoàn thành tốt công việc.</w:t>
      </w:r>
    </w:p>
    <w:p>
      <w:pPr>
        <w:pStyle w:val="Para 001"/>
      </w:pPr>
      <w:r>
        <w:t>Hãy xem xét trường hợp của một nữ giám đốc nhân sự rất thành đạt, công ty của cô được một tổ chức lớn hơn mua lại. Sau khi được mua lại, cô được thăng chức để làm công việc mà cô làm giỏi nhất, bao gồm việc lựa chọn nhân sự cho các vị trí quan trọng. Nữ giám đốc này tin tưởng sâu sắc rằng công ty chỉ nên thuê người từ bên ngoài cho các vị trí như vậy sau khi đã cạn kiệt mọi khả năng từ bên trong. Nhưng công ty mới của cô lại tin vào việc tìm kiếm từ bên ngoài trước để 'mang lại luồng máu mới'. Cả hai cách tiếp cận đều có lý—theo kinh nghiệm của tôi, cách đúng đắn là kết hợp cả hai. Tuy nhiên, chúng về cơ bản là không tương thích—không phải về chính sách mà về giá trị. Chúng thể hiện những quan điểm khác nhau về mối quan hệ giữa tổ chức và con người; quan điểm khác nhau về trách nhiệm của tổ chức đối với nhân viên và sự phát triển của họ; và quan điểm khác nhau về sự đóng góp quan trọng nhất của một cá nhân cho doanh nghiệp. Sau nhiều năm thất vọng, nữ giám đốc đã từ chức—chịu tổn thất tài chính đáng kể. Giá trị của cô và giá trị của tổ chức đơn giản là không tương thích.</w:t>
      </w:r>
    </w:p>
    <w:p>
      <w:pPr>
        <w:pStyle w:val="Para 001"/>
      </w:pPr>
      <w:r>
        <w:t>Tương tự, việc một công ty dược phẩm tìm kiếm kết quả bằng cách liên tục cải tiến nhỏ hoặc bằng cách thỉnh thoảng đạt được những 'đột phá' (breakthroughs) tốn kém và rủi ro cao, trước hết không phải là một câu hỏi kinh tế. Kết quả của cả hai chiến lược có thể khá giống nhau. Về bản chất, có sự xung đột giữa một hệ giá trị xem sự đóng góp của công ty là giúp các bác sĩ làm tốt hơn những gì họ đang làm và một hệ giá trị hướng tới việc tạo ra các khám phá khoa học.</w:t>
      </w:r>
    </w:p>
    <w:p>
      <w:pPr>
        <w:pStyle w:val="Para 001"/>
      </w:pPr>
      <w:r>
        <w:t>Việc một doanh nghiệp nên được điều hành vì kết quả ngắn hạn hay tập trung vào dài hạn cũng là một câu hỏi về giá trị. Các nhà phân tích tài chính tin rằng doanh nghiệp có thể được điều hành cho cả hai mục tiêu cùng lúc. Các doanh nhân thành đạt hiểu rõ hơn điều đó. Chắc chắn, mọi công ty đều phải tạo ra kết quả ngắn hạn. Nhưng trong bất kỳ xung đột nào giữa kết quả ngắn hạn và tăng trưởng dài hạn, mỗi công ty sẽ tự quyết định ưu tiên của mình. Đây không chủ yếu là bất đồng về kinh tế. Về cơ bản, đây là một xung đột giá trị liên quan đến chức năng của doanh nghiệp và trách nhiệm của ban quản lý.</w:t>
      </w:r>
    </w:p>
    <w:p>
      <w:pPr>
        <w:pStyle w:val="Para 001"/>
      </w:pPr>
      <w:r>
        <w:t>Các xung đột giá trị không chỉ giới hạn trong các tổ chức kinh doanh. Một trong những nhà thờ mục vụ phát triển nhanh nhất tại Hoa Kỳ đo lường thành công bằng số lượng giáo dân mới. Giới lãnh đạo của họ tin rằng điều quan trọng là có bao nhiêu người mới gia nhập hội thánh. Chúa sẽ chăm lo cho nhu cầu tâm linh của họ, hoặc ít nhất là nhu cầu của một tỷ lệ đủ lớn. Một nhà thờ mục vụ truyền giáo khác tin rằng điều quan trọng là sự phát triển tâm linh của con người. Nhà thờ này sẽ loại dần những người mới gia nhập nhưng không bước vào đời sống tâm linh của nhà thờ.</w:t>
      </w:r>
    </w:p>
    <w:p>
      <w:pPr>
        <w:pStyle w:val="Para 001"/>
      </w:pPr>
      <w:r>
        <w:t>Một lần nữa, đây không phải là vấn đề về con số. Thoạt nhìn, có vẻ như nhà thờ thứ hai phát triển chậm hơn. Nhưng nhà thờ này giữ lại tỷ lệ người mới đến lớn hơn nhiều so với nhà thờ thứ nhất. Nói cách khác, sự tăng trưởng của họ vững chắc hơn. Đây cũng không phải là vấn đề thần học, hoặc chỉ là thứ yếu. Đây là vấn đề về giá trị. Trong một cuộc tranh luận công khai, một mục sư đã lập luận: "Trừ khi bạn đến nhà thờ trước, bạn sẽ không bao giờ tìm thấy cổng vào Nước Trời."</w:t>
      </w:r>
    </w:p>
    <w:p>
      <w:pPr>
        <w:pStyle w:val="Para 001"/>
      </w:pPr>
      <w:r>
        <w:t>"Không", người kia trả lời. "Cho đến khi bạn trước tiên tìm kiếm cổng vào Nước Trời, bạn không thuộc về nhà thờ."</w:t>
      </w:r>
    </w:p>
    <w:p>
      <w:pPr>
        <w:pStyle w:val="Para 001"/>
      </w:pPr>
      <w:r>
        <w:t>Các tổ chức, giống như con người, có những giá trị. Để hoạt động hiệu quả trong một tổ chức, giá trị của một người phải tương thích với giá trị của tổ chức. Chúng không cần phải giống nhau, nhưng phải đủ gần gũi để cùng tồn tại. Nếu không, người đó không chỉ cảm thấy chán nản mà còn không tạo ra được kết quả.</w:t>
      </w:r>
    </w:p>
    <w:p>
      <w:pPr>
        <w:pStyle w:val="Para 001"/>
      </w:pPr>
      <w:r>
        <w:t>Điểm mạnh của một người và cách người đó thực hiện công việc hiếm khi xung đột; chúng bổ sung cho nhau. Nhưng đôi khi có sự xung đột giữa giá trị và điểm mạnh của một người. Điều một người làm tốt—thậm chí rất tốt và thành công—có thể không phù hợp với hệ giá trị của họ. Trong trường hợp đó, công việc có vẻ không đáng để cống hiến cả đời (hoặc thậm chí một phần đáng kể của cuộc đời).</w:t>
      </w:r>
    </w:p>
    <w:p>
      <w:pPr>
        <w:pStyle w:val="Para 001"/>
      </w:pPr>
      <w:r>
        <w:t>Nếu được phép, tôi xin phép xen vào một chút chuyện cá nhân. Nhiều năm trước, tôi cũng từng phải lựa chọn giữa giá trị của mình và những gì tôi đang làm thành công. Tôi đã rất thành đạt với vai trò một chuyên viên ngân hàng đầu tư trẻ ở London vào giữa những năm 1930, và công việc rõ ràng phù hợp với thế mạnh của tôi. Thế nhưng tôi không thấy mình có thể đóng góp gì với vai trò một người quản lý tài sản. Tôi nhận ra rằng, con người mới là thứ tôi trân trọng, và tôi chẳng thấy ý nghĩa gì trong việc trở thành kẻ giàu nhất nghĩa địa. Tôi không có tiền, cũng chẳng có triển vọng nghề nghiệp nào khác. Bất chấp cuộc Đại suy thoái vẫn còn tiếp diễn, tôi đã bỏ việc - và đó là điều đúng đắn. Nói cách khác, giá trị (values) chính là và luôn phải là thử thách cuối cùng.</w:t>
      </w:r>
    </w:p>
    <w:p>
      <w:bookmarkStart w:id="296" w:name="WHERE_DO_I_BELONG"/>
      <w:pPr>
        <w:pStyle w:val="Heading 2"/>
      </w:pPr>
      <w:r>
        <w:t>TÔI THUỘC VỀ NƠI NÀO?</w:t>
      </w:r>
      <w:bookmarkEnd w:id="296"/>
    </w:p>
    <w:p>
      <w:pPr>
        <w:pStyle w:val="Normal"/>
      </w:pPr>
      <w:r>
        <w:t>Một số ít người biết rất sớm họ thuộc về nơi nào. Chẳng hạn, các nhà toán học, nhạc sĩ và đầu bếp thường đã là nhà toán học, nhạc sĩ và đầu bếp từ khi mới bốn hoặc năm tuổi. Các bác sĩ thường quyết định sự nghiệp từ tuổi thiếu niên, thậm chí sớm hơn. Nhưng phần lớn mọi người, đặc biệt là những người có tài năng xuất chúng, thực sự không biết mình thuộc về nơi nào cho đến khi họ đã qua tuổi 25 khá lâu. Tuy nhiên, đến lúc đó, họ nên biết câu trả lời cho ba câu hỏi: Điểm mạnh của tôi là gì? Tôi thể hiện (perform) như thế nào? Và, giá trị của tôi là gì? Và sau đó họ có thể và nên quyết định nơi họ thuộc về.</w:t>
      </w:r>
    </w:p>
    <w:p>
      <w:pPr>
        <w:pStyle w:val="Para 001"/>
      </w:pPr>
      <w:r>
        <w:t xml:space="preserve">Hay đúng hơn, họ nên có thể quyết định nơi họ không thuộc</w:t>
      </w:r>
      <w:r>
        <w:rPr>
          <w:rStyle w:val="Text0"/>
        </w:rPr>
        <w:t> v</w:t>
      </w:r>
      <w:r>
        <w:t xml:space="preserve">ề. Người đã nhận ra rằng mình không làm việc hiệu quả trong một tổ chức lớn thì nên học cách nói không với một vị trí trong tổ chức như vậy. Người đã nhận ra rằng mình không phải là người ra quyết định thì nên học cách nói không với một nhiệm vụ đòi hỏi ra quyết định. Một vị Tướng Patton (có lẽ chính ông chưa bao giờ học được điều này) lẽ ra nên học cách nói không với một chức vụ chỉ huy độc lập.</w:t>
      </w:r>
    </w:p>
    <w:p>
      <w:pPr>
        <w:pStyle w:val="Para 001"/>
      </w:pPr>
      <w:r>
        <w:t>Điều quan trọng không kém, biết được câu trả lời cho những câu hỏi này giúp một người có thể nói với một cơ hội, một lời đề nghị, hay một nhiệm vụ rằng: “Vâng, tôi sẽ làm điều đó. Nhưng đây là cách tôi nên thực hiện. Đây là cách nó nên được cấu trúc. Đây là cách các mối quan hệ nên được xây dựng. Đây là những kết quả bạn nên mong đợi ở tôi, và trong khung thời gian này, bởi vì đây chính là con người tôi.”</w:t>
      </w:r>
    </w:p>
    <w:p>
      <w:pPr>
        <w:pStyle w:val="Para 001"/>
      </w:pPr>
      <w:r>
        <w:t>Sự nghiệp thành công không phải là kết quả của việc lên kế hoạch. Chúng phát triển khi con người sẵn sàng đón nhận cơ hội vì họ biết điểm mạnh, cách làm việc và giá trị của mình. Biết được mình thuộc về nơi nào có thể biến một người bình thường - chăm chỉ và có năng lực nhưng về mặt khác lại tầm thường - thành một người xuất sắc.</w:t>
      </w:r>
    </w:p>
    <w:p>
      <w:bookmarkStart w:id="297" w:name="WHAT_SHOULD_I_CONTRIBUTE"/>
      <w:pPr>
        <w:pStyle w:val="Heading 2"/>
      </w:pPr>
      <w:r>
        <w:t>TÔI NÊN ĐÓNG GÓP GÌ?</w:t>
      </w:r>
      <w:bookmarkEnd w:id="297"/>
    </w:p>
    <w:p>
      <w:pPr>
        <w:pStyle w:val="Normal"/>
      </w:pPr>
      <w:r>
        <w:t>Trong suốt lịch sử, phần lớn mọi người không bao giờ phải đặt câu hỏi: Tôi nên đóng góp gì? Họ được bảo phải đóng góp gì, và nhiệm vụ của họ được quyết định bởi chính công việc - như đối với người nông dân hay thợ thủ công - hoặc bởi ông chủ hay bà chủ - như đối với người hầu trong nhà. Và cho đến gần đây, người ta vẫn mặc nhiên coi rằng hầu hết mọi người là cấp dưới và chỉ làm theo những gì được bảo. Ngay cả trong những năm 1950 và 1960, những người lao động tri thức (knowledge workers) mới (còn gọi là những người của tổ chức - organization men) vẫn trông cậy vào phòng nhân sự của công ty để lên kế hoạch cho sự nghiệp của họ.</w:t>
      </w:r>
    </w:p>
    <w:p>
      <w:pPr>
        <w:pStyle w:val="Para 001"/>
      </w:pPr>
      <w:r>
        <w:t>Vào cuối những năm 1960, không ai còn muốn bị bảo phải làm gì nữa. Những chàng trai và cô gái trẻ bắt đầu tự hỏi: Tôi muốn làm gì? Và điều họ nghe được là cách để đóng góp là 'làm việc của riêng mình'. Nhưng giải pháp này cũng sai lầm như cách của những người theo tổ chức trước đây. Rất ít trong số những người tin rằng làm việc của riêng mình sẽ dẫn đến sự đóng góp, sự hoàn thiện bản thân và thành công lại đạt được cả ba điều đó.</w:t>
      </w:r>
    </w:p>
    <w:p>
      <w:pPr>
        <w:pStyle w:val="Para 001"/>
      </w:pPr>
      <w:r>
        <w:t xml:space="preserve">Nhưng vẫn không thể quay lại câu trả lời cũ là làm những gì được bảo hoặc được giao. Đặc biệt, những người làm việc tri thức (knowledge workers) phải học cách đặt một câu hỏi chưa từng được hỏi trước</w:t>
      </w:r>
      <w:r>
        <w:rPr>
          <w:rStyle w:val="Text0"/>
        </w:rPr>
        <w:t> đây:</w:t>
      </w:r>
      <w:r>
        <w:t xml:space="preserve"> Đóng góp của tôi nên là gì? Để trả lời, họ phải giải quyết ba yếu tố riêng biệt: Tình huống đòi hỏi điều gì? Với điểm mạnh, cách làm việc và giá trị của mình, làm sao tôi có thể tạo ra đóng góp lớn nhất cho những gì cần được thực hiện? Và cuối cùng, Những kết quả nào cần đạt được để tạo ra sự khác biệt?</w:t>
      </w:r>
    </w:p>
    <w:p>
      <w:pPr>
        <w:pStyle w:val="Para 001"/>
      </w:pPr>
      <w:r>
        <w:t>Hãy xem xét kinh nghiệm của một giám đốc bệnh viện mới được bổ nhiệm. Bệnh viện lớn và danh tiếng, nhưng đã sống dựa trên danh tiếng đó suốt 30 năm. Vị giám đốc mới quyết định rằng đóng góp của ông nên là thiết lập một tiêu chuẩn xuất sắc trong một lĩnh vực quan trọng trong vòng hai năm. Ông chọn tập trung vào phòng cấp cứu, nơi vốn lớn, dễ thấy nhưng lộn xộn. Ông quyết định rằng mọi bệnh nhân vào phòng cấp cứu phải được một y tá có trình độ khám trong vòng 60 giây. Trong vòng 12 tháng, phòng cấp cứu của bệnh viện đã trở thành hình mẫu cho tất cả các bệnh viện ở Hoa Kỳ, và trong vòng hai năm tiếp theo, toàn bộ bệnh viện đã được chuyển đổi.</w:t>
      </w:r>
    </w:p>
    <w:p>
      <w:pPr>
        <w:pStyle w:val="Para 001"/>
      </w:pPr>
      <w:r>
        <w:t>Như ví dụ này cho thấy, hiếm khi có thể—hoặc thậm chí là đặc biệt hiệu quả—để nhìn quá xa về phía trước. Một kế hoạch thường chỉ có thể bao quát không quá 18 tháng mà vẫn rõ ràng và cụ thể. Vì vậy, trong hầu hết các trường hợp, câu hỏi nên là: Ở đâu và bằng cách nào tôi có thể đạt được những kết quả tạo ra sự khác biệt trong vòng một năm rưỡi tới? Câu trả lời phải cân bằng nhiều điều. Thứ nhất, kết quả nên khó đạt được—chúng nên đòi hỏi sự 'vươn tới' (stretching), để dùng từ thịnh hành hiện nay. Nhưng cũng nên nằm trong tầm tay. Nhắm đến những kết quả không thể đạt được—hoặc chỉ có thể trong những hoàn cảnh khó xảy ra nhất—không phải là tham vọng; mà là dại dột. Thứ hai, kết quả nên có ý nghĩa. Chúng nên tạo ra sự khác biệt. Cuối cùng, kết quả nên hữu hình và nếu có thể, đo lường được. Từ đó sẽ hình thành một kế hoạch hành động: làm gì, bắt đầu từ đâu và như thế nào, và đặt ra những mục tiêu và thời hạn gì.</w:t>
      </w:r>
    </w:p>
    <w:p>
      <w:bookmarkStart w:id="298" w:name="RESPONSIBILITY_FOR_RELATIONSHIPS"/>
      <w:pPr>
        <w:pStyle w:val="Heading 2"/>
      </w:pPr>
      <w:r>
        <w:t>TRÁCH NHIỆM ĐỐI VỚI CÁC MỐI QUAN HỆ</w:t>
      </w:r>
      <w:bookmarkEnd w:id="298"/>
    </w:p>
    <w:p>
      <w:pPr>
        <w:pStyle w:val="Normal"/>
      </w:pPr>
      <w:r>
        <w:t>Rất ít người làm việc một mình và đạt được kết quả một mình—một vài nghệ sĩ vĩ đại, một vài nhà khoa học vĩ đại, một vài vận động viên vĩ đại. Hầu hết mọi người làm việc với người khác và đạt hiệu quả với người khác. Điều đó đúng dù họ là thành viên của một tổ chức hay làm việc độc lập. Quản lý bản thân đòi hỏi bạn phải chịu trách nhiệm về các mối quan hệ. Việc này có hai phần.</w:t>
      </w:r>
    </w:p>
    <w:p>
      <w:pPr>
        <w:pStyle w:val="Para 001"/>
      </w:pPr>
      <w:r>
        <w:t>Điều đầu tiên là chấp nhận thực tế rằng người khác cũng là những cá nhân như chính bạn. Họ khăng khăng đòi được hành xử như những con người. Điều này có nghĩa là họ cũng có điểm mạnh của họ; họ cũng có cách thức riêng để hoàn thành công việc; họ cũng có những giá trị của họ. Vì vậy, để làm việc hiệu quả, bạn phải biết được điểm mạnh, cách thức làm việc và giá trị của các đồng nghiệp.</w:t>
      </w:r>
    </w:p>
    <w:p>
      <w:pPr>
        <w:pStyle w:val="Para 001"/>
      </w:pPr>
      <w:r>
        <w:t xml:space="preserve">Điều đó nghe có vẻ hiển nhiên, nhưng ít người chú ý đến nó. Điển hình là một người được đào tạo để viết báo cáo trong nhiệm vụ đầu tiên vì sếp lúc đó thích đọc. Ngay cả khi sếp tiếp theo là người thích nghe, người đó vẫn cứ viết báo cáo, và dĩ nhiên, chúng chẳng mang lại kết quả gì. Người sếp chắc chắn sẽ nghĩ nhân viên đó ngu ngốc, bất tài và lười biếng, và người đó sẽ thất bại. Nhưng điều đó có thể tránh được nếu nhân viên chịu quan sát sếp mới và phân tích</w:t>
      </w:r>
      <w:r>
        <w:rPr>
          <w:rStyle w:val="Text0"/>
        </w:rPr>
        <w:t> cách</w:t>
      </w:r>
      <w:r>
        <w:t xml:space="preserve"> sếp làm việc.</w:t>
      </w:r>
    </w:p>
    <w:p>
      <w:pPr>
        <w:pStyle w:val="Para 001"/>
      </w:pPr>
      <w:r>
        <w:t>Sếp không chỉ là một chức danh trên sơ đồ tổ chức hay một “chức năng.” Họ là những cá nhân và có quyền làm công việc của mình theo cách họ làm tốt nhất. Nhiệm vụ của những người làm việc cùng họ là quan sát họ, tìm hiểu cách họ làm việc, và thích nghi với điều giúp sếp của mình làm việc hiệu quả nhất. Thực ra, đó chính là bí quyết để “quản lý” sếp.</w:t>
      </w:r>
    </w:p>
    <w:p>
      <w:pPr>
        <w:pStyle w:val="Para 001"/>
      </w:pPr>
      <w:r>
        <w:t>Điều đó cũng đúng với tất cả đồng nghiệp của bạn. Mỗi người làm việc theo cách riêng của họ, không phải theo cách của bạn. Và mỗi người có quyền làm việc theo cách của mình. Điều quan trọng là họ có hoàn thành công việc hay không và giá trị của họ là gì. Còn về cách họ làm việc—mỗi người có thể làm theo một cách khác nhau. Bí quyết đầu tiên để làm việc hiệu quả là hiểu những người bạn làm việc cùng và phụ thuộc vào, để bạn có thể tận dụng điểm mạnh, cách làm việc và giá trị của họ. Các mối quan hệ công việc không chỉ dựa trên công việc mà còn dựa trên con người.</w:t>
      </w:r>
    </w:p>
    <w:p>
      <w:pPr>
        <w:pStyle w:val="Para 001"/>
      </w:pPr>
      <w:r>
        <w:t>Phần thứ hai của trách nhiệm trong các mối quan hệ là chịu trách nhiệm về giao tiếp. Bất cứ khi nào tôi, hoặc bất kỳ chuyên gia tư vấn nào khác, bắt đầu làm việc với một tổ chức, điều đầu tiên tôi nghe được là tất cả những xung đột cá nhân. Hầu hết những xung đột này phát sinh từ việc mọi người không biết người khác đang làm gì và họ làm việc như thế nào, hoặc người khác đang tập trung vào đóng góp gì và họ mong đợi kết quả gì. Và lý do họ không biết là vì họ đã không hỏi và vì vậy không được nghe kể.</w:t>
      </w:r>
    </w:p>
    <w:p>
      <w:pPr>
        <w:pStyle w:val="Para 001"/>
      </w:pPr>
      <w:r>
        <w:t>Việc không hỏi này phản ánh sự ngu ngốc của con người ít hơn là phản ánh lịch sử nhân loại. Cho đến gần đây, không cần thiết phải nói những điều này với bất kỳ ai. Ở các thành phố thời trung cổ, mọi người trong một khu vực đều làm cùng một nghề. Ở nông thôn, mọi người trong một thung lũng đều trồng cùng một loại cây ngay khi sương giá tan khỏi mặt đất. Ngay cả những người hiếm hoi làm những việc không “thông thường” cũng làm việc một mình, vì vậy họ không cần phải nói cho ai biết họ đang làm gì.</w:t>
      </w:r>
    </w:p>
    <w:p>
      <w:pPr>
        <w:pStyle w:val="Para 001"/>
      </w:pPr>
      <w:r>
        <w:t>Ngày nay, phần lớn mọi người làm việc với những người có nhiệm vụ và trách nhiệm khác nhau. Phó chủ tịch tiếp thị (marketing vice president) có thể xuất thân từ bộ phận bán hàng và biết mọi thứ về bán hàng, nhưng cô ấy không biết gì về những việc mình chưa từng làm – như định giá, quảng cáo, đóng gói, v.v. Vì vậy, những người làm những công việc này phải đảm bảo rằng phó chủ tịch tiếp thị hiểu họ đang cố làm gì, tại sao họ làm việc đó, họ sẽ làm như thế nào và kết quả mong đợi là gì.</w:t>
      </w:r>
    </w:p>
    <w:p>
      <w:pPr>
        <w:pStyle w:val="Para 001"/>
      </w:pPr>
      <w:r>
        <w:t>Nếu phó chủ tịch tiếp thị không hiểu những chuyên gia tri thức cao cấp (knowledge specialists) này đang làm gì, thì lỗi chủ yếu là ở họ, không phải ở cô ấy. Họ đã không truyền đạt cho cô ấy. Ngược lại, phó chủ tịch tiếp thị có trách nhiệm đảm bảo rằng tất cả đồng nghiệp của mình hiểu cách cô ấy nhìn nhận về tiếp thị: mục tiêu của cô là gì, cô làm việc ra sao, và cô mong đợi điều gì ở bản thân cũng như ở từng người trong số họ.</w:t>
      </w:r>
    </w:p>
    <w:p>
      <w:pPr>
        <w:pStyle w:val="Para 001"/>
      </w:pPr>
      <w:r>
        <w:t>Ngay cả những người hiểu tầm quan trọng của việc chịu trách nhiệm về các mối quan hệ cũng thường không giao tiếp đầy đủ với đồng nghiệp của mình. Họ sợ bị cho là tự phụ, tọc mạch hay ngu ngốc. Họ đã sai. Bất cứ khi nào một người đến gặp đồng nghiệp của mình và nói: “Đây là điều tôi giỏi. Đây là cách tôi làm việc. Đây là những giá trị của tôi. Đây là đóng góp mà tôi dự định tập trung vào và kết quả mà tôi được kỳ vọng sẽ đạt được,” thì phản hồi luôn là: “Điều này rất hữu ích. Nhưng tại sao bạn không nói với tôi sớm hơn?”</w:t>
      </w:r>
    </w:p>
    <w:p>
      <w:pPr>
        <w:pStyle w:val="Para 001"/>
      </w:pPr>
      <w:r>
        <w:t>Và người ta nhận được phản ứng tương tự—không có ngoại lệ, theo kinh nghiệm của tôi—nếu tiếp tục hỏi: “Vậy tôi cần biết gì về thế mạnh của bạn, cách bạn thể hiện, giá trị của bạn, và đóng góp bạn đề xuất?” Thực ra, những người làm công việc tri thức (knowledge workers) nên hỏi điều này với tất cả những người họ làm việc cùng, dù là cấp dưới, cấp trên, đồng nghiệp hay thành viên trong nhóm. Và một lần nữa, mỗi khi làm vậy, phản hồi luôn là: “Cảm ơn bạn đã hỏi tôi. Nhưng tại sao bạn không hỏi tôi sớm hơn?”</w:t>
      </w:r>
    </w:p>
    <w:p>
      <w:pPr>
        <w:pStyle w:val="Para 001"/>
      </w:pPr>
      <w:r>
        <w:t>Các tổ chức không còn được xây dựng trên sự ép buộc mà dựa trên sự tin tưởng. Sự tin tưởng giữa mọi người không nhất thiết có nghĩa là họ quý mến nhau. Nó có nghĩa là họ hiểu nhau. Vì vậy, chịu trách nhiệm về các mối quan hệ là một điều hoàn toàn cần thiết. Đó là một nghĩa vụ. Dù bạn là thành viên của tổ chức, nhà tư vấn cho tổ chức, nhà cung cấp hay nhà phân phối, bạn đều có trách nhiệm đó với tất cả đồng nghiệp của mình: những người mà công việc của bạn phụ thuộc vào họ cũng như những người phụ thuộc vào công việc của bạn.</w:t>
      </w:r>
    </w:p>
    <w:p>
      <w:bookmarkStart w:id="299" w:name="THE_SECOND_HALF_OF_YOUR_LIFE"/>
      <w:pPr>
        <w:pStyle w:val="Heading 2"/>
      </w:pPr>
      <w:r>
        <w:t>NỬA SAU CUỘC ĐỜI CỦA BẠN</w:t>
      </w:r>
      <w:bookmarkEnd w:id="299"/>
    </w:p>
    <w:p>
      <w:pPr>
        <w:pStyle w:val="Normal"/>
      </w:pPr>
      <w:r>
        <w:t>Khi công việc của hầu hết mọi người là lao động chân tay, bạn không cần phải lo lắng về nửa sau cuộc đời mình. Bạn chỉ cần tiếp tục làm những gì bạn vẫn thường làm. Và nếu bạn đủ may mắn để sống sót sau 40 năm lao động vất vả trong nhà máy hay trên đường ray, bạn sẽ thấy hạnh phúc khi dành phần đời còn lại để chẳng làm gì cả. Tuy nhiên, ngày nay, hầu hết công việc là công việc tri thức (knowledge work), và những người làm công việc tri thức không “kết thúc” sau 40 năm làm việc, họ chỉ thấy chán chường mà thôi.</w:t>
      </w:r>
    </w:p>
    <w:p>
      <w:pPr>
        <w:pStyle w:val="Para 001"/>
      </w:pPr>
      <w:r>
        <w:t>Chúng ta nghe rất nhiều về khủng hoảng tuổi trung niên của các nhà điều hành. Thực chất phần lớn là sự nhàm chán. Ở tuổi 45, hầu hết các nhà điều hành đã đạt đến đỉnh cao trong sự nghiệp kinh doanh, và họ biết điều đó. Sau 20 năm làm những công việc gần như giống nhau, họ rất giỏi việc của mình. Nhưng họ không còn học hỏi, không còn đóng góp hay tìm thấy thử thách và sự hài lòng từ công việc. Vậy mà họ vẫn có khả năng phải đối mặt với 20, thậm chí 25 năm làm việc nữa. Đó là lý do vì sao việc tự quản lý bản thân ngày càng khiến người ta bắt đầu một sự nghiệp thứ hai.</w:t>
      </w:r>
    </w:p>
    <w:p>
      <w:pPr>
        <w:pStyle w:val="Para 001"/>
      </w:pPr>
      <w:r>
        <w:t>Có ba cách để phát triển một sự nghiệp thứ hai. Cách đầu tiên thực chất là bắt đầu một sự nghiệp mới. Thường thì điều này chỉ đơn giản là chuyển từ loại tổ chức này sang loại tổ chức khác: chẳng hạn, một kiểm soát viên bộ phận (divisional controller) trong một tập đoàn lớn trở thành kiểm soát viên của một bệnh viện quy mô vừa. Nhưng cũng ngày càng có nhiều người chuyển hẳn sang những lĩnh vực hoàn toàn khác: ví dụ như một giám đốc điều hành hay quan chức chính phủ ở tuổi 45 bước vào con đường tu sĩ; hay một quản lý cấp trung rời bỏ cuộc sống công ty sau 20 năm để theo học trường luật và trở thành luật sư ở một thị trấn nhỏ.</w:t>
      </w:r>
    </w:p>
    <w:p>
      <w:pPr>
        <w:pStyle w:val="Para 001"/>
      </w:pPr>
      <w:r>
        <w:t>Chúng ta sẽ thấy ngày càng nhiều người bắt đầu sự nghiệp thứ hai sau khi đạt được những thành công khiêm tốn trong công việc đầu tiên. Những người này có kỹ năng đáng kể và họ biết cách làm việc. Họ cần một cộng đồng — ngôi nhà trống vắng khi con cái đã rời đi — và họ cũng cần thu nhập. Nhưng trên hết, họ cần thử thách.</w:t>
      </w:r>
    </w:p>
    <w:p>
      <w:pPr>
        <w:pStyle w:val="Para 001"/>
      </w:pPr>
      <w:r>
        <w:t>Cách thứ hai để chuẩn bị cho nửa sau của cuộc đời là phát triển một sự nghiệp song song. Nhiều người rất thành công trong sự nghiệp đầu tiên vẫn tiếp tục công việc họ đang làm, có thể là toàn thời gian, bán thời gian hoặc làm tư vấn. Nhưng bên cạnh đó, họ tạo thêm một công việc song song, thường là trong một tổ chức phi lợi nhuận, cần thêm khoảng mười giờ mỗi tuần. Họ có thể đảm nhận việc quản lý nhà thờ của mình, chẳng hạn, hoặc làm chủ tịch hội đồng Nữ Hướng đạo địa phương. Họ có thể điều hành một mái ấm cho phụ nữ bị bạo hành, làm thủ thư thiếu nhi cho thư viện công cộng địa phương, ngồi trong hội đồng trường, v.v.</w:t>
      </w:r>
    </w:p>
    <w:p>
      <w:pPr>
        <w:pStyle w:val="Para 001"/>
      </w:pPr>
      <w:r>
        <w:t>Cuối cùng, có những doanh nhân xã hội (social entrepreneurs). Đây thường là những người đã rất thành công trong sự nghiệp đầu tiên. Họ yêu công việc của mình, nhưng nó không còn thách thức họ nữa. Trong nhiều trường hợp, họ vẫn tiếp tục làm những gì họ vẫn làm, nhưng dành ngày càng ít thời gian cho nó. Họ cũng bắt đầu một hoạt động khác, thường là phi lợi nhuận. Bạn tôi, Bob Buford, chẳng hạn, đã xây dựng một công ty truyền hình rất thành công mà anh ấy vẫn điều hành. Nhưng anh ấy cũng đã thành lập và xây dựng một tổ chức phi lợi nhuận thành công hoạt động với các nhà thờ Tin Lành, và anh ấy đang xây dựng một tổ chức khác để dạy các doanh nhân xã hội cách quản lý các dự án phi lợi nhuận của riêng họ trong khi vẫn điều hành các doanh nghiệp ban đầu của mình.</w:t>
      </w:r>
    </w:p>
    <w:p>
      <w:pPr>
        <w:pStyle w:val="Para 001"/>
      </w:pPr>
      <w:r>
        <w:t>Những người biết quản lý nửa sau cuộc đời có lẽ luôn là thiểu số. Đa số có thể 'nghỉ hưu ngay tại chỗ làm' và đếm từng năm cho đến khi nghỉ hưu thực sự. Nhưng chính thiểu số này, những người đàn ông và phụ nữ xem tuổi thọ làm việc dài là cơ hội cho cả bản thân và xã hội, sẽ trở thành những nhà lãnh đạo và hình mẫu.</w:t>
      </w:r>
    </w:p>
    <w:p>
      <w:pPr>
        <w:pStyle w:val="Para 001"/>
      </w:pPr>
      <w:r>
        <w:t>Có một điều kiện tiên quyết để quản lý nửa sau cuộc đời: Bạn phải bắt đầu từ rất lâu trước khi bước vào giai đoạn đó. Khi lần đầu tiên rõ ràng 30 năm trước rằng tuổi thọ làm việc đang kéo dài rất nhanh, nhiều nhà quan sát (bao gồm cả tôi) tin rằng những người về hưu sẽ ngày càng trở thành tình nguyện viên cho các tổ chức phi lợi nhuận. Điều đó đã không xảy ra. Nếu một người không bắt đầu làm tình nguyện trước tuổi 40 hoặc khoảng đó, thì sẽ không làm tình nguyện khi qua 60.</w:t>
      </w:r>
    </w:p>
    <w:p>
      <w:pPr>
        <w:pStyle w:val="Para 001"/>
      </w:pPr>
      <w:r>
        <w:t>Tương tự, tất cả các doanh nhân xã hội (social entrepreneurs) mà tôi biết đều bắt đầu làm việc trong lĩnh vực thứ hai mà họ chọn từ rất lâu trước khi đạt đến đỉnh cao trong sự nghiệp ban đầu. Hãy xem ví dụ về một luật sư thành đạt, cố vấn pháp lý cho một tập đoàn lớn, người đã khởi nghiệp để thành lập các trường học kiểu mẫu ở tiểu bang của mình. Ông bắt đầu làm công việc pháp lý tình nguyện cho các trường học khi khoảng 35 tuổi. Ông được bầu vào hội đồng trường năm 40 tuổi. Năm 50 tuổi, khi đã tích lũy được một khối tài sản, ông thành lập doanh nghiệp của riêng mình để xây dựng và điều hành các trường học kiểu mẫu. Tuy nhiên, ông vẫn làm việc gần như toàn thời gian với vai trò luật sư chính trong công ty mà ông đã giúp thành lập khi còn là luật sư trẻ.</w:t>
      </w:r>
    </w:p>
    <w:p>
      <w:pPr>
        <w:pStyle w:val="Para 001"/>
      </w:pPr>
      <w:r>
        <w:t>Có một lý do khác để phát triển một mối quan tâm lớn thứ hai, và phát triển nó sớm. Không ai có thể mong đợi sống lâu mà không gặp phải một thất bại nghiêm trọng trong cuộc sống hay công việc. Có những kỹ sư giỏi bị bỏ qua khi xét thăng chức ở tuổi 45. Có những nữ giáo sư đại học tài năng nhận ra ở tuổi 42 rằng cô ấy sẽ không bao giờ đạt được chức giáo sư tại một trường đại học lớn, dù cô ấy hoàn toàn đủ tiêu chuẩn. Có những bi kịch trong cuộc sống gia đình: hôn nhân tan vỡ hoặc mất đi một đứa con. Trong những thời điểm như vậy, một mối quan tâm lớn thứ hai—không chỉ là sở thích—có thể tạo ra sự khác biệt lớn. Ví dụ, người kỹ sư giờ đây biết rằng anh ta không thành công lắm trong công việc của mình. Nhưng trong hoạt động ngoài công việc—chẳng hạn như thủ quỹ nhà thờ—anh ta là một người thành đạt. Gia đình có thể tan vỡ, nhưng trong hoạt động ngoài công việc đó vẫn có một cộng đồng.</w:t>
      </w:r>
    </w:p>
    <w:p>
      <w:pPr>
        <w:pStyle w:val="Para 001"/>
      </w:pPr>
      <w:r>
        <w:t>Trong một xã hội mà thành công đã trở nên vô cùng quan trọng, việc có nhiều lựa chọn sẽ ngày càng trở nên thiết yếu. Trong lịch sử, không có khái niệm 'thành công' như vậy. Đại đa số mọi người không mong đợi gì ngoài việc ở yên trong 'vị trí thích hợp' của mình, như một lời cầu nguyện cổ của người Anh. Sự di chuyển duy nhất là sự di chuyển đi xuống.</w:t>
      </w:r>
    </w:p>
    <w:p>
      <w:pPr>
        <w:pStyle w:val="Para 001"/>
      </w:pPr>
      <w:r>
        <w:t xml:space="preserve">Tuy nhiên, trong một xã hội tri thức, chúng ta mong đợi mọi người đều thành công. Rõ ràng điều này là không thể. Đối với rất nhiều người, tốt nhất là không có thất bại. Ở đâu có thành công, ở đó có thất bại. Và khi đó, điều cực kỳ quan trọng đối với cá nhân, và cũng quan trọng không kém đối với gia đình của họ, là có một lĩnh vực mà họ có thể đóng góp, tạo ra sự khác biệt và là một người có giá</w:t>
      </w:r>
      <w:r>
        <w:rPr>
          <w:rStyle w:val="Text0"/>
        </w:rPr>
        <w:t> trị. Điều</w:t>
      </w:r>
      <w:r>
        <w:t> đó có nghĩa là tìm một lĩnh vực thứ hai—dù là sự nghiệp thứ hai, sự nghiệp song song, hay một dự án xã hội (social venture)—mang lại cơ hội được làm lãnh đạo, được tôn trọng và được thành công.</w:t>
      </w:r>
    </w:p>
    <w:p>
      <w:pPr>
        <w:pStyle w:val="Para 001"/>
      </w:pPr>
      <w:r>
        <w:t>Những thách thức của việc tự quản lý bản thân có vẻ hiển nhiên, nếu không muốn nói là sơ đẳng. Và các câu trả lời có vẻ hiển nhiên đến mức có vẻ ngây thơ. Nhưng việc tự quản lý bản thân đòi hỏi những điều mới mẻ và chưa từng có đối với mỗi cá nhân, đặc biệt là đối với nhân viên tri thức (knowledge worker). Thực tế, tự quản lý đòi hỏi mỗi nhân viên tri thức phải suy nghĩ và hành xử như một tổng giám đốc điều hành (chief executive officer). Hơn nữa, sự chuyển dịch từ những người lao động chân tay làm theo mệnh lệnh sang những nhân viên tri thức phải tự quản lý bản thân đang thách thức sâu sắc cấu trúc xã hội. Mọi xã hội hiện hữu, kể cả xã hội đề cao chủ nghĩa cá nhân nhất, đều coi hai điều là hiển nhiên, dù chỉ là trong tiềm thức: rằng các tổ chức tồn tại lâu hơn người lao động, và rằng hầu hết mọi người ở yên một chỗ.</w:t>
      </w:r>
    </w:p>
    <w:p>
      <w:pPr>
        <w:pStyle w:val="Para 001"/>
      </w:pPr>
      <w:r>
        <w:t>Nhưng ngày nay, điều ngược lại mới đúng. Nhân viên tri thức sống lâu hơn các tổ chức, và họ có tính cơ động. Do đó, nhu cầu tự quản lý bản thân đang tạo ra một cuộc cách mạng trong các vấn đề của con người.</w:t>
      </w:r>
    </w:p>
    <w:p>
      <w:bookmarkStart w:id="300" w:name="Top_of_04_Author_xhtml"/>
      <w:bookmarkStart w:id="301" w:name="ABOUT_THE_AUTHOR_Peter_F__Drucke"/>
      <w:pPr>
        <w:pStyle w:val="Heading 1"/>
        <w:pageBreakBefore w:val="on"/>
      </w:pPr>
      <w:r>
        <w:t>VỀ TÁC GIẢ</w:t>
      </w:r>
      <w:bookmarkEnd w:id="300"/>
      <w:bookmarkEnd w:id="301"/>
    </w:p>
    <w:p>
      <w:pPr>
        <w:pStyle w:val="Normal"/>
      </w:pPr>
      <w:r>
        <w:rPr>
          <w:rStyle w:val="Text0"/>
        </w:rPr>
        <w:t>Peter F. Drucker</w:t>
      </w:r>
      <w:r>
        <w:t xml:space="preserve"> là một nhà văn, nhà giáo và chuyên gia tư vấn. Ba mươi bốn cuốn sách của ông đã được xuất bản bằng hơn bảy mươi ngôn ngữ. Ông sáng lập Peter F. Drucker Foundation for Nonprofit Management, và từng tư vấn cho mười ba chính phủ, các tổ chức dịch vụ công và các tập đoàn lớn.</w:t>
      </w:r>
    </w:p>
    <w:p>
      <w:bookmarkStart w:id="302" w:name="Top_of_04_Author1_xhtml"/>
      <w:bookmarkStart w:id="303" w:name="ALSO_BY_THIS_AUTHOR_Harvard_Busi_2"/>
      <w:pPr>
        <w:pStyle w:val="Heading 1"/>
        <w:pageBreakBefore w:val="on"/>
      </w:pPr>
      <w:r>
        <w:t>CÁC TÁC PHẨM KHÁC CỦA TÁC GIẢ NÀY</w:t>
      </w:r>
      <w:bookmarkEnd w:id="302"/>
      <w:bookmarkEnd w:id="303"/>
    </w:p>
    <w:p>
      <w:pPr>
        <w:pStyle w:val="Para 117"/>
      </w:pPr>
      <w:r>
        <w:t>Sách của Harvard Business Press</w:t>
      </w:r>
    </w:p>
    <w:p>
      <w:pPr>
        <w:pStyle w:val="Para 193"/>
      </w:pPr>
      <w:r>
        <w:t>People and Performance: The Best of Peter Drucker on Management</w:t>
      </w:r>
    </w:p>
    <w:p>
      <w:pPr>
        <w:pStyle w:val="Para 145"/>
      </w:pPr>
      <w:r>
        <w:t>Classic Drucker: Essential Wisdom of Peter Drucker from the Pages of Harvard Business Review</w:t>
      </w:r>
    </w:p>
    <w:p>
      <w:pPr>
        <w:pStyle w:val="Para 145"/>
      </w:pPr>
      <w:r>
        <w:t>Peter Drucker on the Profession of Management. Tác</w:t>
        <w:br w:clear="none"/>
      </w:r>
      <w:r>
        <w:rPr>
          <w:rStyle w:val="Text0"/>
        </w:rPr>
        <w:t> giả: Peter F. Drucker; Biên tập: Nan Stone.</w:t>
      </w:r>
    </w:p>
    <w:p>
      <w:pPr>
        <w:pStyle w:val="Para 097"/>
      </w:pPr>
      <w:r>
        <w:t>CÁC BÀI VIẾT TRÊN HARVARD BUS</w:t>
      </w:r>
      <w:r>
        <w:rPr>
          <w:rStyle w:val="Text0"/>
        </w:rPr>
        <w:t xml:space="preserve">INESS REVIEW</w:t>
      </w:r>
    </w:p>
    <w:p>
      <w:pPr>
        <w:pStyle w:val="Para 044"/>
      </w:pPr>
      <w:r>
        <w:t>“The Coming of the New Organization”</w:t>
      </w:r>
    </w:p>
    <w:p>
      <w:pPr>
        <w:pStyle w:val="Para 044"/>
      </w:pPr>
      <w:r>
        <w:t>“The Discipline of Innovation”</w:t>
      </w:r>
    </w:p>
    <w:p>
      <w:pPr>
        <w:pStyle w:val="Para 044"/>
      </w:pPr>
      <w:r>
        <w:t>“The Effective Decision”</w:t>
      </w:r>
    </w:p>
    <w:p>
      <w:pPr>
        <w:pStyle w:val="Para 044"/>
      </w:pPr>
      <w:r>
        <w:t>“How to Make People Decisions”</w:t>
      </w:r>
    </w:p>
    <w:p>
      <w:pPr>
        <w:pStyle w:val="Para 044"/>
      </w:pPr>
      <w:r>
        <w:t>“Managing for Business Effectiveness”</w:t>
      </w:r>
    </w:p>
    <w:p>
      <w:pPr>
        <w:pStyle w:val="Para 044"/>
      </w:pPr>
      <w:r>
        <w:t>“New Templates for Today’s Organizations”</w:t>
      </w:r>
    </w:p>
    <w:p>
      <w:pPr>
        <w:pStyle w:val="Para 044"/>
      </w:pPr>
      <w:r>
        <w:t>“The Theory of the Business”</w:t>
      </w:r>
    </w:p>
    <w:p>
      <w:pPr>
        <w:pStyle w:val="Para 044"/>
      </w:pPr>
      <w:r>
        <w:t>“They’re Not Employees, They’re People”</w:t>
      </w:r>
    </w:p>
    <w:p>
      <w:pPr>
        <w:pStyle w:val="Para 044"/>
      </w:pPr>
      <w:r>
        <w:t>“What Makes an Effective Executive”</w:t>
      </w:r>
    </w:p>
    <w:p>
      <w:bookmarkStart w:id="304" w:name="Top_of_05_00_Cover_xhtml"/>
      <w:bookmarkStart w:id="305" w:name="sbo_rt_content_4"/>
      <w:bookmarkStart w:id="306" w:name="a05"/>
      <w:pPr>
        <w:pStyle w:val="Para 051"/>
        <w:pageBreakBefore w:val="on"/>
      </w:pPr>
      <w:r>
        <w:drawing>
          <wp:anchor distL="0" distR="0" distT="0" distB="0" simplePos="0" relativeHeight="1" behindDoc="0" locked="0" layoutInCell="1" allowOverlap="1">
            <wp:simplePos x="0" y="0"/>
            <wp:positionH relativeFrom="margin">
              <wp:align>left</wp:align>
            </wp:positionH>
            <wp:positionV relativeFrom="line">
              <wp:align>top</wp:align>
            </wp:positionV>
            <wp:extent cx="5486400" cy="8229600"/>
            <wp:effectExtent l="0" r="0" t="0" b="0"/>
            <wp:wrapTopAndBottom/>
            <wp:docPr id="5" name="5chap_cover.jpg" descr="cover"/>
            <wp:cNvGraphicFramePr>
              <a:graphicFrameLocks noChangeAspect="1"/>
            </wp:cNvGraphicFramePr>
            <a:graphic>
              <a:graphicData uri="http://schemas.openxmlformats.org/drawingml/2006/picture">
                <pic:pic>
                  <pic:nvPicPr>
                    <pic:cNvPr id="0" name="5chap_cover.jpg" descr="cover"/>
                    <pic:cNvPicPr/>
                  </pic:nvPicPr>
                  <pic:blipFill>
                    <a:blip r:embed="rId9"/>
                    <a:stretch>
                      <a:fillRect/>
                    </a:stretch>
                  </pic:blipFill>
                  <pic:spPr>
                    <a:xfrm>
                      <a:off x="0" y="0"/>
                      <a:ext cx="5486400" cy="8229600"/>
                    </a:xfrm>
                    <a:prstGeom prst="rect">
                      <a:avLst/>
                    </a:prstGeom>
                  </pic:spPr>
                </pic:pic>
              </a:graphicData>
            </a:graphic>
          </wp:anchor>
        </w:drawing>
      </w:r>
      <w:bookmarkEnd w:id="304"/>
      <w:bookmarkEnd w:id="305"/>
      <w:bookmarkEnd w:id="306"/>
    </w:p>
    <w:p>
      <w:bookmarkStart w:id="307" w:name="Top_of_05_02_Title_xhtml"/>
      <w:bookmarkStart w:id="308" w:name="Harvard_Business_Review_CLASSICS_3"/>
      <w:pPr>
        <w:pStyle w:val="Para 032"/>
        <w:pageBreakBefore w:val="on"/>
      </w:pPr>
      <w:r>
        <w:bookmarkStart w:id="309" w:name="page05_iii"/>
        <w:t/>
        <w:bookmarkEnd w:id="309"/>
        <w:t>Harvard Business Review</w:t>
      </w:r>
      <w:bookmarkEnd w:id="307"/>
      <w:bookmarkEnd w:id="308"/>
    </w:p>
    <w:p>
      <w:pPr>
        <w:pStyle w:val="Para 033"/>
      </w:pPr>
      <w:r>
        <w:t>KINH ĐIỂN</w:t>
      </w:r>
    </w:p>
    <w:p>
      <w:pPr>
        <w:pStyle w:val="Para 036"/>
      </w:pPr>
      <w:r>
        <w:t>LÝ THUYẾT VỀ KINH DOANH</w:t>
      </w:r>
    </w:p>
    <w:p>
      <w:pPr>
        <w:pStyle w:val="Para 026"/>
      </w:pPr>
      <w:r>
        <w:t>Peter F. Drucker</w:t>
      </w:r>
    </w:p>
    <w:p>
      <w:pPr>
        <w:pStyle w:val="Para 012"/>
      </w:pPr>
      <w:r>
        <w:t>Harvard Business Review Press</w:t>
      </w:r>
    </w:p>
    <w:p>
      <w:pPr>
        <w:pStyle w:val="Para 012"/>
      </w:pPr>
      <w:r>
        <w:t>Boston, Massachusetts</w:t>
      </w:r>
    </w:p>
    <w:p>
      <w:bookmarkStart w:id="310" w:name="Top_of_05_03_Copyright_xhtml"/>
      <w:bookmarkStart w:id="311" w:name="HBR_Press_Quantity_Sales_Discoun_2"/>
      <w:pPr>
        <w:pStyle w:val="Para 146"/>
        <w:pageBreakBefore w:val="on"/>
      </w:pPr>
      <w:r>
        <w:rPr>
          <w:rStyle w:val="Text1"/>
        </w:rPr>
        <w:bookmarkStart w:id="312" w:name="page05_iv"/>
        <w:t/>
        <w:bookmarkEnd w:id="312"/>
      </w:r>
      <w:r>
        <w:t>Chiết khấu số lượng của HBR Press</w:t>
      </w:r>
      <w:bookmarkEnd w:id="310"/>
      <w:bookmarkEnd w:id="311"/>
    </w:p>
    <w:p>
      <w:pPr>
        <w:pStyle w:val="Para 092"/>
      </w:pPr>
      <w:r>
        <w:t>Các đầu sách của Harvard Business Review Press được chiết khấu theo số lượng đáng kể khi mua với số lượng lớn để làm quà tặng cho khách hàng, quảng bá bán hàng và quà tặng kèm. Các ấn bản đặc biệt, bao gồm sách có logo công ty, bìa được thiết kế riêng, và thư của công ty hoặc CEO được in ở phần đầu sách, cũng như các trích đoạn của các sách hiện có, có thể được tạo ra với số lượng lớn cho các nhu cầu đặc biệt.</w:t>
      </w:r>
    </w:p>
    <w:p>
      <w:pPr>
        <w:pStyle w:val="Para 006"/>
      </w:pPr>
      <w:r>
        <w:t xml:space="preserve">Để biết thêm chi tiết và thông tin giảm giá cho cả bản in và bản ebook, vui lòng liên hệ</w:t>
      </w:r>
      <w:r>
        <w:rPr>
          <w:rStyle w:val="Text2"/>
        </w:rPr>
        <w:t> booksales@harvardbusiness.org, số điện</w:t>
      </w:r>
      <w:r>
        <w:t xml:space="preserve"> thoại 800-988-0886, hoặc truy</w:t>
      </w:r>
      <w:hyperlink r:id="rId32">
        <w:r>
          <w:rPr>
            <w:rStyle w:val="Text2"/>
          </w:rPr>
          <w:t> cập www.hbr.org/bulksale</w:t>
        </w:r>
      </w:hyperlink>
      <w:r>
        <w:t>s.</w:t>
      </w:r>
    </w:p>
    <w:p>
      <w:pPr>
        <w:pStyle w:val="Para 006"/>
      </w:pPr>
      <w:r>
        <w:t>Bản quyền 2017 Harvard Business School Publishing Corporation. Bài viết</w:t>
        <w:br w:clear="none"/>
        <w:t xml:space="preserve"> được xuất bản lần đầu trên</w:t>
      </w:r>
      <w:r>
        <w:rPr>
          <w:rStyle w:val="Text0"/>
        </w:rPr>
        <w:t> tạp chí Harvard Business</w:t>
      </w:r>
      <w:r>
        <w:t xml:space="preserve"> Review vào tháng 9–10 năm</w:t>
        <w:br w:clear="none"/>
        <w:t> 1994. Tái bản #94506.</w:t>
        <w:br w:clear="none"/>
        <w:t> Bảo lưu mọi quyền.</w:t>
      </w:r>
    </w:p>
    <w:p>
      <w:pPr>
        <w:pStyle w:val="Para 006"/>
      </w:pPr>
      <w:r>
        <w:t xml:space="preserve">Không một phần nào của ấn phẩm này được phép sao chép, lưu trữ hoặc đưa vào hệ thống truy xuất, hoặc truyền tải dưới bất kỳ hình thức nào hoặc bằng bất kỳ phương tiện nào (điện tử, cơ học, photocopy, ghi âm, hoặc cách khác) mà không có sự cho phép trước của nhà xuất bản. Yêu cầu xin phép nên được gửi đến</w:t>
      </w:r>
      <w:r>
        <w:rPr>
          <w:rStyle w:val="Text2"/>
        </w:rPr>
        <w:t> permissions@hbsp.harvard.edu,</w:t>
      </w:r>
      <w:r>
        <w:t> hoặc gửi thư tới Permissions, Harvard Business School Publishing, 60 Harvard Way, Boston, Massachusetts 02163.</w:t>
      </w:r>
    </w:p>
    <w:p>
      <w:pPr>
        <w:pStyle w:val="Para 006"/>
      </w:pPr>
      <w:r>
        <w:t>Các địa chỉ web được nhắc đến trong cuốn sách này đã hoạt động và chính xác tại thời điểm xuất bản nhưng có thể thay đổi.</w:t>
      </w:r>
    </w:p>
    <w:p>
      <w:pPr>
        <w:pStyle w:val="Para 006"/>
      </w:pPr>
      <w:r>
        <w:t>Dữ liệu biên mục trong xuất bản phẩm (Cataloging-in-Publication) sẽ được cung cấp sau.</w:t>
      </w:r>
    </w:p>
    <w:p>
      <w:pPr>
        <w:pStyle w:val="Para 006"/>
      </w:pPr>
      <w:r>
        <w:t>ISBN: 978-1-63369-252-7;</w:t>
        <w:br w:clear="none"/>
        <w:t> eISBN: 978-1-63369-253-4</w:t>
      </w:r>
    </w:p>
    <w:p>
      <w:bookmarkStart w:id="313" w:name="Top_of_05_04_series_xhtml"/>
      <w:bookmarkStart w:id="314" w:name="THE_HARVARD_BUSINESS_REVIEW_CLAS_4"/>
      <w:pPr>
        <w:pStyle w:val="Para 118"/>
        <w:pageBreakBefore w:val="on"/>
      </w:pPr>
      <w:r>
        <w:bookmarkStart w:id="315" w:name="page05_v"/>
        <w:t/>
        <w:bookmarkEnd w:id="315"/>
        <w:t xml:space="preserve">BỘ SÁCH KINH ĐIỂN HA</w:t>
        <w:br w:clear="none"/>
        <w:t>RVARD BUSINESS REVIEW</w:t>
      </w:r>
      <w:bookmarkEnd w:id="313"/>
      <w:bookmarkEnd w:id="314"/>
    </w:p>
    <w:p>
      <w:pPr>
        <w:pStyle w:val="Para 002"/>
      </w:pPr>
      <w:r>
        <w:t xml:space="preserve">Từ năm 1922,</w:t>
      </w:r>
      <w:r>
        <w:rPr>
          <w:rStyle w:val="Text0"/>
        </w:rPr>
        <w:t> Harvard Business Review đã là</w:t>
      </w:r>
      <w:r>
        <w:t xml:space="preserve"> nguồn cung cấp hàng đầu những ý tưởng đột phá trong thực tiễn quản lý – nhiều ý tưởng trong số đó vẫn còn nguyên giá trị và ảnh hưởng đến chúng ta ngày nay. Bộ sách HBR Classics hiện mang đến cho bạn cơ hội biến những tác phẩm nền tảng này thành một phần trong thư viện quản lý lâu dài của mình. Mỗi tập sách chứa đựng một ý tưởng mang tính cách mạng đã định hình các phương pháp thực hành tốt nhất và truyền cảm hứng cho vô số nhà quản lý trên khắp thế giới – và sẽ thay đổi cách bạn suy nghĩ về thế giới kinh doanh ngày nay.</w:t>
      </w:r>
    </w:p>
    <w:p>
      <w:bookmarkStart w:id="316" w:name="Not_in_a_very_long_time_not__per"/>
      <w:bookmarkStart w:id="317" w:name="Top_of_05_05_chapter_xhtml"/>
      <w:pPr>
        <w:pStyle w:val="Para 147"/>
        <w:pageBreakBefore w:val="on"/>
      </w:pPr>
      <w:r>
        <w:bookmarkStart w:id="318" w:name="page05_1"/>
        <w:t>Đã</w:t>
        <w:bookmarkEnd w:id="318"/>
        <w:t xml:space="preserve"> rất lâu rồi – có lẽ kể từ cuối những năm 1940 hoặc đầu những năm 1950 – mới có nhiều kỹ thuật quản lý lớn mới như hiện nay: tinh gọn (downsizing), thuê ngoài (outsourcing), quản lý chất lượng toàn diện, phân tích giá trị kinh tế, đối chuẩn (benchmarking), tái cấu trúc (reengineering). Mỗi kỹ thuật là một công cụ mạnh mẽ. Tuy nhiên, ngoại trừ thuê ngoài và tái cấu trúc, các công cụ này chủ yếu được thiết kế để thực hiện khác đi những</w:t>
        <w:bookmarkStart w:id="319" w:name="page05_2"/>
        <w:t> </w:t>
        <w:bookmarkEnd w:id="319"/>
        <w:t>gì đang được thực hiện. Chúng là những công cụ “làm như thế nào” (how to do).</w:t>
      </w:r>
      <w:bookmarkEnd w:id="316"/>
      <w:bookmarkEnd w:id="317"/>
    </w:p>
    <w:p>
      <w:pPr>
        <w:pStyle w:val="Para 002"/>
      </w:pPr>
      <w:r>
        <w:t>Tuy nhiên, “làm gì” (what to do) ngày càng trở thành thách thức trọng tâm mà ban lãnh đạo phải đối mặt, đặc biệt là ban lãnh đạo của các công ty lớn đã thành công lâu dài. Câu chuyện thật quen thuộc: một công ty từng là ngôi sao chỉ mới hôm qua nay lại rơi vào tình trạng trì trệ và chán nản, gặp rắc rối và thường xuyên rơi vào khủng hoảng tưởng chừng không thể kiểm soát. Hiện tượng này không chỉ xảy ra ở Hoa Kỳ. Nó đã trở nên phổ biến ở Nhật Bản và Đức, Hà Lan và Pháp, Ý và Thụy Điển. Và nó xảy ra thường xuyên không kém bên ngoài lĩnh vực kinh doanh – trong các công đoàn lao động, cơ quan chính phủ, bệnh viện, bảo tàng và nhà thờ. Trên thực tế, ở những lĩnh vực này, nó dường như còn khó giải quyết hơn.</w:t>
      </w:r>
    </w:p>
    <w:p>
      <w:pPr>
        <w:pStyle w:val="Para 002"/>
      </w:pPr>
      <w:r>
        <w:bookmarkStart w:id="320" w:name="page05_3"/>
        <w:t>Nguyên</w:t>
        <w:bookmarkEnd w:id="320"/>
        <w:t xml:space="preserve"> nhân gốc rễ của gần như mọi cuộc khủng hoảng này không phải là mọi việc được thực hiện kém. Thậm chí không phải là những việc sai đang được thực hiện. Thực tế, trong hầu hết các trường</w:t>
      </w:r>
      <w:r>
        <w:rPr>
          <w:rStyle w:val="Text0"/>
        </w:rPr>
        <w:t> hợp,</w:t>
      </w:r>
      <w:r>
        <w:t xml:space="preserve"> những việc đúng đang được làm – nhưng vô ích. Điều gì lý giải cho nghịch lý rõ ràng này? Những giả định mà tổ chức được xây dựng và vận hành dựa trên đó không còn phù hợp với thực tế. Đây là những giả định định hình hành vi của bất kỳ tổ chức nào, chi phối các quyết định về việc nên làm gì và không nên làm gì, và xác định điều mà tổ chức coi là kết quả có ý nghĩa. Những giả định này liên quan đến thị trường. Chúng liên quan đến việc xác định khách hàng và đối thủ cạnh tranh, giá trị và hành vi của họ. Chúng liên quan đến công nghệ và động lực của nó, về điểm mạnh và điểm yếu của công ty. Những giả định này là về những gì công ty được trả công cho.</w:t>
        <w:bookmarkStart w:id="321" w:name="page05_4"/>
        <w:t> </w:t>
        <w:bookmarkEnd w:id="321"/>
        <w:t xml:space="preserve">Chúng chính là thứ mà tôi gọi là lý thuyết kinh doanh (theory of the</w:t>
      </w:r>
      <w:r>
        <w:rPr>
          <w:rStyle w:val="Text0"/>
        </w:rPr>
        <w:t> business) của một công</w:t>
      </w:r>
      <w:r>
        <w:t> ty.</w:t>
      </w:r>
    </w:p>
    <w:p>
      <w:pPr>
        <w:pStyle w:val="Para 002"/>
      </w:pPr>
      <w:r>
        <w:t xml:space="preserve">Mọi tổ chức, dù là doanh nghiệp hay không, đều có một lý thuyết về doanh nghiệp (theory of the business). Thật vậy, một lý thuyết đúng đắn, rõ ràng, nhất quán và có trọng tâm sẽ có sức mạnh phi thường. Chẳng hạn, vào năm 1809, chính khách kiêm học giả người Đức Wilhelm von Humboldt đã thành lập Đại học Berlin dựa trên một lý thuyết hoàn toàn mới về trường đại học. Và trong hơn 100 năm, cho đến khi Hitler nổi lên, lý thuyết của ông đã định hình nền đại học Đức, đặc biệt là trong học thuật và nghiên cứu khoa học. Năm 1870, Georg Siemens, người thiết kế và là CEO đầu tiên của Deutsche Bank, ngân hàng đa năng đầu tiên, cũng có một lý thuyết kinh doanh rõ ràng tương tự: sử dụng tài chính khởi nghiệp (entrepreneurial finance) để thống nhất</w:t>
        <w:bookmarkStart w:id="322" w:name="page05_5"/>
        <w:t> </w:t>
        <w:bookmarkEnd w:id="322"/>
        <w:t>một nước Đức vẫn còn thuần nông và bị chia rẽ thông qua phát triển công nghiệp. Trong vòng 20 năm kể từ khi thành lập, Deutsche Bank đã trở thành tổ chức tài chính hàng đầu châu Âu, và vẫn giữ được vị thế đó cho đến ngày nay bất chấp hai cuộc thế chiến, lạm phát và Hitler. Và vào những năm 1870, Mitsubishi được thành lập dựa trên một lý thuyết kinh doanh rõ ràng và hoàn toàn mới, trong vòng 10 năm đã đưa nó trở thành nhà lãnh đạo tại một Nhật Bản đang trỗi dậy, và sau 20 năm nữa đưa nó trở thành một trong những doanh nghiệp đa quốc gia thực sự đầu tiên.</w:t>
      </w:r>
    </w:p>
    <w:p>
      <w:pPr>
        <w:pStyle w:val="Para 002"/>
      </w:pPr>
      <w:r>
        <w:t xml:space="preserve">Tương tự, lý thuyết về doanh nghiệp giải thích cả thành công của các công ty như General Motors và IBM, những công ty đã thống trị nền kinh tế Mỹ trong nửa sau thế kỷ XX, lẫn những thách thức mà họ phải đối mặt.</w:t>
        <w:bookmarkStart w:id="323" w:name="page05_6"/>
        <w:t> T</w:t>
        <w:bookmarkEnd w:id="323"/>
        <w:t>hực tế, điều nằm dưới tình trạng trì trệ hiện nay của rất nhiều tổ chức lớn và thành công trên toàn thế giới là lý thuyết kinh doanh của họ không còn hoạt động (tác dụng) nữa.</w:t>
      </w:r>
    </w:p>
    <w:p>
      <w:pPr>
        <w:pStyle w:val="Para 078"/>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68300" cy="0"/>
            <wp:effectExtent l="0" r="0" t="0" b="0"/>
            <wp:wrapTopAndBottom/>
            <wp:docPr id="6" name="5chap_line.jpg" descr="image"/>
            <wp:cNvGraphicFramePr>
              <a:graphicFrameLocks noChangeAspect="1"/>
            </wp:cNvGraphicFramePr>
            <a:graphic>
              <a:graphicData uri="http://schemas.openxmlformats.org/drawingml/2006/picture">
                <pic:pic>
                  <pic:nvPicPr>
                    <pic:cNvPr id="0" name="5chap_line.jpg" descr="image"/>
                    <pic:cNvPicPr/>
                  </pic:nvPicPr>
                  <pic:blipFill>
                    <a:blip r:embed="rId10"/>
                    <a:stretch>
                      <a:fillRect/>
                    </a:stretch>
                  </pic:blipFill>
                  <pic:spPr>
                    <a:xfrm>
                      <a:off x="0" y="0"/>
                      <a:ext cx="368300" cy="0"/>
                    </a:xfrm>
                    <a:prstGeom prst="rect">
                      <a:avLst/>
                    </a:prstGeom>
                  </pic:spPr>
                </pic:pic>
              </a:graphicData>
            </a:graphic>
          </wp:anchor>
        </w:drawing>
      </w:r>
    </w:p>
    <w:p>
      <w:pPr>
        <w:pStyle w:val="Para 002"/>
      </w:pPr>
      <w:r>
        <w:t>Bất cứ khi nào một tổ chức lớn gặp rắc rối – và đặc biệt nếu nó đã thành công trong nhiều năm – người ta thường đổ lỗi cho sự chậm chạp, tự mãn, kiêu ngạo, và bộ máy quan liêu khổng lồ. Một lời giải thích hợp lý chăng? Có. Nhưng hiếm khi là lời giải thích có liên quan hoặc đúng đắn. Hãy xem xét hai “bộ máy quan liêu kiêu ngạo” nổi bật nhất và bị chỉ trích nhiều nhất trong số các công ty Mỹ lớn gần đây đã gặp khó khăn.</w:t>
      </w:r>
    </w:p>
    <w:p>
      <w:pPr>
        <w:pStyle w:val="Para 002"/>
      </w:pPr>
      <w:r>
        <w:t xml:space="preserve">Ngay từ những ngày đầu của máy tính, tại IBM, người ta đã tin như một chân lý rằng máy tính</w:t>
        <w:bookmarkStart w:id="324" w:name="page05_7"/>
        <w:t> </w:t>
        <w:bookmarkEnd w:id="324"/>
        <w:t xml:space="preserve">sẽ đi theo con đường của điện. Tương lai, như IBM biết và có thể chứng minh bằng sự chặt chẽ khoa học, nằm ở trạm trung tâm, chiếc máy tính lớn (mainframe) ngày càng mạnh mẽ mà hàng loạt người dùng có thể kết nối vào. Mọi thứ – kinh tế, logic thông tin, công nghệ – đều dẫn đến kết luận đó. Nhưng rồi, đột nhiên, khi dường như một hệ thống thông tin dựa trên trạm trung tâm và máy tính lớn như vậy thực sự đang hình thành, hai chàng trai trẻ đã nghĩ ra chiếc máy tính cá nhân (PC) đầu tiên. Mọi nhà sản xuất máy tính đều biết PC là một điều phi lý. Nó không có bộ nhớ, cơ sở dữ liệu, tốc độ hoặc khả năng tính toán cần thiết để thành công. Thực tế, mọi nhà sản xuất máy tính đều biết PC chắc chắn sẽ thất bại – kết luận mà Xerox đã đạt được chỉ vài năm</w:t>
        <w:bookmarkStart w:id="325" w:name="page05_8"/>
        <w:t> </w:t>
        <w:bookmarkEnd w:id="325"/>
        <w:t>trước đó, khi đội ngũ nghiên cứu của họ đã thực sự chế tạo ra chiếc PC đầu tiên. Nhưng khi thứ quái thai bất hảo đó – đầu tiên là Apple, sau đó là Macintosh – xuất hiện trên thị trường, người ta không chỉ yêu thích nó, mà còn mua nó.</w:t>
      </w:r>
    </w:p>
    <w:p>
      <w:pPr>
        <w:pStyle w:val="Para 002"/>
      </w:pPr>
      <w:r>
        <w:t xml:space="preserve">Mọi công ty lớn và thành công trong suốt lịch sử, khi đối mặt với một bất ngờ như vậy, đều từ chối chấp nhận nó. “Đây là một trào lưu ngớ ngẩn và sẽ biến mất trong ba năm,” CEO của Zeiss đã nói khi nhìn thấy chiếc Kodak Brownie mới vào năm 1888, khi công ty Đức này thống trị thị trường nhiếp ảnh thế giới như IBM sẽ thống trị thị trường máy tính một thế kỷ sau đó. Hầu hết các nhà sản xuất máy tính lớn (mainframe) đều phản ứng theo cách tương tự. Danh sách rất dài: Control</w:t>
        <w:bookmarkStart w:id="326" w:name="page05_9"/>
        <w:t> Da</w:t>
        <w:bookmarkEnd w:id="326"/>
        <w:t xml:space="preserve">ta, Univac, Burroughs và NCR ở Mỹ; Siemens, Nixdorf, Machines Bull và ICL ở châu Âu; Hitachi và Fujitsu ở Nhật Bản. IBM, ông trùm máy tính lớn với doanh số bằng tất cả các nhà sản xuất máy tính khác cộng lại và lợi nhuận kỷ lục, lẽ ra cũng có thể phản ứng như vậy. Thực tế, nó đáng lẽ đã làm thế. Thay vào đó, IBM</w:t>
      </w:r>
      <w:r>
        <w:rPr>
          <w:rStyle w:val="Text0"/>
        </w:rPr>
        <w:t> ngay</w:t>
      </w:r>
      <w:r>
        <w:t xml:space="preserve"> lập tức chấp nhận PC như một thực tế mới. Gần như chỉ sau một đêm, nó gạt bỏ tất cả các chính sách, quy tắc và quy định đã được kiểm chứng và thử thách qua thời gian, và thành lập không chỉ một mà là hai đội cạnh tranh để thiết kế một chiếc PC thậm chí còn đơn giản hơn. Vài năm sau, IBM đã trở thành nhà sản xuất PC lớn nhất thế giới và là người đặt tiêu chuẩn cho ngành.</w:t>
      </w:r>
    </w:p>
    <w:p>
      <w:pPr>
        <w:pStyle w:val="Para 002"/>
      </w:pPr>
      <w:r>
        <w:t xml:space="preserve">Thành tích này hoàn toàn chưa từng có tiền lệ trong toàn bộ lịch sử kinh doanh; nó khó có</w:t>
        <w:bookmarkStart w:id="327" w:name="page05_10"/>
        <w:t> </w:t>
        <w:bookmarkEnd w:id="327"/>
        <w:t>thể biện minh cho sự quan liêu, chậm chạp hay kiêu ngạo. Tuy nhiên, dù có sự linh hoạt, nhanh nhẹn và khiêm tốn chưa từng thấy, IBM vẫn chao đảo vài năm sau đó trong cả lĩnh vực máy tính lớn lẫn PC. Nó đột nhiên không thể di chuyển, không thể hành động quyết đoán, không thể thay đổi.</w:t>
      </w:r>
    </w:p>
    <w:p>
      <w:pPr>
        <w:pStyle w:val="Para 002"/>
      </w:pPr>
      <w:r>
        <w:t xml:space="preserve">Trường hợp của GM cũng khó hiểu không kém. Vào đầu những năm 1980—chính những năm mà mảng kinh doanh chính của GM, ô tô du lịch, dường như gần như tê liệt—công ty đã mua lại hai doanh nghiệp lớn: Hughes Electronics và Electronic Data Systems của Ross Perot. Các nhà phân tích thường coi cả hai công ty đều đã trưởng thành và chê trách GM đã trả giá quá cao cho chúng. Thế nhưng, chỉ trong vài năm ngắn ngủi, GM đã tăng gấp ba</w:t>
        <w:bookmarkStart w:id="328" w:name="page05_11"/>
        <w:t> l</w:t>
        <w:bookmarkEnd w:id="328"/>
        <w:t>ần doanh thu và lợi nhuận của EDS vốn bị coi là đã trưởng thành. Và mười năm sau, vào năm 1994, EDS có giá trị thị trường gấp sáu lần số tiền GM đã bỏ ra và gấp mười lần doanh thu cũng như lợi nhuận ban đầu.</w:t>
      </w:r>
    </w:p>
    <w:p>
      <w:pPr>
        <w:pStyle w:val="Para 002"/>
      </w:pPr>
      <w:r>
        <w:t xml:space="preserve">Tương tự, GM mua lại Hughes Electronics—một công ty lớn nhưng không có lợi nhuận, chỉ hoạt động trong lĩnh vực quốc phòng—ngay trước khi ngành công nghiệp quốc phòng sụp đổ. Dưới sự quản lý của GM, Hughes thực sự đã tăng lợi nhuận quốc phòng và trở thành nhà thầu quốc phòng lớn duy nhất chuyển đổi thành công sang lĩnh vực phi quốc phòng quy mô lớn. Đáng chú ý, chính những 'kế toán viên' (bean counters) vốn rất kém hiệu quả trong kinh doanh ô tô—những người làm 30 năm tại GM, chưa từng làm cho công ty nào khác, cũng như chưa từng làm</w:t>
        <w:bookmarkStart w:id="329" w:name="page05_12"/>
        <w:t> </w:t>
        <w:bookmarkEnd w:id="329"/>
        <w:t>ngoài bộ phận tài chính và kế toán—lại là những người đạt được những kết quả đáng kinh ngạc đó. Và trong hai thương vụ mua lại, họ chỉ đơn giản áp dụng các chính sách, thông lệ và quy trình mà GM đã sử dụng.</w:t>
      </w:r>
    </w:p>
    <w:p>
      <w:pPr>
        <w:pStyle w:val="Para 002"/>
      </w:pPr>
      <w:r>
        <w:t xml:space="preserve">Câu chuyện này chẳng có gì xa lạ với GM. Kể từ khi công ty được thành lập trong một loạt vụ mua lại cách đây 80 năm, một trong những năng lực cốt lõi của họ là “trả giá cao” cho những doanh nghiệp hoạt động tốt nhưng đã trưởng thành—như đã làm với Buick, AC Spark Plug và Fisher Body trong những năm đầu—rồi biến chúng thành những nhà vô địch đẳng cấp thế giới. Rất ít công ty có thể sánh được với GM trong việc thực hiện các thương vụ mua lại thành công, và chắc chắn GM không đạt được những kỳ tích đó nhờ sự quan liêu, chậm chạp hay kiêu</w:t>
        <w:bookmarkStart w:id="330" w:name="page05_13"/>
        <w:t> </w:t>
        <w:bookmarkEnd w:id="330"/>
        <w:t>ngạo. Thế nhưng, điều đã vận hành một cách tuyệt đẹp ở những doanh nghiệp mà GM chẳng hiểu gì lại thất bại thảm hại ngay tại chính GM.</w:t>
      </w:r>
    </w:p>
    <w:p>
      <w:pPr>
        <w:pStyle w:val="Para 078"/>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68300" cy="0"/>
            <wp:effectExtent l="0" r="0" t="0" b="0"/>
            <wp:wrapTopAndBottom/>
            <wp:docPr id="7" name="5chap_line.jpg" descr="image"/>
            <wp:cNvGraphicFramePr>
              <a:graphicFrameLocks noChangeAspect="1"/>
            </wp:cNvGraphicFramePr>
            <a:graphic>
              <a:graphicData uri="http://schemas.openxmlformats.org/drawingml/2006/picture">
                <pic:pic>
                  <pic:nvPicPr>
                    <pic:cNvPr id="0" name="5chap_line.jpg" descr="image"/>
                    <pic:cNvPicPr/>
                  </pic:nvPicPr>
                  <pic:blipFill>
                    <a:blip r:embed="rId10"/>
                    <a:stretch>
                      <a:fillRect/>
                    </a:stretch>
                  </pic:blipFill>
                  <pic:spPr>
                    <a:xfrm>
                      <a:off x="0" y="0"/>
                      <a:ext cx="368300" cy="0"/>
                    </a:xfrm>
                    <a:prstGeom prst="rect">
                      <a:avLst/>
                    </a:prstGeom>
                  </pic:spPr>
                </pic:pic>
              </a:graphicData>
            </a:graphic>
          </wp:anchor>
        </w:drawing>
      </w:r>
    </w:p>
    <w:p>
      <w:pPr>
        <w:pStyle w:val="Para 002"/>
      </w:pPr>
      <w:r>
        <w:t>Điều gì có thể giải thích cho việc tại cả IBM lẫn GM, những chính sách, thông lệ và hành vi đã phát huy hiệu quả trong nhiều thập kỷ—và trong trường hợp của GM, vẫn còn phát huy tác dụng khi áp dụng vào điều gì đó mới mẻ và khác biệt—lại không còn hiệu quả với chính tổ chức đã tạo ra chúng và vì chúng mà tồn tại? Thực tế mà mỗi tổ chức đang đối mặt đã thay đổi chóng mặt so với những gì mỗi tổ chức vẫn nghĩ rằng mình đang sống cùng. Nói cách khác, thực tế đã thay đổi, nhưng lý thuyết kinh doanh lại không thay đổi theo.</w:t>
      </w:r>
    </w:p>
    <w:p>
      <w:pPr>
        <w:pStyle w:val="Para 002"/>
      </w:pPr>
      <w:r>
        <w:bookmarkStart w:id="331" w:name="page05_14"/>
        <w:t>Trước</w:t>
        <w:bookmarkEnd w:id="331"/>
        <w:t xml:space="preserve"> khi có phản ứng nhanh nhạy với thực tế mới của PC, IBM đã từng một lần xoay chuyển chiến lược cơ bản của mình chỉ trong một đêm. Vào năm 1950, Univac, khi đó là công ty máy tính hàng đầu thế giới, đã trình làng nguyên mẫu của chiếc máy đầu tiên được thiết kế như một máy tính đa năng. Tất cả các thiết kế trước đó đều chỉ dành cho những chiếc máy đơn năng. Hai chiếc máy tính trước đó của chính IBM, được chế tạo lần lượt vào cuối những năm 1930 và 1946, chỉ thực hiện các phép tính thiên văn. Và chiếc máy IBM đang vẽ trên bàn thiết kế vào năm 1950, dành cho hệ thống phòng không SAGE ở vùng Bắc Cực thuộc Canada, chỉ có một mục đích duy nhất: phát hiện sớm máy bay địch. IBM ngay lập tức vứt bỏ chiến lược phát triển các máy đơn năng tiên tiến; họ đưa những kỹ</w:t>
        <w:bookmarkStart w:id="332" w:name="page05_15"/>
        <w:t> </w:t>
        <w:bookmarkEnd w:id="332"/>
        <w:t xml:space="preserve">sư giỏi nhất của mình vào hoàn thiện kiến trúc Univac và từ đó thiết kế chiếc máy tính đa năng đầu tiên có thể được sản xuất hàng loạt (thay vì làm thủ công) và bảo trì. Ba năm sau, IBM đã trở thành nhà sản xuất máy tính thống trị thế giới và là người dẫn đầu về tiêu chuẩn. IBM không tạo ra chiếc máy tính. Nhưng vào năm 1950, chính sự linh hoạt, tốc độ và sự khiêm tốn của họ đã tạo ra ngành công nghiệp</w:t>
      </w:r>
      <w:r>
        <w:rPr>
          <w:rStyle w:val="Text0"/>
        </w:rPr>
        <w:t> máy</w:t>
      </w:r>
      <w:r>
        <w:t> tính.</w:t>
      </w:r>
    </w:p>
    <w:p>
      <w:pPr>
        <w:pStyle w:val="Para 002"/>
      </w:pPr>
      <w:r>
        <w:t xml:space="preserve">Tuy nhiên, chính những giả định đã giúp IBM chiến thắng vào năm 1950 lại trở thành thứ khiến họ sụp đổ 30 năm sau. Vào những năm 1970, IBM vẫn cho rằng có một thứ gọi là “máy tính”, giống như họ đã từng tin vào những năm 1950. Nhưng sự xuất hiện của PC đã khiến giả định đó mất đi giá trị. Trên thực tế, máy tính lớn (mainframe) và PC không phải là một thực thể</w:t>
        <w:bookmarkStart w:id="333" w:name="page05_16"/>
        <w:t> </w:t>
        <w:bookmarkEnd w:id="333"/>
        <w:t xml:space="preserve">giống nhau hơn so với trạm phát điện và máy nướng bánh mì điện. Loại sau, dù khác biệt, lại phụ thuộc lẫn nhau và bổ sung cho nhau. Ngược lại, máy tính lớn và PC chủ yếu là những đối thủ của nhau. Và ngay trong định nghĩa cơ bản</w:t>
      </w:r>
      <w:r>
        <w:rPr>
          <w:rStyle w:val="Text0"/>
        </w:rPr>
        <w:t> về thông tin,</w:t>
      </w:r>
      <w:r>
        <w:t> chúng thực sự mâu thuẫn nhau: với máy tính lớn, thông tin có nghĩa là bộ nhớ; còn với PC không có não, nó có nghĩa là phần mềm. Xây dựng trạm phát điện và sản xuất máy nướng bánh mì phải được vận hành như những doanh nghiệp riêng biệt, nhưng chúng có thể thuộc sở hữu của cùng một tập đoàn, như General Electric đã làm trong nhiều thập kỷ. Ngược lại, máy tính lớn và PC có lẽ không thể cùng tồn tại trong cùng một tập đoàn.</w:t>
      </w:r>
    </w:p>
    <w:p>
      <w:pPr>
        <w:pStyle w:val="Para 002"/>
      </w:pPr>
      <w:r>
        <w:t xml:space="preserve">IBM đã cố gắng kết hợp cả hai. Nhưng vì PC là mảng tăng trưởng nhanh nhất,</w:t>
        <w:bookmarkStart w:id="334" w:name="page05_17"/>
        <w:t> I</w:t>
        <w:bookmarkEnd w:id="334"/>
        <w:t>BM không thể xếp nó vào thế thứ yếu so với mảng mainframe. Do đó, công ty không thể tối ưu hóa mảng mainframe. Và vì mainframe vẫn là nguồn thu chủ lực (cash cow), IBM cũng không thể tối ưu hóa mảng PC. Cuối cùng, giả định rằng máy tính là máy tính—hay nói một cách thực tế hơn, rằng ngành công nghiệp này được dẫn dắt bởi phần cứng—đã làm tê liệt IBM.</w:t>
      </w:r>
    </w:p>
    <w:p>
      <w:pPr>
        <w:pStyle w:val="Para 002"/>
      </w:pPr>
      <w:r>
        <w:t xml:space="preserve">GM có một lý thuyết kinh doanh thậm chí còn mạnh mẽ và thành công hơn cả IBM, một lý thuyết đã giúp GM trở thành tổ chức sản xuất lớn nhất và sinh lời nhiều nhất thế giới. Công ty đã không một lần vấp ngã trong 70 năm—một kỷ lục chưa từng có trong lịch sử kinh doanh. Lý thuyết của GM kết hợp trong một mạng lưới liền mạch các giả định về thị trường</w:t>
        <w:bookmarkStart w:id="335" w:name="page05_18"/>
        <w:t> </w:t>
        <w:bookmarkEnd w:id="335"/>
        <w:t>và khách hàng với các giả định về năng lực cốt lõi (core competencies) và cơ cấu tổ chức.</w:t>
      </w:r>
    </w:p>
    <w:p>
      <w:pPr>
        <w:pStyle w:val="Para 002"/>
      </w:pPr>
      <w:r>
        <w:t>Kể từ đầu những năm 1920, GM giả định rằng thị trường ô tô Mỹ đồng nhất về giá trị và được phân chia thành các phân khúc thu nhập cực kỳ ổn định. Giá trị bán lại của một chiếc xe cũ "tốt" là biến số độc lập duy nhất nằm trong tầm kiểm soát của ban quản lý. Giá trị đổi xe (trade-in) cao cho phép khách hàng nâng cấp chiếc xe mới của họ lên phân khúc tiếp theo—nói cách khác, lên những chiếc xe có biên lợi nhuận cao hơn. Theo lý thuyết này, việc thay đổi mẫu mã thường xuyên hoặc căn bản chỉ có thể làm giảm giá trị đổi xe.</w:t>
      </w:r>
    </w:p>
    <w:p>
      <w:pPr>
        <w:pStyle w:val="Para 002"/>
      </w:pPr>
      <w:r>
        <w:t xml:space="preserve">Về nội bộ, những giả định thị trường này song hành với các giả định về cách tổ chức sản xuất để đạt được thị phần lớn</w:t>
        <w:bookmarkStart w:id="336" w:name="page05_19"/>
        <w:t> </w:t>
        <w:bookmarkEnd w:id="336"/>
        <w:t>nhất và lợi nhuận cao nhất. Trong trường hợp của GM, câu trả lời là sản xuất hàng loạt với số lượng lớn và thay đổi tối thiểu mỗi năm mẫu, nhờ đó tạo ra số lượng xe đồng nhất hàng năm lớn nhất thị trường với chi phí cố định thấp nhất cho mỗi chiếc xe.</w:t>
      </w:r>
    </w:p>
    <w:p>
      <w:pPr>
        <w:pStyle w:val="Para 002"/>
      </w:pPr>
      <w:r>
        <w:t>Sau đó, ban quản lý GM đã chuyển những giả định về thị trường và sản xuất này thành một cơ cấu các bộ phận bán tự trị (semiautonomous divisions), mỗi bộ phận tập trung vào một phân khúc thu nhập và được thiết kế sao cho mẫu xe đắt nhất của bộ phận này chồng lấn với mẫu xe rẻ nhất của bộ phận kế tiếp, gần như buộc khách hàng phải nâng cấp lên phân khúc cao hơn, miễn là giá xe cũ vẫn cao.</w:t>
      </w:r>
    </w:p>
    <w:p>
      <w:pPr>
        <w:pStyle w:val="Para 002"/>
      </w:pPr>
      <w:r>
        <w:t xml:space="preserve">Trong suốt 70 năm, lý thuyết này đã vận hành một cách hoàn hảo. Ngay cả giữa thời kỳ Đại suy thoái trầm</w:t>
        <w:bookmarkStart w:id="337" w:name="page05_20"/>
        <w:t> </w:t>
        <w:bookmarkEnd w:id="337"/>
        <w:t>trọng, GM chưa bao giờ thua lỗ trong khi vẫn kiên trì giành thị phần. Nhưng vào cuối những năm 1970, các giả định của họ về thị trường và sản xuất đã trở nên vô hiệu. Thị trường đang chia nhỏ thành các phân khúc "lối sống" (lifestyle) đầy biến động. Thu nhập trở thành một trong nhiều yếu tố trong quyết định mua sắm, không còn là yếu tố duy nhất. Cùng lúc đó, sản xuất tinh gọn (lean manufacturing) đã tạo ra nền kinh tế theo quy mô nhỏ. Nó làm cho các đợt sản xuất ngắn và các biến thể mẫu mã trở nên ít tốn kém hơn và nhiều lợi nhuận hơn so với sản xuất khối lượng lớn các sản phẩm đồng nhất.</w:t>
      </w:r>
    </w:p>
    <w:p>
      <w:pPr>
        <w:pStyle w:val="Para 002"/>
      </w:pPr>
      <w:r>
        <w:t xml:space="preserve">GM biết tất cả những điều này nhưng đơn giản là không thể tin được. (Công đoàn của GM vẫn không tin.) Thay vào đó, công ty đã cố gắng vá víu. Công ty duy trì các bộ phận hiện có dựa trên phân khúc thu nhập, nhưng mỗi bộ phận giờ đây cung cấp một “chiếc xe cho mọi túi tiền”. Công</w:t>
        <w:bookmarkStart w:id="338" w:name="page05_21"/>
        <w:t> </w:t>
        <w:bookmarkEnd w:id="338"/>
        <w:t xml:space="preserve">ty cố gắng cạnh tranh với lợi thế kinh tế của quy mô nhỏ trong sản xuất tinh gọn (lean manufacturing) bằng cách tự động hóa sản xuất hàng loạt quy mô lớn, thời gian dài (mất khoảng 30 tỷ đô la trong quá trình đó). Trái với niềm tin phổ biến, GM đã vá víu bằng năng lượng phi thường, làm việc chăm chỉ và đầu tư rất nhiều thời gian và tiền bạc. Nhưng việc vá víu chỉ khiến khách hàng, đại lý, cũng như nhân viên và ban quản lý của chính GM trở nên bối rối. Trong khi đó, GM lại bỏ bê thị</w:t>
      </w:r>
      <w:r>
        <w:rPr>
          <w:rStyle w:val="Text0"/>
        </w:rPr>
        <w:t> tr</w:t>
      </w:r>
      <w:r>
        <w:t xml:space="preserve">ường tăng trưởng thực sự của mình, nơi họ có vị thế dẫn đầu và gần như không thể bị đánh bại: xe tải nhẹ và xe minivan.</w:t>
      </w:r>
    </w:p>
    <w:p>
      <w:pPr>
        <w:pStyle w:val="Para 078"/>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68300" cy="0"/>
            <wp:effectExtent l="0" r="0" t="0" b="0"/>
            <wp:wrapTopAndBottom/>
            <wp:docPr id="8" name="5chap_line.jpg" descr="image"/>
            <wp:cNvGraphicFramePr>
              <a:graphicFrameLocks noChangeAspect="1"/>
            </wp:cNvGraphicFramePr>
            <a:graphic>
              <a:graphicData uri="http://schemas.openxmlformats.org/drawingml/2006/picture">
                <pic:pic>
                  <pic:nvPicPr>
                    <pic:cNvPr id="0" name="5chap_line.jpg" descr="image"/>
                    <pic:cNvPicPr/>
                  </pic:nvPicPr>
                  <pic:blipFill>
                    <a:blip r:embed="rId10"/>
                    <a:stretch>
                      <a:fillRect/>
                    </a:stretch>
                  </pic:blipFill>
                  <pic:spPr>
                    <a:xfrm>
                      <a:off x="0" y="0"/>
                      <a:ext cx="368300" cy="0"/>
                    </a:xfrm>
                    <a:prstGeom prst="rect">
                      <a:avLst/>
                    </a:prstGeom>
                  </pic:spPr>
                </pic:pic>
              </a:graphicData>
            </a:graphic>
          </wp:anchor>
        </w:drawing>
      </w:r>
    </w:p>
    <w:p>
      <w:pPr>
        <w:pStyle w:val="Para 002"/>
      </w:pPr>
      <w:r>
        <w:t xml:space="preserve">Lý thuyết về doanh nghiệp có ba phần. Đầu tiên, có những giả định về môi trường</w:t>
        <w:bookmarkStart w:id="339" w:name="page05_22"/>
        <w:t> </w:t>
        <w:bookmarkEnd w:id="339"/>
        <w:t>của tổ chức: xã hội và cấu trúc của nó, thị trường, khách hàng và công nghệ.</w:t>
      </w:r>
    </w:p>
    <w:p>
      <w:pPr>
        <w:pStyle w:val="Para 002"/>
      </w:pPr>
      <w:r>
        <w:t xml:space="preserve">Thứ hai, có những giả định về sứ mệnh cụ thể của tổ chức. Sears, Roebuck and Company, trong những năm trong và sau Thế chiến thứ nhất, xác định sứ mệnh của mình là người mua sắm hiểu biết cho gia đình Mỹ. Một thập kỷ sau, Marks and Spencer ở Anh xác định sứ mệnh của mình là tác nhân thay đổi (change agent) trong xã hội Anh bằng cách trở thành nhà bán lẻ không phân biệt giai cấp đầu tiên. AT&amp;T, cũng trong những năm trong và ngay sau Thế chiến thứ nhất, xác định vai trò của mình là đảm bảo mọi gia đình và doanh nghiệp Hoa Kỳ đều có thể tiếp cận điện thoại. Sứ mệnh của tổ chức không nhất thiết phải quá tham vọng. GM đã hình dung một vai trò khiêm</w:t>
        <w:bookmarkStart w:id="340" w:name="page05_23"/>
        <w:t> t</w:t>
        <w:bookmarkEnd w:id="340"/>
        <w:t>ốn hơn nhiều—là người dẫn đầu trong “thiết bị vận chuyển cơ giới trên mặt đất”, theo lời của Alfred P. Sloan, Jr.</w:t>
      </w:r>
    </w:p>
    <w:p>
      <w:pPr>
        <w:pStyle w:val="Para 002"/>
      </w:pPr>
      <w:r>
        <w:t>Thứ ba, có những giả định về năng lực cốt lõi (core competencies) cần thiết để hoàn thành sứ mệnh của tổ chức. Ví dụ, West Point, thành lập năm 1802, xác định năng lực cốt lõi của mình là khả năng đào tạo ra những nhà lãnh đạo xứng đáng được tin tưởng. Marks and Spencer, khoảng năm 1930, xác định năng lực cốt lõi của mình là khả năng nhận diện, thiết kế và phát triển các mặt hàng họ bán, thay vì khả năng mua. AT&amp;T, khoảng năm 1920, xác định năng lực cốt lõi của mình là khả năng dẫn đầu về kỹ thuật, cho phép công ty liên tục cải thiện dịch vụ trong khi vẫn đều đặn giảm giá.</w:t>
      </w:r>
    </w:p>
    <w:p>
      <w:pPr>
        <w:pStyle w:val="Para 002"/>
      </w:pPr>
      <w:r>
        <w:bookmarkStart w:id="341" w:name="page05_24"/>
        <w:t>Các</w:t>
        <w:bookmarkEnd w:id="341"/>
        <w:t> giả định về môi trường xác định tổ chức được trả công cho việc gì. Các giả định về sứ mệnh xác định kết quả nào mà tổ chức coi là có ý nghĩa; nói cách khác, chúng chỉ ra cách tổ chức hình dung mình sẽ tạo ra sự khác biệt trong nền kinh tế và trong xã hội nói chung. Cuối cùng, các giả định về năng lực cốt lõi (core competencies) xác định tổ chức phải vượt trội ở đâu để duy trì vị thế lãnh đạo.</w:t>
      </w:r>
    </w:p>
    <w:p>
      <w:pPr>
        <w:pStyle w:val="Para 002"/>
      </w:pPr>
      <w:r>
        <w:t>Tất nhiên, tất cả những điều này nghe có vẻ đơn giản một cách dễ đánh lừa. Thường phải mất nhiều năm làm việc chăm chỉ, suy nghĩ và thử nghiệm để đạt được một lý thuyết kinh doanh rõ ràng, nhất quán và đúng đắn. Nhưng để thành công, mỗi tổ chức đều phải tự xây dựng cho mình một lý thuyết như thế.</w:t>
      </w:r>
    </w:p>
    <w:p>
      <w:pPr>
        <w:pStyle w:val="Para 002"/>
      </w:pPr>
      <w:r>
        <w:bookmarkStart w:id="342" w:name="page05_25"/>
        <w:t>Một</w:t>
        <w:bookmarkEnd w:id="342"/>
        <w:t> lý thuyết kinh doanh đúng đắn cần đáp ứng những tiêu chí cụ thể nào? Có bốn tiêu chí.</w:t>
      </w:r>
    </w:p>
    <w:p>
      <w:pPr>
        <w:numPr>
          <w:ilvl w:val="0"/>
          <w:numId w:val="4"/>
        </w:numPr>
        <w:pStyle w:val="Para 098"/>
      </w:pPr>
      <w:r>
        <w:rPr>
          <w:rStyle w:val="Text0"/>
        </w:rPr>
        <w:t>Các giả định về môi trường, sứ mệnh và năng lực cốt lõi phải phù hợp với thực tế. Khi bốn</w:t>
      </w:r>
      <w:r>
        <w:t xml:space="preserve"> chàng trai trẻ không một xu dính túi từ Manchester, Anh—Simon Marks và ba anh em rể—quyết định vào đầu những năm 1920 rằng một khu chợ bán đồng xu buồn tẻ (penny bazaar) nên trở thành tác nhân của sự thay đổi xã hội, Thế chiến thứ nhất đã làm rung chuyển sâu sắc cấu trúc giai cấp của đất nước họ. Chiến tranh cũng đã tạo ra vô số khách hàng mới cho những mặt hàng chất lượng tốt, thời trang nhưng giá rẻ như đồ lót, áo cánh và</w:t>
        <w:bookmarkStart w:id="343" w:name="page05_26"/>
        <w:t> tất</w:t>
        <w:bookmarkEnd w:id="343"/>
        <w:t xml:space="preserve">—những danh mục sản phẩm đầu tiên thành công của Marks and Spencer. Sau đó, Marks and Spencer bắt tay một cách có hệ thống vào việc phát triển những năng lực cốt lõi hoàn toàn mới và chưa từng có. Trước đó, năng lực cốt lõi của một nhà buôn là khả năng mua được hàng tốt. Marks and Spencer quyết định rằng chính nhà buôn, chứ không phải nhà sản xuất, mới là người hiểu khách hàng. Vì vậy, nhà buôn, không phải nhà sản xuất, nên thiết kế sản phẩm, phát triển chúng, và tìm nhà sản xuất để làm ra hàng hóa theo thiết kế, thông số kỹ thuật và chi phí của mình. Định nghĩa mới về nhà buôn này mất từ năm đến tám năm để phát triển và khiến các</w:t>
        <w:bookmarkStart w:id="344" w:name="page05_27"/>
        <w:t> n</w:t>
        <w:bookmarkEnd w:id="344"/>
        <w:t>hà cung cấp truyền thống chấp nhận, vốn luôn coi mình là 'nhà sản xuất', chứ không phải 'nhà thầu phụ'.</w:t>
      </w:r>
    </w:p>
    <w:p>
      <w:pPr>
        <w:numPr>
          <w:ilvl w:val="0"/>
          <w:numId w:val="4"/>
        </w:numPr>
        <w:pStyle w:val="Para 098"/>
      </w:pPr>
      <w:r>
        <w:rPr>
          <w:rStyle w:val="Text0"/>
        </w:rPr>
        <w:t>Các giả định trong cả ba lĩnh vực phải phù hợp với nhau.</w:t>
      </w:r>
      <w:r>
        <w:t xml:space="preserve"> Đây có lẽ là điểm mạnh lớn nhất của GM trong nhiều thập kỷ thống trị của nó. Các giả định của họ về thị trường và về quy trình sản xuất tối ưu hoàn toàn khớp với nhau. Vào giữa những năm 1920, GM quyết định rằng họ cũng cần những năng lực cốt lõi mới và chưa từng có: kiểm soát tài chính quy trình sản xuất và một lý thuyết về phân bổ vốn. Kết quả là, GM đã phát minh ra kế toán chi phí hiện</w:t>
        <w:bookmarkStart w:id="345" w:name="page05_28"/>
        <w:t> </w:t>
        <w:bookmarkEnd w:id="345"/>
        <w:t>đại và quy trình phân bổ vốn hợp lý đầu tiên.</w:t>
      </w:r>
    </w:p>
    <w:p>
      <w:pPr>
        <w:numPr>
          <w:ilvl w:val="0"/>
          <w:numId w:val="4"/>
        </w:numPr>
        <w:pStyle w:val="Para 098"/>
      </w:pPr>
      <w:r>
        <w:rPr>
          <w:rStyle w:val="Text0"/>
        </w:rPr>
        <w:t>Lý thuyết kinh doanh phải được mọi người trong tổ chức biết đến và hiểu rõ. Điều</w:t>
      </w:r>
      <w:r>
        <w:t xml:space="preserve"> này dễ dàng trong những ngày đầu của một tổ chức. Nhưng khi tổ chức ngày càng thành công, họ có xu hướng coi lý thuyết của mình là điều hiển nhiên, ngày càng ít ý thức về nó. Khi đó, tổ chức trở nên cẩu thả. Họ bắt đầu làm việc qua loa. Họ bắt đầu theo đuổi những gì tiện lợi hơn là những gì đúng đắn. Họ ngừng suy nghĩ. Họ ngừng đặt câu hỏi. Họ nhớ các câu trả lời nhưng đã quên mất các câu hỏi. Lý thuyết kinh</w:t>
        <w:bookmarkStart w:id="346" w:name="page05_29"/>
        <w:t> </w:t>
        <w:bookmarkEnd w:id="346"/>
        <w:t>doanh trở thành 'văn hóa'. Nhưng văn hóa không thể thay thế kỷ luật, và lý thuyết kinh doanh chính là một môn kỷ luật.</w:t>
      </w:r>
    </w:p>
    <w:p>
      <w:pPr>
        <w:numPr>
          <w:ilvl w:val="0"/>
          <w:numId w:val="4"/>
        </w:numPr>
        <w:pStyle w:val="Para 098"/>
      </w:pPr>
      <w:r>
        <w:rPr>
          <w:rStyle w:val="Text0"/>
        </w:rPr>
        <w:t>Lý thuyết kinh doanh phải được kiểm chứng liên tục.</w:t>
      </w:r>
      <w:r>
        <w:t xml:space="preserve"> Nó không phải là thứ được khắc trên bia đá. Nó là một giả thuyết. Và là giả thuyết về những điều đang biến đổi không ngừng—xã hội, thị trường, khách hàng, công nghệ. Do đó, bản thân lý thuyết kinh doanh phải có khả năng tự thay đổi.</w:t>
      </w:r>
    </w:p>
    <w:p>
      <w:pPr>
        <w:pStyle w:val="Para 078"/>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68300" cy="0"/>
            <wp:effectExtent l="0" r="0" t="0" b="0"/>
            <wp:wrapTopAndBottom/>
            <wp:docPr id="9" name="5chap_line.jpg" descr="image"/>
            <wp:cNvGraphicFramePr>
              <a:graphicFrameLocks noChangeAspect="1"/>
            </wp:cNvGraphicFramePr>
            <a:graphic>
              <a:graphicData uri="http://schemas.openxmlformats.org/drawingml/2006/picture">
                <pic:pic>
                  <pic:nvPicPr>
                    <pic:cNvPr id="0" name="5chap_line.jpg" descr="image"/>
                    <pic:cNvPicPr/>
                  </pic:nvPicPr>
                  <pic:blipFill>
                    <a:blip r:embed="rId10"/>
                    <a:stretch>
                      <a:fillRect/>
                    </a:stretch>
                  </pic:blipFill>
                  <pic:spPr>
                    <a:xfrm>
                      <a:off x="0" y="0"/>
                      <a:ext cx="368300" cy="0"/>
                    </a:xfrm>
                    <a:prstGeom prst="rect">
                      <a:avLst/>
                    </a:prstGeom>
                  </pic:spPr>
                </pic:pic>
              </a:graphicData>
            </a:graphic>
          </wp:anchor>
        </w:drawing>
      </w:r>
    </w:p>
    <w:p>
      <w:pPr>
        <w:pStyle w:val="Para 002"/>
      </w:pPr>
      <w:r>
        <w:t xml:space="preserve">Một số lý thuyết kinh doanh mạnh mẽ đến mức tồn tại trong thời gian dài. Nhưng vì là sản phẩm</w:t>
        <w:bookmarkStart w:id="347" w:name="page05_30"/>
        <w:t> </w:t>
        <w:bookmarkEnd w:id="347"/>
        <w:t xml:space="preserve">của con người, chúng không tồn tại mãi, và thực tế ngày nay chúng hiếm khi tồn tại được lâu. Cuối cùng, mọi lý thuyết kinh doanh đều trở nên lỗi thời và không còn hiệu lực. Đó chính xác là những gì đã xảy ra với các lý thuyết đã xây dựng nên những doanh nghiệp lớn của Mỹ những năm 1920. Điều đó đã xảy ra với GM và AT&amp;T. Nó đã xảy ra với IBM. Ngày nay, điều đó đang xảy ra với Deutsche Bank và lý thuyết ngân hàng đa năng của họ. Nó cũng đang rõ ràng xảy ra với các tập đoàn keiretsu Nhật Bản đang tan rã</w:t>
      </w:r>
      <w:r>
        <w:rPr>
          <w:rStyle w:val="Text0"/>
        </w:rPr>
        <w:t> nhanh</w:t>
      </w:r>
      <w:r>
        <w:t> chóng.</w:t>
      </w:r>
    </w:p>
    <w:p>
      <w:pPr>
        <w:pStyle w:val="Para 002"/>
      </w:pPr>
      <w:r>
        <w:t xml:space="preserve">Phản ứng đầu tiên của một tổ chức khi lý thuyết của mình đang trở nên lỗi thời gần như luôn là phản ứng phòng thủ. Xu hướng là vùi đầu vào cát và giả vờ rằng không có gì đang xảy ra. Phản ứng tiếp theo là cố gắng vá víu, như GM đã</w:t>
        <w:bookmarkStart w:id="348" w:name="page05_31"/>
        <w:t> </w:t>
        <w:bookmarkEnd w:id="348"/>
        <w:t>làm vào đầu những năm 1980 hoặc như Deutsche Bank đang làm hôm nay. Thật vậy, cuộc khủng hoảng bất ngờ và hoàn toàn không lường trước được của hết công ty lớn này đến công ty lớn khác của Đức mà Deutsche Bank là “ngân hàng chính (house bank)” cho thấy rằng lý thuyết của họ không còn hiệu quả. Nghĩa là, Deutsche Bank không còn làm được những gì nó được thiết kế để làm: cung cấp sự quản trị hiệu quả cho tập đoàn hiện đại.</w:t>
      </w:r>
    </w:p>
    <w:p>
      <w:pPr>
        <w:pStyle w:val="Para 002"/>
      </w:pPr>
      <w:r>
        <w:t xml:space="preserve">Nhưng vá víu không bao giờ hiệu quả. Thay vào đó, khi một lý thuyết có những dấu hiệu đầu tiên của sự lỗi thời, đã đến lúc phải suy nghĩ lại, tự hỏi lại những giả định nào về môi trường, sứ mệnh và năng lực cốt lõi phản ánh thực tế một cách chính xác nhất—với tiền đề rõ ràng rằng những giả định mang tính lịch</w:t>
        <w:bookmarkStart w:id="349" w:name="page05_32"/>
        <w:t> </w:t>
        <w:bookmarkEnd w:id="349"/>
        <w:t>sử, những thứ mà tất cả chúng ta đã lớn lên cùng, không còn đủ nữa.</w:t>
      </w:r>
    </w:p>
    <w:p>
      <w:pPr>
        <w:pStyle w:val="Para 078"/>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368300" cy="0"/>
            <wp:effectExtent l="0" r="0" t="0" b="0"/>
            <wp:wrapTopAndBottom/>
            <wp:docPr id="10" name="5chap_line.jpg" descr="image"/>
            <wp:cNvGraphicFramePr>
              <a:graphicFrameLocks noChangeAspect="1"/>
            </wp:cNvGraphicFramePr>
            <a:graphic>
              <a:graphicData uri="http://schemas.openxmlformats.org/drawingml/2006/picture">
                <pic:pic>
                  <pic:nvPicPr>
                    <pic:cNvPr id="0" name="5chap_line.jpg" descr="image"/>
                    <pic:cNvPicPr/>
                  </pic:nvPicPr>
                  <pic:blipFill>
                    <a:blip r:embed="rId10"/>
                    <a:stretch>
                      <a:fillRect/>
                    </a:stretch>
                  </pic:blipFill>
                  <pic:spPr>
                    <a:xfrm>
                      <a:off x="0" y="0"/>
                      <a:ext cx="368300" cy="0"/>
                    </a:xfrm>
                    <a:prstGeom prst="rect">
                      <a:avLst/>
                    </a:prstGeom>
                  </pic:spPr>
                </pic:pic>
              </a:graphicData>
            </a:graphic>
          </wp:anchor>
        </w:drawing>
      </w:r>
    </w:p>
    <w:p>
      <w:pPr>
        <w:pStyle w:val="Para 002"/>
      </w:pPr>
      <w:r>
        <w:t>Vậy thì cần phải làm gì? Cần có sự chăm sóc phòng ngừa—tức là xây dựng vào trong tổ chức một hệ thống giám sát và kiểm tra lý thuyết kinh doanh của mình. Cần có chẩn đoán sớm. Cuối cùng, cần phải suy nghĩ lại một lý thuyết đang trì trệ và thực hiện hành động hiệu quả để thay đổi các chính sách và thực tiễn, đưa hành vi của tổ chức phù hợp với thực tế mới của môi trường, với định nghĩa mới về sứ mệnh, và với các năng lực cốt lõi mới cần được phát triển và tích lũy.</w:t>
      </w:r>
    </w:p>
    <w:p>
      <w:pPr>
        <w:pStyle w:val="Para 029"/>
      </w:pPr>
      <w:r>
        <w:bookmarkStart w:id="350" w:name="page05_33"/>
        <w:t/>
        <w:bookmarkEnd w:id="350"/>
        <w:t>CHĂM SÓC PHÒNG NGỪA</w:t>
      </w:r>
    </w:p>
    <w:p>
      <w:pPr>
        <w:pStyle w:val="Para 002"/>
      </w:pPr>
      <w:r>
        <w:t xml:space="preserve">Chỉ có hai biện pháp phòng ngừa. Nhưng nếu được sử dụng nhất quán, chúng sẽ giữ cho tổ chức luôn tỉnh táo và có khả năng nhanh chóng thay đổi chính mình và lý thuyết của mình. Biện pháp đầu tiên là cái mà tôi gọi</w:t>
      </w:r>
      <w:r>
        <w:rPr>
          <w:rStyle w:val="Text0"/>
        </w:rPr>
        <w:t> là sự từ bỏ.</w:t>
      </w:r>
      <w:r>
        <w:t xml:space="preserve"> Cứ ba năm một lần, một tổ chức nên thách thức mọi sản phẩm, mọi dịch vụ, mọi chính sách, mọi kênh phân phối với câu hỏi: Nếu chúng ta chưa tham gia vào lĩnh vực này, liệu chúng ta có bắt đầu làm nó ngay bây giờ không? Bằng cách đặt câu hỏi về các chính sách và thói quen đã được chấp nhận, tổ chức buộc mình phải suy nghĩ về lý thuyết của mình. Nó buộc mình phải kiểm tra các giả định. Nó buộc mình phải tự hỏi: Tại sao điều này không hiệu quả, mặc dù nó trông rất hứa hẹn khi chúng ta bắt đầu năm năm trước? Có phải vì chúng ta đã phạm</w:t>
        <w:bookmarkStart w:id="351" w:name="page05_34"/>
        <w:t> </w:t>
        <w:bookmarkEnd w:id="351"/>
        <w:t>sai lầm? Có phải vì chúng ta đã làm những điều sai? Hay là vì những điều đúng đắn lại không thành công?</w:t>
      </w:r>
    </w:p>
    <w:p>
      <w:pPr>
        <w:pStyle w:val="Para 002"/>
      </w:pPr>
      <w:r>
        <w:t>Nếu không có sự từ bỏ có hệ thống và có chủ đích, một tổ chức sẽ bị các sự kiện vượt qua. Nó sẽ lãng phí các nguồn lực tốt nhất của mình vào những việc mà lẽ ra không bao giờ nên làm hoặc không còn nên làm. Kết quả là, nó sẽ thiếu các nguồn lực, đặc biệt là những người có năng lực, cần thiết để tận dụng các cơ hội nảy sinh khi thị trường, công nghệ và năng lực cốt lõi (core competencies) thay đổi. Nói cách khác, nó sẽ không thể phản ứng một cách mang tính xây dựng trước các cơ hội được tạo ra khi lý thuyết kinh doanh (theory of the business) của nó trở nên lỗi thời.</w:t>
      </w:r>
    </w:p>
    <w:p>
      <w:pPr>
        <w:pStyle w:val="Para 002"/>
      </w:pPr>
      <w:r>
        <w:t xml:space="preserve">Biện pháp phòng ngừa thứ hai là nghiên cứu những gì đang diễn ra bên ngoài doanh nghiệp, và đặc biệt là nghiên cứu những người không</w:t>
      </w:r>
      <w:r>
        <w:rPr>
          <w:rStyle w:val="Text0"/>
        </w:rPr>
        <w:t> phải là khách</w:t>
      </w:r>
      <w:r>
        <w:t xml:space="preserve"> hàng (noncustomers).</w:t>
        <w:bookmarkStart w:id="352" w:name="page05_35"/>
        <w:t> </w:t>
        <w:bookmarkEnd w:id="352"/>
        <w:t>Quản lý kiểu đi quanh (walk-around management) đã trở nên thịnh hành vài năm trước. Điều đó rất quan trọng. Và việc hiểu biết càng nhiều càng tốt về khách hàng của mình — lĩnh vực mà có lẽ công nghệ thông tin đang tạo ra những tiến bộ nhanh nhất — cũng quan trọng không kém. Nhưng những dấu hiệu đầu tiên của sự thay đổi căn bản hiếm khi xuất hiện trong chính tổ chức của bạn hoặc giữa những khách hàng của bạn. Hầu như luôn luôn chúng xuất hiện đầu tiên ở những người không phải là khách hàng. Những người không phải là khách hàng luôn đông hơn khách hàng. Wal-Mart, gã khổng lồ bán lẻ ngày nay, có 14% thị trường hàng tiêu dùng của Mỹ. Điều đó có nghĩa là 86% thị trường là những người không phải là khách hàng.</w:t>
      </w:r>
    </w:p>
    <w:p>
      <w:pPr>
        <w:pStyle w:val="Para 002"/>
      </w:pPr>
      <w:r>
        <w:t xml:space="preserve">Thực tế, ví dụ tốt nhất gần đây về tầm quan trọng của những người không phải là khách hàng chính là các cửa hàng bách hóa (department stores) của Mỹ. Vào</w:t>
        <w:bookmarkStart w:id="353" w:name="page05_36"/>
        <w:t> </w:t>
        <w:bookmarkEnd w:id="353"/>
        <w:t xml:space="preserve">thời kỳ đỉnh cao khoảng 20 năm trước, các cửa hàng bách hóa phục vụ 30% thị trường bán lẻ phi thực phẩm của Mỹ. Họ liên tục hỏi khách hàng của mình, nghiên cứu họ, khảo sát họ. Nhưng họ không chú ý đến 70% thị trường không phải là khách hàng của họ. Họ thấy không có lý do gì để phải chú ý. Lý thuyết kinh doanh của họ giả định rằng hầu hết những người có đủ khả năng mua sắm tại các cửa hàng bách hóa đều đã làm vậy. Năm mươi năm trước, giả định đó phù hợp với thực tế. Nhưng khi thế hệ bùng nổ dân số (baby boomers) trưởng thành, nó không còn đúng nữa. Đối với nhóm chiếm ưu thế trong số baby boomers — phụ nữ trong các gia đình có hai nguồn thu nhập và có học vấn — tiền bạc không phải là yếu tố quyết định địa điểm mua sắm. Thời gian mới là yếu tố chính, và phụ nữ của thế hệ này không thể dành thời gian để mua sắm tại các cửa hàng bách hóa. Vì các cửa hàng bách hóa chỉ</w:t>
        <w:bookmarkStart w:id="354" w:name="page05_37"/>
        <w:t> </w:t>
        <w:bookmarkEnd w:id="354"/>
        <w:t>nhìn vào khách hàng của chính mình, họ đã không nhận ra sự thay đổi này cho đến vài năm trước. Lúc đó, việc kinh doanh đã cạn kiệt. Và đã quá muộn để lôi kéo baby boomers quay lại. Các cửa hàng bách hóa đã học được bài học một cách khó khăn rằng mặc dù việc định hướng theo khách hàng (customer driven) là rất quan trọng, nhưng chưa đủ. Một tổ chức cũng phải định hướng theo thị trường (market driven).</w:t>
      </w:r>
    </w:p>
    <w:p>
      <w:pPr>
        <w:pStyle w:val="Para 029"/>
      </w:pPr>
      <w:r>
        <w:t>CHẨN ĐOÁN SỚM</w:t>
      </w:r>
    </w:p>
    <w:p>
      <w:pPr>
        <w:pStyle w:val="Para 002"/>
      </w:pPr>
      <w:r>
        <w:t xml:space="preserve">Để chẩn đoán vấn đề sớm, các nhà quản lý phải chú ý đến các dấu hiệu cảnh báo. Một lý thuyết kinh doanh luôn trở nên lỗi thời khi một tổ chức đạt được các mục tiêu ban đầu của mình. Do đó, đạt được mục tiêu không phải là dịp để ăn mừng; mà là dịp để suy nghĩ mới. AT&amp;T đã hoàn thành sứ mệnh</w:t>
        <w:bookmarkStart w:id="355" w:name="page05_38"/>
        <w:t> c</w:t>
        <w:bookmarkEnd w:id="355"/>
        <w:t>ủa mình là cung cấp cho mọi gia đình và doanh nghiệp Mỹ khả năng tiếp cận điện thoại vào giữa những năm 1950. Một số giám đốc điều hành lúc đó nói rằng đã đến lúc đánh giá lại lý thuyết kinh doanh và, chẳng hạn, tách dịch vụ địa phương — nơi các mục tiêu đã đạt được — khỏi các hoạt động kinh doanh đang phát triển và tương lai, bắt đầu từ dịch vụ đường dài và mở rộng sang viễn thông toàn cầu. Các lập luận của họ không được lắng nghe, và vài năm sau AT&amp;T bắt đầu chao đảo, chỉ được cứu bởi luật chống độc quyền (antitrust), vốn đã làm bằng sắc lệnh điều mà ban quản lý công ty đã từ chối làm một cách tự nguyện.</w:t>
      </w:r>
    </w:p>
    <w:p>
      <w:pPr>
        <w:pStyle w:val="Para 002"/>
      </w:pPr>
      <w:r>
        <w:t xml:space="preserve">Tăng trưởng nhanh là một dấu hiệu chắc chắn khác của khủng hoảng trong lý thuyết của một tổ chức. Bất kỳ tổ chức nào tăng gấp đôi hoặc gấp ba quy</w:t>
        <w:bookmarkStart w:id="356" w:name="page05_39"/>
        <w:t> </w:t>
        <w:bookmarkEnd w:id="356"/>
        <w:t>mô trong một khoảng thời gian tương đối ngắn chắc chắn đã vượt ra ngoài lý thuyết của nó. Ngay cả Thung lũng Silicon cũng đã học được rằng những buổi tiệc bia không còn đủ để giao tiếp khi công ty đã phát triển lớn đến mức mọi người phải đeo biển tên. Nhưng sự tăng trưởng như vậy thách thức những giả định, chính sách và thói quen sâu sắc hơn nhiều. Để tiếp tục khỏe mạnh, chứ chưa nói đến tăng trưởng, tổ chức phải tự hỏi lại mình những câu hỏi về môi trường, sứ mệnh và năng lực cốt lõi.</w:t>
      </w:r>
    </w:p>
    <w:p>
      <w:pPr>
        <w:pStyle w:val="Para 002"/>
      </w:pPr>
      <w:r>
        <w:t>Có thêm hai tín hiệu rõ ràng cho thấy lý thuyết kinh doanh của một tổ chức không còn đúng nữa. Một là thành công bất ngờ - dù là của chính mình hay của đối thủ cạnh tranh. Điều còn lại là thất bại bất ngờ - một lần nữa, dù là của chính mình hay của đối thủ cạnh tranh.</w:t>
      </w:r>
    </w:p>
    <w:p>
      <w:pPr>
        <w:pStyle w:val="Para 002"/>
      </w:pPr>
      <w:r>
        <w:bookmarkStart w:id="357" w:name="page05_40"/>
        <w:t>Cùng</w:t>
        <w:bookmarkEnd w:id="357"/>
        <w:t xml:space="preserve"> thời điểm mà xe hơi nhập khẩu từ Nhật Bản khiến bộ ba ô tô lớn Detroit (Big Three) gặp khó khăn, Chrysler đã đạt được một thành công hoàn toàn bất ngờ. Những chiếc xe chở khách truyền thống của họ đang mất thị phần nhanh hơn cả GM và Ford. Nhưng doanh số bán xe Jeep và minivan mới của họ - một sự phát triển gần như tình cờ - đã tăng vọt. Vào thời điểm đó, GM là công ty dẫn đầu thị trường xe tải nhẹ của Mỹ và không ai có thể cạnh tranh về thiết kế và chất lượng sản phẩm, nhưng họ không hề chú ý đến năng lực xe tải nhẹ của mình. Suy cho cùng, minivan và xe tải nhẹ luôn được phân loại là xe thương mại thay vì xe chở khách trong thống kê truyền thống, mặc dù hầu hết chúng bây giờ được mua làm xe chở khách. Tuy nhiên,</w:t>
        <w:bookmarkStart w:id="358" w:name="page05_41"/>
        <w:t> </w:t>
        <w:bookmarkEnd w:id="358"/>
        <w:t>nếu GM chú ý đến thành công của đối thủ yếu hơn là Chrysler, thì có lẽ GM đã nhận ra sớm hơn nhiều rằng những giả định của họ về cả thị trường và năng lực cốt lõi của họ không còn đúng nữa. Ngay từ đầu, thị trường minivan và xe tải nhẹ không phải là thị trường theo tầng lớp thu nhập và ít bị ảnh hưởng bởi giá đổi cũ. Và, nghịch lý thay, xe tải nhẹ là lĩnh vực duy nhất mà GM, 15 năm trước, đã tiến khá xa tới cái mà chúng ta gọi là sản xuất tinh gọn (lean manufacturing).</w:t>
      </w:r>
    </w:p>
    <w:p>
      <w:pPr>
        <w:pStyle w:val="Para 002"/>
      </w:pPr>
      <w:r>
        <w:t xml:space="preserve">Thất bại bất ngờ là một cảnh báo không kém gì thành công bất ngờ và cần được coi trọng như cơn đau tim 'nhẹ' đầu tiên của một người đàn ông 60 tuổi. Sáu mươi năm trước, giữa thời kỳ Đại suy thoái, Sears quyết định rằng bảo hiểm ô tô đã trở thành một 'phụ kiện' hơn là một sản phẩm tài chính,</w:t>
        <w:bookmarkStart w:id="359" w:name="page05_42"/>
        <w:t> </w:t>
        <w:bookmarkEnd w:id="359"/>
        <w:t xml:space="preserve">và do đó bán nó sẽ phù hợp với sứ mệnh của họ là người mua hiểu biết cho gia đình Mỹ. Mọi người đều nghĩ Sears thật điên rồ. Nhưng bảo hiểm ô tô gần như ngay lập tức trở thành mảng kinh doanh có lợi nhuận nhất của Sears. Hai mươi năm sau, vào những năm 1950, Sears quyết định rằng nhẫn kim cương đã trở thành một nhu cầu thiết yếu hơn là một thứ xa xỉ, và công ty đã trở thành nhà bán lẻ kim cương lớn nhất - và có lẽ có lợi nhuận nhất - trên thế giới. Việc Sears quyết định vào năm 1981 rằng các sản phẩm đầu tư đã trở thành hàng tiêu dùng cho gia đình Mỹ là hoàn toàn hợp lý. Họ đã mua Dean Witter và chuyển văn phòng của họ vào các cửa hàng Sears. Động thái này là một thảm họa hoàn toàn. Công chúng Mỹ rõ ràng không coi nhu cầu tài chính của họ là 'sản phẩm tiêu dùng'. Khi Sears cuối cùng đã từ bỏ và quyết định điều hành Dean Witter</w:t>
        <w:bookmarkStart w:id="360" w:name="page05_43"/>
        <w:t> </w:t>
        <w:bookmarkEnd w:id="360"/>
        <w:t>như một doanh nghiệp riêng biệt bên ngoài các cửa hàng Sears, Dean Witter ngay lập tức bắt đầu phát triển mạnh. Năm 1992, Sears đã bán nó với một khoản lợi nhuận đáng kể.</w:t>
      </w:r>
    </w:p>
    <w:p>
      <w:pPr>
        <w:pStyle w:val="Para 002"/>
      </w:pPr>
      <w:r>
        <w:t>Nếu Sears xem việc không trở thành nhà cung cấp dịch vụ đầu tư cho các gia đình Mỹ là một thất bại trong lý thuyết kinh doanh của mình chứ không phải một sự cố cá biệt, thì công ty có thể đã bắt đầu tái cấu trúc và định vị lại sớm hơn mười năm so với thực tế, khi họ vẫn còn giữ vị thế dẫn đầu đáng kể trên thị trường. Vì khi đó Sears lẽ ra đã nhận ra, giống như một số đối thủ cạnh tranh như J.C. Penney đã nhận ra ngay lập tức, rằng sự thất bại của Dean Witter đặt dấu hỏi lớn về toàn bộ khái niệm về sự đồng nhất thị trường (market homogeneity) - chính khái niệm mà Sears và các nhà bán lẻ đại chúng khác đã dựa vào để xây dựng chiến lược suốt nhiều năm.</w:t>
      </w:r>
    </w:p>
    <w:p>
      <w:pPr>
        <w:pStyle w:val="Para 029"/>
      </w:pPr>
      <w:r>
        <w:bookmarkStart w:id="361" w:name="page05_44"/>
        <w:t/>
        <w:bookmarkEnd w:id="361"/>
        <w:t>CÁCH CHỮA TRỊ</w:t>
      </w:r>
    </w:p>
    <w:p>
      <w:pPr>
        <w:pStyle w:val="Para 002"/>
      </w:pPr>
      <w:r>
        <w:t>Theo truyền thống, chúng ta thường tìm kiếm một người làm phép màu với chiếc đũa thần để xoay chuyển một tổ chức đang gặp khó khăn. Tuy nhiên, để thiết lập, duy trì và khôi phục một lý thuyết kinh doanh, không cần đến một Genghis Khan hay Leonardo da Vinci trong phòng điều hành. Điều đó không phải là thiên tài, mà là làm việc chăm chỉ. Không phải là khôn khéo, mà là tận tâm. Đó là điều mà các CEO được trả lương để làm.</w:t>
      </w:r>
    </w:p>
    <w:p>
      <w:pPr>
        <w:pStyle w:val="Para 002"/>
      </w:pPr>
      <w:r>
        <w:t xml:space="preserve">Thật vậy, có khá nhiều CEO đã thay đổi thành công lý thuyết kinh doanh của mình. Vị CEO đã đưa Merck trở thành doanh nghiệp dược phẩm thành công nhất thế giới bằng cách chỉ tập trung vào nghiên cứu và phát triển các</w:t>
        <w:bookmarkStart w:id="362" w:name="page05_45"/>
        <w:t> l</w:t>
        <w:bookmarkEnd w:id="362"/>
        <w:t>oại thuốc đột phá có bằng sáng chế và biên lợi nhuận cao, đã thay đổi hoàn toàn lý thuyết của công ty khi mua lại một nhà phân phối lớn các loại thuốc generic và thuốc không kê đơn. Ông làm điều đó mà không có một 'cuộc khủng hoảng' nào, trong khi Merck về bề ngoài vẫn đang làm ăn rất tốt. Tương tự, vài năm trước, CEO mới của Sony, nhà sản xuất phần cứng điện tử tiêu dùng nổi tiếng nhất thế giới, đã thay đổi lý thuyết kinh doanh của công ty. Ông mua lại một công ty sản xuất phim ở Hollywood và với thương vụ mua lại đó, đã chuyển trọng tâm của tổ chức từ một nhà sản xuất phần cứng đang tìm kiếm phần mềm sang một nhà sản xuất phần mềm tạo ra nhu cầu thị trường cho phần cứng.</w:t>
      </w:r>
    </w:p>
    <w:p>
      <w:pPr>
        <w:pStyle w:val="Para 002"/>
      </w:pPr>
      <w:r>
        <w:bookmarkStart w:id="363" w:name="page05_46"/>
        <w:t>Nhưng</w:t>
        <w:bookmarkEnd w:id="363"/>
        <w:t xml:space="preserve"> với mỗi một người được coi là người làm phép màu như vậy, lại có hàng chục CEO có năng lực tương đương mà tổ chức của họ lại vấp ngã. Chúng ta không thể dựa vào những người làm phép màu để làm mới một lý thuyết kinh doanh đã lỗi thời cũng như không thể trông cậy họ chữa khỏi các loại bệnh hiểm nghèo khác. Và khi nói chuyện với những người được cho là làm phép màu này, họ kịch liệt phủ nhận rằng họ hành động bằng sức hút cá nhân, tầm nhìn, hay thậm chí là đặt tay chữa bệnh. Họ bắt đầu bằng việc chẩn đoán và phân tích. Họ chấp nhận rằng việc đạt được các mục tiêu và tăng trưởng nhanh đòi hỏi phải xem xét lại một cách nghiêm túc lý thuyết kinh doanh. Họ không coi thất bại bất ngờ là do năng lực kém của cấp dưới hay là một sự tình cờ, mà coi đó là triệu chứng của 'sự thất bại của</w:t>
        <w:bookmarkStart w:id="364" w:name="page05_47"/>
        <w:t> </w:t>
        <w:bookmarkEnd w:id="364"/>
        <w:t>hệ thống'. Họ không tự nhận công về những thành công bất ngờ mà coi đó là thách thức đối với các giả định của mình.</w:t>
      </w:r>
    </w:p>
    <w:p>
      <w:pPr>
        <w:pStyle w:val="Para 002"/>
      </w:pPr>
      <w:r>
        <w:t>Họ chấp nhận rằng sự lỗi thời của một lý thuyết là một căn bệnh thoái hóa và thực sự đe dọa tính mạng. Họ cũng biết và chấp nhận nguyên tắc đã được kiểm chứng qua thời gian của các bác sĩ phẫu thuật, nguyên tắc ra quyết định hiệu quả lâu đời nhất: Một căn bệnh thoái hóa sẽ không thể chữa khỏi bằng sự trì hoãn, mà đòi hỏi hành động dứt khoát.</w:t>
      </w:r>
    </w:p>
    <w:p>
      <w:bookmarkStart w:id="365" w:name="ABOUT_THE_AUTHOR_Peter_F__Drucke_1"/>
      <w:bookmarkStart w:id="366" w:name="Top_of_05_06_Authors_xhtml"/>
      <w:pPr>
        <w:pStyle w:val="Para 029"/>
        <w:pageBreakBefore w:val="on"/>
      </w:pPr>
      <w:r>
        <w:bookmarkStart w:id="367" w:name="page05_49"/>
        <w:t/>
        <w:bookmarkEnd w:id="367"/>
        <w:t>VỀ TÁC GIẢ</w:t>
      </w:r>
      <w:bookmarkEnd w:id="365"/>
      <w:bookmarkEnd w:id="366"/>
    </w:p>
    <w:p>
      <w:pPr>
        <w:pStyle w:val="Para 002"/>
      </w:pPr>
      <w:r>
        <w:rPr>
          <w:rStyle w:val="Text0"/>
        </w:rPr>
        <w:t>Peter F. Drucker</w:t>
      </w:r>
      <w:r>
        <w:t xml:space="preserve"> là một nhà văn, nhà tư vấn và giáo sư về khoa học xã hội và quản lý tại Claremont Graduate University ở California. Ba mươi chín cuốn sách của ông đã được xuất bản bằng hơn bảy mươi ngôn ngữ. Ông là người sáng lập Quỹ Peter F. Drucker cho Quản lý Phi lợi nhuận, và từng tư vấn cho mười ba chính phủ, các tổ chức dịch vụ công và các tập đoàn lớn.</w:t>
      </w:r>
    </w:p>
    <w:p>
      <w:bookmarkStart w:id="368" w:name="Top_of_05_07_Article_summary_xht"/>
      <w:bookmarkStart w:id="369" w:name="Article_Summary_Idea_in_Brief_In"/>
      <w:pPr>
        <w:pStyle w:val="Para 148"/>
        <w:pageBreakBefore w:val="on"/>
      </w:pPr>
      <w:r>
        <w:bookmarkStart w:id="370" w:name="page05_51"/>
        <w:t/>
        <w:bookmarkEnd w:id="370"/>
        <w:t>Tóm tắt bài viết</w:t>
      </w:r>
      <w:bookmarkEnd w:id="368"/>
      <w:bookmarkEnd w:id="369"/>
    </w:p>
    <w:p>
      <w:pPr>
        <w:pStyle w:val="Para 067"/>
      </w:pPr>
      <w:r>
        <w:t>Ý tưởng chính</w:t>
      </w:r>
    </w:p>
    <w:p>
      <w:pPr>
        <w:pStyle w:val="Para 021"/>
      </w:pPr>
      <w:r>
        <w:t xml:space="preserve">Trong bài viết thứ ba mươi mốt của mình cho HBR, Peter F. Drucker lập luận rằng điều cốt lõi đằng sau tình trạng bất ổn hiện nay của rất nhiều tổ chức lớn và thành công trên toàn thế giới là lý thuyết kinh doanh (theory of the business) của họ không còn hiệu quả. Câu chuyện thật quen thuộc: một công ty ngày hôm qua còn là siêu sao thì hôm nay lại trì trệ, bức bối, gặp rắc rối và thường rơi vào một cuộc khủng hoảng có vẻ không thể kiểm soát. Nguyên nhân gốc rễ của hầu hết các cuộc khủng hoảng này không phải là mọi thứ đang</w:t>
        <w:bookmarkStart w:id="371" w:name="page05_52"/>
        <w:t> </w:t>
        <w:bookmarkEnd w:id="371"/>
        <w:t>được thực hiện kém hiệu quả. Cũng không phải là họ đang làm những điều sai lầm. Thực tế, trong hầu hết các trường hợp, họ đang làm những điều đúng – nhưng không mang lại kết quả.</w:t>
      </w:r>
    </w:p>
    <w:p>
      <w:pPr>
        <w:pStyle w:val="Para 021"/>
      </w:pPr>
      <w:r>
        <w:t>Điều gì giải thích cho nghịch lý rõ ràng này? Các giả định mà tổ chức được xây dựng và vận hành không còn phù hợp với thực tế. Đây là những giả định định hình hành vi của bất kỳ tổ chức nào, chi phối các quyết định về việc nên làm gì và không nên làm gì, đồng thời xác định điều mà một tổ chức coi là kết quả có ý nghĩa. Những giả định này chính là thứ mà Drucker gọi là lý thuyết kinh doanh của một công ty.</w:t>
      </w:r>
    </w:p>
    <w:p>
      <w:pPr>
        <w:pStyle w:val="Para 021"/>
      </w:pPr>
      <w:r>
        <w:t>Mọi tổ chức, dù là doanh nghiệp hay không, đều có một lý thuyết kinh doanh. Lý thuyết kinh doanh giải thích cả thành công của những công ty như General Motors và IBM, những công ty đã thống trị nền kinh tế Hoa Kỳ trong nửa cuối thế kỷ XX, lẫn những thách thức mà họ phải đối mặt.</w:t>
      </w:r>
    </w:p>
    <w:p>
      <w:pPr>
        <w:pStyle w:val="Para 021"/>
      </w:pPr>
      <w:r>
        <w:t xml:space="preserve">Một số lý thuyết kinh doanh mạnh mẽ đến mức chúng tồn tại được trong một thời gian dài. Nhưng vì là sản</w:t>
        <w:bookmarkStart w:id="372" w:name="page05_53"/>
        <w:t> </w:t>
        <w:bookmarkEnd w:id="372"/>
        <w:t>phẩm do con người tạo ra, chúng không tồn tại mãi mãi, và ngày nay chúng hiếm khi tồn tại được bao lâu. Cuối cùng, mọi lý thuyết kinh doanh đều trở nên lỗi thời và rồi vô hiệu. Khi một lý thuyết bắt đầu có những dấu hiệu đầu tiên của sự lỗi thời, đã đến lúc bắt đầu xem xét lại lý thuyết đó, với tiền đề rõ ràng rằng những giả định được truyền lại từ quá khứ của chúng ta không còn đủ nữa.</w:t>
      </w:r>
    </w:p>
    <w:p>
      <w:bookmarkStart w:id="373" w:name="Top_of_07_01_cover_xhtml"/>
      <w:bookmarkStart w:id="374" w:name="a07"/>
      <w:bookmarkStart w:id="375" w:name="sbo_rt_content_5"/>
      <w:pPr>
        <w:pStyle w:val="Para 149"/>
        <w:pageBreakBefore w:val="on"/>
      </w:pPr>
      <w:r>
        <w:drawing>
          <wp:anchor distL="0" distR="0" distT="0" distB="0" simplePos="0" relativeHeight="1" behindDoc="0" locked="0" layoutInCell="1" allowOverlap="1">
            <wp:simplePos x="0" y="0"/>
            <wp:positionH relativeFrom="margin">
              <wp:align>left</wp:align>
            </wp:positionH>
            <wp:positionV relativeFrom="line">
              <wp:align>top</wp:align>
            </wp:positionV>
            <wp:extent cx="5384800" cy="8229600"/>
            <wp:effectExtent l="0" r="0" t="0" b="0"/>
            <wp:wrapTopAndBottom/>
            <wp:docPr id="11" name="2288_cover.jpg" descr="cover"/>
            <wp:cNvGraphicFramePr>
              <a:graphicFrameLocks noChangeAspect="1"/>
            </wp:cNvGraphicFramePr>
            <a:graphic>
              <a:graphicData uri="http://schemas.openxmlformats.org/drawingml/2006/picture">
                <pic:pic>
                  <pic:nvPicPr>
                    <pic:cNvPr id="0" name="2288_cover.jpg" descr="cover"/>
                    <pic:cNvPicPr/>
                  </pic:nvPicPr>
                  <pic:blipFill>
                    <a:blip r:embed="rId11"/>
                    <a:stretch>
                      <a:fillRect/>
                    </a:stretch>
                  </pic:blipFill>
                  <pic:spPr>
                    <a:xfrm>
                      <a:off x="0" y="0"/>
                      <a:ext cx="5384800" cy="8229600"/>
                    </a:xfrm>
                    <a:prstGeom prst="rect">
                      <a:avLst/>
                    </a:prstGeom>
                  </pic:spPr>
                </pic:pic>
              </a:graphicData>
            </a:graphic>
          </wp:anchor>
        </w:drawing>
      </w:r>
      <w:bookmarkEnd w:id="373"/>
      <w:bookmarkEnd w:id="374"/>
      <w:bookmarkEnd w:id="375"/>
    </w:p>
    <w:p>
      <w:bookmarkStart w:id="376" w:name="Top_of_06_00_Cover_xhtml"/>
      <w:bookmarkStart w:id="377" w:name="a06"/>
      <w:bookmarkStart w:id="378" w:name="sbo_rt_content_6"/>
      <w:pPr>
        <w:pStyle w:val="Para 051"/>
        <w:pageBreakBefore w:val="on"/>
      </w:pPr>
      <w:r>
        <w:drawing>
          <wp:anchor distL="0" distR="0" distT="0" distB="0" simplePos="0" relativeHeight="1" behindDoc="0" locked="0" layoutInCell="1" allowOverlap="1">
            <wp:simplePos x="0" y="0"/>
            <wp:positionH relativeFrom="margin">
              <wp:align>left</wp:align>
            </wp:positionH>
            <wp:positionV relativeFrom="line">
              <wp:align>top</wp:align>
            </wp:positionV>
            <wp:extent cx="5486400" cy="8229600"/>
            <wp:effectExtent l="0" r="0" t="0" b="0"/>
            <wp:wrapTopAndBottom/>
            <wp:docPr id="12" name="6chap_cover.jpg" descr="cover"/>
            <wp:cNvGraphicFramePr>
              <a:graphicFrameLocks noChangeAspect="1"/>
            </wp:cNvGraphicFramePr>
            <a:graphic>
              <a:graphicData uri="http://schemas.openxmlformats.org/drawingml/2006/picture">
                <pic:pic>
                  <pic:nvPicPr>
                    <pic:cNvPr id="0" name="6chap_cover.jpg" descr="cover"/>
                    <pic:cNvPicPr/>
                  </pic:nvPicPr>
                  <pic:blipFill>
                    <a:blip r:embed="rId12"/>
                    <a:stretch>
                      <a:fillRect/>
                    </a:stretch>
                  </pic:blipFill>
                  <pic:spPr>
                    <a:xfrm>
                      <a:off x="0" y="0"/>
                      <a:ext cx="5486400" cy="8229600"/>
                    </a:xfrm>
                    <a:prstGeom prst="rect">
                      <a:avLst/>
                    </a:prstGeom>
                  </pic:spPr>
                </pic:pic>
              </a:graphicData>
            </a:graphic>
          </wp:anchor>
        </w:drawing>
      </w:r>
      <w:bookmarkEnd w:id="376"/>
      <w:bookmarkEnd w:id="377"/>
      <w:bookmarkEnd w:id="378"/>
    </w:p>
    <w:p>
      <w:bookmarkStart w:id="379" w:name="Harvard_Business_Review_CLASSICS_4"/>
      <w:bookmarkStart w:id="380" w:name="Top_of_06_02_Title_xhtml"/>
      <w:pPr>
        <w:pStyle w:val="Para 032"/>
        <w:pageBreakBefore w:val="on"/>
      </w:pPr>
      <w:r>
        <w:bookmarkStart w:id="381" w:name="page06_ii"/>
        <w:t/>
        <w:bookmarkEnd w:id="381"/>
        <w:t>Harvard Business Review</w:t>
      </w:r>
      <w:bookmarkEnd w:id="379"/>
      <w:bookmarkEnd w:id="380"/>
    </w:p>
    <w:p>
      <w:pPr>
        <w:pStyle w:val="Para 033"/>
      </w:pPr>
      <w:r>
        <w:t>KINH ĐIỂN</w:t>
      </w:r>
    </w:p>
    <w:p>
      <w:pPr>
        <w:pStyle w:val="Para 036"/>
      </w:pPr>
      <w:r>
        <w:t>ĐIỀU GÌ LÀM NÊN MỘT NHÀ ĐIỀU HÀNH HIỆU QUẢ (EFFECTIVE EXECUTIVE)</w:t>
      </w:r>
    </w:p>
    <w:p>
      <w:pPr>
        <w:pStyle w:val="Para 026"/>
      </w:pPr>
      <w:r>
        <w:t>Peter F. Drucker</w:t>
      </w:r>
    </w:p>
    <w:p>
      <w:pPr>
        <w:pStyle w:val="Para 012"/>
      </w:pPr>
      <w:r>
        <w:t>Harvard Business Review Press</w:t>
      </w:r>
    </w:p>
    <w:p>
      <w:pPr>
        <w:pStyle w:val="Para 012"/>
      </w:pPr>
      <w:r>
        <w:t>Boston, Massachusetts</w:t>
      </w:r>
    </w:p>
    <w:p>
      <w:bookmarkStart w:id="382" w:name="HBR_Press_Quantity_Sales_Discoun_3"/>
      <w:bookmarkStart w:id="383" w:name="Top_of_06_03_Copyright_xhtml"/>
      <w:pPr>
        <w:pStyle w:val="Para 065"/>
        <w:pageBreakBefore w:val="on"/>
      </w:pPr>
      <w:r>
        <w:bookmarkStart w:id="384" w:name="page06_iv"/>
        <w:t/>
        <w:bookmarkEnd w:id="384"/>
        <w:t>Chiết khấu cho đơn hàng số lượng lớn của HBR Press</w:t>
      </w:r>
      <w:bookmarkEnd w:id="382"/>
      <w:bookmarkEnd w:id="383"/>
    </w:p>
    <w:p>
      <w:pPr>
        <w:pStyle w:val="Para 006"/>
      </w:pPr>
      <w:r>
        <w:t>Các ấn phẩm của Harvard Business Review Press được giảm giá đáng kể khi mua số lượng lớn cho quà tặng khách hàng, chương trình khuyến mãi và quà tặng kèm. Các ấn bản đặc biệt, bao gồm sách có logo công ty, bìa tùy chỉnh, và thư từ công ty hoặc CEO được in ở phần đầu sách, cũng như các trích đoạn từ sách hiện có, cũng có thể được tạo với số lượng lớn cho các nhu cầu đặc biệt.</w:t>
      </w:r>
    </w:p>
    <w:p>
      <w:pPr>
        <w:pStyle w:val="Para 006"/>
      </w:pPr>
      <w:r>
        <w:t xml:space="preserve">Để biết chi tiết và thông tin về chiết khấu cho cả định dạng bản in và sách điện tử, vui lòng liên hệ</w:t>
      </w:r>
      <w:r>
        <w:rPr>
          <w:rStyle w:val="Text2"/>
        </w:rPr>
        <w:t> booksales@harvardbusiness.org, số điện</w:t>
      </w:r>
      <w:r>
        <w:t xml:space="preserve"> thoại 800-988-0886, hoặc truy</w:t>
      </w:r>
      <w:hyperlink r:id="rId32">
        <w:r>
          <w:rPr>
            <w:rStyle w:val="Text2"/>
          </w:rPr>
          <w:t> cập www.hbr.org/bulksale</w:t>
        </w:r>
      </w:hyperlink>
      <w:r>
        <w:t>s.</w:t>
      </w:r>
    </w:p>
    <w:p>
      <w:pPr>
        <w:pStyle w:val="Para 006"/>
      </w:pPr>
      <w:r>
        <w:t>Bản quyền 2017 thuộc về Harvard Business School Publishing Corporation. Bài</w:t>
        <w:br w:clear="none"/>
        <w:t xml:space="preserve"> viết được xuất bản lần đầu trên</w:t>
      </w:r>
      <w:r>
        <w:rPr>
          <w:rStyle w:val="Text0"/>
        </w:rPr>
        <w:t> Harvard Business Review vào</w:t>
      </w:r>
      <w:r>
        <w:t xml:space="preserve"> tháng 6 năm 2004.</w:t>
        <w:br w:clear="none"/>
        <w:t> Bản in lại số</w:t>
        <w:br w:clear="none"/>
        <w:t> #R0406C. Bảo lưu mọi quyền.</w:t>
      </w:r>
    </w:p>
    <w:p>
      <w:pPr>
        <w:pStyle w:val="Para 006"/>
      </w:pPr>
      <w:r>
        <w:t xml:space="preserve">Không một phần nào của ấn phẩm này được sao chép, lưu trữ hoặc đưa vào hệ thống truy xuất, hoặc truyền đi dưới bất kỳ hình thức nào, hoặc bằng bất kỳ phương tiện nào (điện tử, cơ học, photocopy, ghi âm, hoặc cách khác), mà không có sự cho phép trước từ nhà xuất bản. Các yêu cầu xin phép nên được gửi đến</w:t>
      </w:r>
      <w:r>
        <w:rPr>
          <w:rStyle w:val="Text2"/>
        </w:rPr>
        <w:t> permissions@hbsp.harvard.edu,</w:t>
      </w:r>
      <w:r>
        <w:t> hoặc gửi thư đến Permissions, Harvard Business School Publishing, 60 Harvard Way, Boston, Massachusetts 02163.</w:t>
      </w:r>
    </w:p>
    <w:p>
      <w:pPr>
        <w:pStyle w:val="Para 006"/>
      </w:pPr>
      <w:r>
        <w:t>Các địa chỉ web được tham chiếu trong cuốn sách này đã hoạt động và chính xác tại thời điểm xuất bản nhưng có thể thay đổi.</w:t>
      </w:r>
    </w:p>
    <w:p>
      <w:pPr>
        <w:pStyle w:val="Para 006"/>
      </w:pPr>
      <w:r>
        <w:t>Dữ liệu Biên mục trong Ấn phẩm (Cataloging-in-Publication) sẽ được cung cấp sau.</w:t>
      </w:r>
    </w:p>
    <w:p>
      <w:pPr>
        <w:pStyle w:val="Para 006"/>
      </w:pPr>
      <w:r>
        <w:t>ISBN: 978-1-63369-254-1</w:t>
      </w:r>
    </w:p>
    <w:p>
      <w:pPr>
        <w:pStyle w:val="Para 010"/>
      </w:pPr>
      <w:r>
        <w:t>eISBN: 978-1-63369-255-8</w:t>
      </w:r>
    </w:p>
    <w:p>
      <w:bookmarkStart w:id="385" w:name="Top_of_06_04_Dedication_xhtml"/>
      <w:bookmarkStart w:id="386" w:name="THE_HARVARD_BUSINESS_REVIEW_CLAS_5"/>
      <w:pPr>
        <w:pStyle w:val="Para 052"/>
        <w:pageBreakBefore w:val="on"/>
      </w:pPr>
      <w:r>
        <w:bookmarkStart w:id="387" w:name="page06_v"/>
        <w:t/>
        <w:bookmarkEnd w:id="387"/>
        <w:t>LOẠT SÁCH KINH ĐIỂN HARVARD BUSINESS REVIEW</w:t>
      </w:r>
      <w:bookmarkEnd w:id="385"/>
      <w:bookmarkEnd w:id="386"/>
    </w:p>
    <w:p>
      <w:pPr>
        <w:pStyle w:val="Para 048"/>
      </w:pPr>
      <w:r>
        <w:t xml:space="preserve">Từ năm 1922,</w:t>
      </w:r>
      <w:r>
        <w:rPr>
          <w:rStyle w:val="Text0"/>
        </w:rPr>
        <w:t> Harvard Business Review đã</w:t>
      </w:r>
      <w:r>
        <w:t xml:space="preserve"> là nguồn cung cấp hàng đầu những ý tưởng đột phá trong thực tiễn quản lý — nhiều trong số đó vẫn còn nguyên giá trị và ảnh hưởng đến chúng ta ngày nay. Loạt sách HBR Classics hiện mang đến cho bạn cơ hội biến những tác phẩm nền tảng này thành một phần trong tủ sách quản lý thường trực của mình. Mỗi tập sách chứa đựng một ý tưởng đột phá đã định hình các phương pháp thực hành tốt nhất và truyền cảm hứng cho vô số nhà quản lý trên toàn thế giới — và sẽ thay đổi cách bạn suy nghĩ về thế giới kinh doanh ngày nay.</w:t>
      </w:r>
    </w:p>
    <w:p>
      <w:bookmarkStart w:id="388" w:name="An_effective_executive_does_not"/>
      <w:bookmarkStart w:id="389" w:name="Top_of_06_06_Chapter1_xhtml"/>
      <w:pPr>
        <w:pStyle w:val="Para 246"/>
        <w:pageBreakBefore w:val="on"/>
      </w:pPr>
      <w:r>
        <w:t/>
      </w:r>
      <w:bookmarkEnd w:id="388"/>
      <w:bookmarkEnd w:id="389"/>
    </w:p>
    <w:p>
      <w:pPr>
        <w:pStyle w:val="Normal"/>
      </w:pPr>
      <w:r>
        <w:bookmarkStart w:id="390" w:name="page06_1"/>
        <w:t>Một</w:t>
        <w:bookmarkEnd w:id="390"/>
        <w:t xml:space="preserve"> nhà điều hành hiệu quả không nhất thiết phải là một nhà lãnh đạo theo nghĩa thường được dùng phổ biến nhất hiện nay. Chẳng hạn, Harry Truman không có một chút sức hút (charisma) nào, nhưng ông lại là một trong những tổng thống điều hành hiệu quả nhất trong lịch sử nước Mỹ. Tương tự, một số CEO giỏi nhất trong lĩnh vực kinh doanh và phi lợi nhuận mà tôi từng làm việc cùng trong suốt 65 năm tư vấn không phải là những nhà lãnh đạo theo khuôn mẫu. Họ rất khác</w:t>
        <w:bookmarkStart w:id="391" w:name="page06_2"/>
        <w:t> </w:t>
        <w:bookmarkEnd w:id="391"/>
        <w:t>nhau về tính cách, thái độ, giá trị, điểm mạnh và điểm yếu. Họ trải dài từ người hướng ngoại đến gần như sống ẩn dật, từ dễ tính đến độc đoán, từ hào phóng đến hà tiện.</w:t>
      </w:r>
    </w:p>
    <w:p>
      <w:pPr>
        <w:pStyle w:val="Normal"/>
      </w:pPr>
      <w:r>
        <w:t>Điều khiến họ đều hiệu quả là họ tuân thủ cùng tám phương pháp sau đây:</w:t>
      </w:r>
    </w:p>
    <w:p>
      <w:pPr>
        <w:numPr>
          <w:ilvl w:val="0"/>
          <w:numId w:val="5"/>
        </w:numPr>
        <w:pStyle w:val="Para 013"/>
      </w:pPr>
      <w:r>
        <w:t>Họ đặt câu hỏi: “Cần phải làm gì?”</w:t>
      </w:r>
    </w:p>
    <w:p>
      <w:pPr>
        <w:numPr>
          <w:ilvl w:val="0"/>
          <w:numId w:val="5"/>
        </w:numPr>
        <w:pStyle w:val="Para 013"/>
      </w:pPr>
      <w:r>
        <w:t>Họ đặt câu hỏi: “Điều gì là đúng đắn cho doanh nghiệp?”</w:t>
      </w:r>
    </w:p>
    <w:p>
      <w:pPr>
        <w:numPr>
          <w:ilvl w:val="0"/>
          <w:numId w:val="5"/>
        </w:numPr>
        <w:pStyle w:val="Para 013"/>
      </w:pPr>
      <w:r>
        <w:t>Họ đã lập ra các kế hoạch hành động.</w:t>
      </w:r>
    </w:p>
    <w:p>
      <w:pPr>
        <w:numPr>
          <w:ilvl w:val="0"/>
          <w:numId w:val="5"/>
        </w:numPr>
        <w:pStyle w:val="Para 013"/>
      </w:pPr>
      <w:r>
        <w:t>Họ chịu trách nhiệm về các quyết định.</w:t>
      </w:r>
    </w:p>
    <w:p>
      <w:pPr>
        <w:numPr>
          <w:ilvl w:val="0"/>
          <w:numId w:val="5"/>
        </w:numPr>
        <w:pStyle w:val="Para 013"/>
      </w:pPr>
      <w:r>
        <w:t>Họ chịu trách nhiệm trong việc giao tiếp.</w:t>
      </w:r>
    </w:p>
    <w:p>
      <w:pPr>
        <w:numPr>
          <w:ilvl w:val="0"/>
          <w:numId w:val="5"/>
        </w:numPr>
        <w:pStyle w:val="Para 013"/>
      </w:pPr>
      <w:r>
        <w:t>Họ tập trung vào cơ hội thay vì vấn đề.</w:t>
      </w:r>
    </w:p>
    <w:p>
      <w:pPr>
        <w:numPr>
          <w:ilvl w:val="0"/>
          <w:numId w:val="5"/>
        </w:numPr>
        <w:pStyle w:val="Para 013"/>
      </w:pPr>
      <w:r>
        <w:bookmarkStart w:id="392" w:name="page06_3"/>
        <w:t/>
        <w:bookmarkEnd w:id="392"/>
        <w:t>Họ tổ chức các cuộc họp hiệu quả.</w:t>
      </w:r>
    </w:p>
    <w:p>
      <w:pPr>
        <w:numPr>
          <w:ilvl w:val="0"/>
          <w:numId w:val="5"/>
        </w:numPr>
        <w:pStyle w:val="Para 013"/>
      </w:pPr>
      <w:r>
        <w:t>Họ suy nghĩ và nói “chúng ta” thay vì “tôi”.</w:t>
      </w:r>
    </w:p>
    <w:p>
      <w:pPr>
        <w:pStyle w:val="Normal"/>
      </w:pPr>
      <w:r>
        <w:t>Hai thực hành đầu tiên giúp họ có được kiến thức cần thiết. Bốn thực hành tiếp theo giúp họ biến kiến thức đó thành hành động hiệu quả. Hai thực hành cuối đảm bảo toàn bộ tổ chức cảm thấy có trách nhiệm và chịu trách nhiệm.</w:t>
      </w:r>
    </w:p>
    <w:p>
      <w:bookmarkStart w:id="393" w:name="GET_THE_KNOWLEDGE_YOU_NEED"/>
      <w:pPr>
        <w:pStyle w:val="Para 037"/>
      </w:pPr>
      <w:r>
        <w:t>CÓ ĐƯỢC KIẾN THỨC BẠN CẦN</w:t>
      </w:r>
      <w:bookmarkEnd w:id="393"/>
    </w:p>
    <w:p>
      <w:pPr>
        <w:pStyle w:val="Normal"/>
      </w:pPr>
      <w:r>
        <w:t xml:space="preserve">Thực hành đầu tiên là tự hỏi điều gì cần được làm. Lưu ý rằng câu hỏi không phải là “Tôi muốn làm gì?” Hỏi điều gì cần làm, và coi trọng câu hỏi đó, là yếu tố quan trọng cho sự thành công trong quản lý. Không hỏi câu hỏi này sẽ khiến</w:t>
        <w:bookmarkStart w:id="394" w:name="page06_4"/>
        <w:t> </w:t>
        <w:bookmarkEnd w:id="394"/>
        <w:t>ngay cả nhà điều hành tài giỏi nhất cũng trở nên kém hiệu quả.</w:t>
      </w:r>
    </w:p>
    <w:p>
      <w:pPr>
        <w:pStyle w:val="Normal"/>
      </w:pPr>
      <w:r>
        <w:t>Khi Truman trở thành tổng thống vào năm 1945, ông biết chính xác mình muốn làm gì: hoàn thành các cải cách kinh tế và xã hội của chính sách New Deal của Roosevelt, vốn đã bị hoãn lại do Thế chiến thứ hai. Tuy nhiên, ngay khi tự hỏi điều gì cần được làm, Truman nhận ra rằng các vấn đề đối ngoại là ưu tiên tuyệt đối. Ông sắp xếp ngày làm việc của mình bắt đầu bằng các buổi học về chính sách đối ngoại từ các bộ trưởng ngoại giao và quốc phòng. Nhờ đó, ông trở thành tổng thống hiệu quả nhất trong lĩnh vực đối ngoại mà nước Mỹ từng có. Ông đã ngăn chặn chủ nghĩa cộng sản ở cả châu Âu và châu Á, và với Kế hoạch Marshall, đã tạo ra 50 năm tăng trưởng kinh tế toàn cầu.</w:t>
      </w:r>
    </w:p>
    <w:p>
      <w:pPr>
        <w:pStyle w:val="Normal"/>
      </w:pPr>
      <w:r>
        <w:bookmarkStart w:id="395" w:name="page06_5"/>
        <w:t>Tương</w:t>
        <w:bookmarkEnd w:id="395"/>
        <w:t> tự, Jack Welch nhận ra rằng điều cần làm tại General Electric khi ông tiếp quản vị trí giám đốc điều hành không phải là việc mở rộng ra nước ngoài như ông mong muốn. Mà là loại bỏ những mảng kinh doanh của GE, dù có lợi nhuận đến đâu, nhưng không thể đứng đầu hoặc đứng nhì trong lĩnh vực của chúng.</w:t>
      </w:r>
    </w:p>
    <w:p>
      <w:pPr>
        <w:pStyle w:val="Normal"/>
      </w:pPr>
      <w:r>
        <w:t xml:space="preserve">Câu trả lời cho câu hỏi “Điều gì cần được làm?” hầu như luôn chứa nhiều hơn một nhiệm vụ cấp bách. Nhưng các nhà điều hành hiệu quả không làm việc dàn trải. Họ tập trung vào một nhiệm vụ nếu có thể. Nếu họ thuộc nhóm người—một nhóm thiểu số đáng kể—làm việc tốt nhất khi có sự thay đổi nhịp độ trong ngày, họ sẽ chọn hai nhiệm vụ. Tôi chưa từng gặp một nhà điều hành nào giữ được hiệu quả khi xử lý cùng lúc hơn hai nhiệm vụ. Vì vậy, sau khi hỏi điều gì cần được làm,</w:t>
        <w:bookmarkStart w:id="396" w:name="page06_6"/>
        <w:t> </w:t>
        <w:bookmarkEnd w:id="396"/>
        <w:t>nhà điều hành hiệu quả sẽ đặt ra thứ tự ưu tiên và tuân thủ chúng. Với CEO, nhiệm vụ ưu tiên có thể là xác định lại sứ mệnh của công ty. Với trưởng bộ phận, có thể là xác định lại mối quan hệ giữa bộ phận và trụ sở chính. Các nhiệm vụ khác, dù quan trọng hay hấp dẫn đến đâu, cũng sẽ bị hoãn lại. Tuy nhiên, sau khi hoàn thành nhiệm vụ ưu tiên ban đầu, nhà điều hành sẽ thiết lập lại các ưu tiên thay vì chuyển sang nhiệm vụ thứ hai trong danh sách ban đầu. Anh ta tự hỏi, “Điều gì cần làm bây giờ?” Điều này thường dẫn đến những ưu tiên mới và khác biệt.</w:t>
      </w:r>
    </w:p>
    <w:p>
      <w:pPr>
        <w:pStyle w:val="Normal"/>
      </w:pPr>
      <w:r>
        <w:t xml:space="preserve">Nhắc lại về CEO nổi tiếng nhất của nước Mỹ: Theo cuốn tự truyện của mình, cứ mỗi 5 năm, Jack Welch lại tự hỏi: “Bây giờ cần phải làm</w:t>
      </w:r>
      <w:r>
        <w:rPr>
          <w:rStyle w:val="Text0"/>
        </w:rPr>
        <w:t> g</w:t>
      </w:r>
      <w:r>
        <w:t>ì?” Và lần nào ông cũng tìm ra một ưu tiên mới và khác biệt.</w:t>
      </w:r>
    </w:p>
    <w:p>
      <w:pPr>
        <w:pStyle w:val="Normal"/>
      </w:pPr>
      <w:r>
        <w:bookmarkStart w:id="397" w:name="page06_7"/>
        <w:t>Nhưng</w:t>
        <w:bookmarkEnd w:id="397"/>
        <w:t> trước khi quyết định sẽ tập trung nỗ lực vào đâu trong 5 năm tới, Welch còn suy nghĩ thấu đáo một vấn đề khác. Ông tự hỏi trong hai hoặc ba nhiệm vụ hàng đầu trong danh sách, nhiệm vụ nào bản thân mình phù hợp nhất để đảm nhận. Sau đó ông tập trung vào nhiệm vụ đó; những việc khác ông giao lại cho người khác. Các nhà điều hành hiệu quả cố gắng tập trung vào những công việc mà họ sẽ làm đặc biệt tốt. Họ biết rằng doanh nghiệp chỉ hoạt động tốt khi ban lãnh đạo cấp cao hoạt động tốt—và sẽ không tốt nếu ban lãnh đạo không hoạt động tốt.</w:t>
      </w:r>
    </w:p>
    <w:p>
      <w:pPr>
        <w:pStyle w:val="Normal"/>
      </w:pPr>
      <w:r>
        <w:t xml:space="preserve">Thói quen thứ hai của các nhà điều hành hiệu quả—cũng quan trọng không kém thói quen thứ nhất—là tự hỏi: “Điều này có đúng đắn cho doanh nghiệp không?” Họ không hỏi liệu điều đó có đúng với chủ sở hữu, giá cổ phiếu, nhân viên hoặc các nhà điều hành không. Tất nhiên họ biết rằng cổ đông, nhân viên và các nhà điều hành là những nhóm</w:t>
        <w:bookmarkStart w:id="398" w:name="page06_8"/>
        <w:t> đ</w:t>
        <w:bookmarkEnd w:id="398"/>
        <w:t>ối tượng quan trọng cần phải ủng hộ một quyết định, hoặc ít nhất là chấp nhận nó, nếu quyết định đó muốn phát huy hiệu quả. Họ biết rằng giá cổ phiếu không chỉ quan trọng với cổ đông mà còn với chính doanh nghiệp, vì tỷ lệ giá trên thu nhập (price/earnings ratio) quyết định chi phí vốn. Nhưng họ cũng biết rằng một quyết định không đúng đắn cho doanh nghiệp thì cuối cùng cũng sẽ không đúng đắn cho bất kỳ bên liên quan (stakeholder) nào.</w:t>
      </w:r>
    </w:p>
    <w:p>
      <w:pPr>
        <w:pStyle w:val="Normal"/>
      </w:pPr>
      <w:r>
        <w:t xml:space="preserve">Thói quen thứ hai này đặc biệt quan trọng đối với các nhà điều hành tại các doanh nghiệp gia đình—vốn chiếm phần lớn doanh nghiệp ở mọi quốc gia—nhất là khi họ đưa ra các quyết định về nhân sự. Trong một công ty gia đình thành đạt, một người thân chỉ được thăng chức nếu người đó rõ ràng vượt trội hơn tất cả những người không phải là thân nhân ở cùng cấp bậc. Ví dụ</w:t>
        <w:bookmarkStart w:id="399" w:name="page06_9"/>
        <w:t> </w:t>
        <w:bookmarkEnd w:id="399"/>
        <w:t>như tại DuPont, trong những năm đầu khi công ty được điều hành như một doanh nghiệp gia đình, tất cả các nhà quản lý cấp cao (trừ kế toán trưởng và luật sư) đều là thành viên trong gia đình. Tất cả hậu duệ nam của những người sáng lập đều có quyền được nhận vào các vị trí khởi điểm (entry-level) tại công ty. Trên cấp khởi điểm, một thành viên gia đình chỉ được thăng chức nếu một hội đồng chủ yếu gồm các nhà quản lý không phải là người thân đánh giá người đó vượt trội về năng lực và kết quả công việc so với tất cả các nhân viên khác ở cùng cấp. Quy tắc tương tự đã được tuân thủ suốt một thế kỷ trong doanh nghiệp gia đình rất thành công của Anh là J. Lyons &amp; Company (nay thuộc một tập đoàn lớn) khi công ty này thống trị các ngành dịch vụ thực phẩm và khách sạn của Anh.</w:t>
      </w:r>
    </w:p>
    <w:p>
      <w:pPr>
        <w:pStyle w:val="Normal"/>
      </w:pPr>
      <w:r>
        <w:bookmarkStart w:id="400" w:name="page06_10"/>
        <w:t>Việc</w:t>
        <w:bookmarkEnd w:id="400"/>
        <w:t xml:space="preserve"> đặt câu hỏi “Điều gì là đúng đắn cho doanh nghiệp?” không đảm bảo rằng quyết định đúng đắn sẽ được đưa ra. Ngay cả nhà điều hành xuất sắc nhất cũng là con người, và do đó dễ mắc sai lầm và thiên kiến. Nhưng không đặt câu hỏi đó thì gần như chắc chắn sẽ dẫn đến</w:t>
      </w:r>
      <w:r>
        <w:rPr>
          <w:rStyle w:val="Text0"/>
        </w:rPr>
        <w:t> quyết</w:t>
      </w:r>
      <w:r>
        <w:t xml:space="preserve"> định sai lầm.</w:t>
      </w:r>
    </w:p>
    <w:p>
      <w:bookmarkStart w:id="401" w:name="WRITE_AN_ACTION_PLAN"/>
      <w:pPr>
        <w:pStyle w:val="Para 037"/>
      </w:pPr>
      <w:r>
        <w:t>VIẾT KẾ HOẠCH HÀNH ĐỘNG</w:t>
      </w:r>
      <w:bookmarkEnd w:id="401"/>
    </w:p>
    <w:p>
      <w:pPr>
        <w:pStyle w:val="Normal"/>
      </w:pPr>
      <w:r>
        <w:t>Nhà điều hành là người hành động; họ thực thi. Kiến thức trở nên vô dụng với nhà điều hành cho đến khi nó được chuyển hóa thành việc làm cụ thể. Nhưng trước khi bắt tay vào hành động, nhà điều hành cần vạch ra lộ trình của mình. Anh ta cần suy nghĩ về kết quả mong muốn, những ràng buộc có thể xảy ra, những điều chỉnh trong tương lai, các điểm kiểm tra và tác động đến việc anh ta sẽ sử dụng thời gian như thế nào.</w:t>
      </w:r>
    </w:p>
    <w:p>
      <w:pPr>
        <w:pStyle w:val="Normal"/>
      </w:pPr>
      <w:r>
        <w:bookmarkStart w:id="402" w:name="page06_11"/>
        <w:t>Đầu</w:t>
        <w:bookmarkEnd w:id="402"/>
        <w:t> tiên, nhà điều hành xác định kết quả mong muốn bằng cách tự hỏi: “Doanh nghiệp nên kỳ vọng những đóng góp nào từ tôi trong 18 tháng tới đến hai năm? Tôi sẽ cam kết với kết quả nào? Với thời hạn nào?” Sau đó, anh ta xem xét những ràng buộc đối với hành động: “Hướng hành động này có đạo đức không? Nó có được chấp nhận trong tổ chức không? Nó có hợp pháp không? Nó có phù hợp với sứ mệnh, giá trị và chính sách của tổ chức không?” Những câu trả lời khẳng định không đảm bảo rằng hành động sẽ hiệu quả. Nhưng vi phạm những ràng buộc này chắc chắn sẽ khiến nó trở nên sai lầm và kém hiệu quả.</w:t>
      </w:r>
    </w:p>
    <w:p>
      <w:pPr>
        <w:pStyle w:val="Normal"/>
      </w:pPr>
      <w:r>
        <w:t xml:space="preserve">Kế hoạch hành động là một tuyên bố về ý định hơn là một cam kết. Nó không được trở thành một sự gò bó. Nó nên được sửa đổi thường xuyên, vì mỗi thành công tạo ra cơ hội mới. Mỗi</w:t>
        <w:bookmarkStart w:id="403" w:name="page06_12"/>
        <w:t> </w:t>
        <w:bookmarkEnd w:id="403"/>
        <w:t>thất bại cũng vậy. Điều tương tự cũng đúng với những thay đổi trong môi trường kinh doanh, trên thị trường, và đặc biệt là trong con người của doanh nghiệp—tất cả những thay đổi này đòi hỏi kế hoạch phải được điều chỉnh. Một kế hoạch bằng văn bản nên lường trước nhu cầu linh hoạt.</w:t>
      </w:r>
    </w:p>
    <w:p>
      <w:pPr>
        <w:pStyle w:val="Normal"/>
      </w:pPr>
      <w:r>
        <w:t>Ngoài ra, kế hoạch hành động cần tạo ra một hệ thống để đối chiếu kết quả với kỳ vọng. Các nhà điều hành hiệu quả thường xây dựng hai điểm kiểm tra như vậy trong kế hoạch hành động của họ. Điểm kiểm tra đầu tiên nằm ở giữa khoảng thời gian của kế hoạch; ví dụ, vào tháng thứ chín. Điểm thứ hai diễn ra ở cuối kỳ, trước khi kế hoạch hành động tiếp theo được soạn thảo.</w:t>
      </w:r>
    </w:p>
    <w:p>
      <w:pPr>
        <w:pStyle w:val="Normal"/>
      </w:pPr>
      <w:r>
        <w:t xml:space="preserve">Cuối cùng, kế hoạch hành động phải trở thành nền tảng cho việc quản lý thời gian của nhà điều</w:t>
        <w:bookmarkStart w:id="404" w:name="page06_13"/>
        <w:t> </w:t>
        <w:bookmarkEnd w:id="404"/>
        <w:t>hành. Thời gian là nguồn lực khan hiếm và quý giá nhất của nhà điều hành. Và các tổ chức—dù là cơ quan chính phủ, doanh nghiệp, hay tổ chức phi lợi nhuận—vốn dĩ gây lãng phí thời gian. Kế hoạch hành động sẽ vô dụng trừ khi nó được phép quyết định cách nhà điều hành sử dụng thời gian của mình.</w:t>
      </w:r>
    </w:p>
    <w:p>
      <w:pPr>
        <w:pStyle w:val="Normal"/>
      </w:pPr>
      <w:r>
        <w:t>Napoleon được cho là từng nói rằng không một trận chiến thắng lợi nào diễn ra đúng kế hoạch ban đầu của nó. Thế nhưng Napoleon cũng đã lên kế hoạch cho từng trận chiến của mình, tỉ mỉ hơn nhiều so với bất kỳ vị tướng nào trước đó. Không có kế hoạch hành động, nhà điều hành trở thành tù nhân của các sự kiện. Và không có các điểm kiểm tra để xem xét lại kế hoạch khi sự việc diễn biến, nhà điều hành không có cách nào biết được sự kiện nào thực sự quan trọng và sự kiện nào chỉ là nhiễu.</w:t>
      </w:r>
    </w:p>
    <w:p>
      <w:bookmarkStart w:id="405" w:name="ACT"/>
      <w:pPr>
        <w:pStyle w:val="Para 037"/>
      </w:pPr>
      <w:r>
        <w:bookmarkStart w:id="406" w:name="page06_14"/>
        <w:t/>
        <w:bookmarkEnd w:id="406"/>
        <w:t>HÀNH ĐỘNG</w:t>
      </w:r>
      <w:bookmarkEnd w:id="405"/>
    </w:p>
    <w:p>
      <w:pPr>
        <w:pStyle w:val="Normal"/>
      </w:pPr>
      <w:r>
        <w:t>Khi chuyển kế hoạch thành hành động, các nhà điều hành cần đặc biệt chú ý đến việc ra quyết định, giao tiếp, cơ hội (thay vì vấn đề), và các cuộc họp. Tôi sẽ xem xét lần lượt từng khía cạnh.</w:t>
      </w:r>
    </w:p>
    <w:p>
      <w:pPr>
        <w:pStyle w:val="Para 099"/>
      </w:pPr>
      <w:r>
        <w:t>Chịu trách nhiệm về các quyết định</w:t>
      </w:r>
    </w:p>
    <w:p>
      <w:pPr>
        <w:pStyle w:val="Normal"/>
      </w:pPr>
      <w:r>
        <w:t>Một quyết định chưa được coi là hoàn tất cho đến khi mọi người biết:</w:t>
      </w:r>
    </w:p>
    <w:p>
      <w:pPr>
        <w:numPr>
          <w:ilvl w:val="0"/>
          <w:numId w:val="6"/>
        </w:numPr>
        <w:pStyle w:val="Para 013"/>
      </w:pPr>
      <w:r>
        <w:t>tên của người chịu trách nhiệm thực hiện quyết định đó;</w:t>
      </w:r>
    </w:p>
    <w:p>
      <w:pPr>
        <w:numPr>
          <w:ilvl w:val="0"/>
          <w:numId w:val="6"/>
        </w:numPr>
        <w:pStyle w:val="Para 013"/>
      </w:pPr>
      <w:r>
        <w:t>hạn chót;</w:t>
      </w:r>
    </w:p>
    <w:p>
      <w:pPr>
        <w:numPr>
          <w:ilvl w:val="0"/>
          <w:numId w:val="6"/>
        </w:numPr>
        <w:pStyle w:val="Para 013"/>
      </w:pPr>
      <w:r>
        <w:t xml:space="preserve">tên của những người sẽ bị ảnh hưởng bởi quyết định và do đó phải biết, hiểu và chấp</w:t>
        <w:bookmarkStart w:id="407" w:name="page06_15"/>
        <w:t> th</w:t>
        <w:bookmarkEnd w:id="407"/>
        <w:t>uận—hoặc ít nhất không phản đối kịch liệt—và</w:t>
      </w:r>
    </w:p>
    <w:p>
      <w:pPr>
        <w:numPr>
          <w:ilvl w:val="0"/>
          <w:numId w:val="6"/>
        </w:numPr>
        <w:pStyle w:val="Para 013"/>
      </w:pPr>
      <w:r>
        <w:t>tên của những người cần được thông báo về quyết định, ngay cả khi họ không bị ảnh hưởng trực tiếp.</w:t>
      </w:r>
    </w:p>
    <w:p>
      <w:pPr>
        <w:pStyle w:val="Normal"/>
      </w:pPr>
      <w:r>
        <w:t>Rất nhiều quyết định của tổ chức gặp rắc rối vì thiếu những điều cơ bản này. 30 năm trước, một khách hàng của tôi đã mất vị trí dẫn đầu tại thị trường Nhật Bản đang phát triển nhanh chóng, vì sau khi quyết định liên doanh với một đối tác Nhật mới, công ty không bao giờ làm rõ ai sẽ thông báo cho các nhân viên thu mua rằng đối tác này dùng mét và kilogram thay vì feet và pound để xác định thông số—và không ai truyền đạt thông tin đó.</w:t>
      </w:r>
    </w:p>
    <w:p>
      <w:pPr>
        <w:pStyle w:val="Normal"/>
      </w:pPr>
      <w:r>
        <w:bookmarkStart w:id="408" w:name="page06_16"/>
        <w:t>Việc</w:t>
        <w:bookmarkEnd w:id="408"/>
        <w:t> xem xét lại các quyết định định kỳ—vào thời điểm đã được thống nhất trước—cũng quan trọng như việc đưa ra chúng một cách cẩn thận ngay từ đầu. Bằng cách đó, một quyết định tồi có thể được sửa chữa trước khi nó gây ra thiệt hại thực sự. Các buổi xem xét này có thể bao trùm mọi thứ, từ kết quả đến những giả định nền tảng cho quyết định.</w:t>
      </w:r>
    </w:p>
    <w:p>
      <w:pPr>
        <w:pStyle w:val="Normal"/>
      </w:pPr>
      <w:r>
        <w:t xml:space="preserve">Việc xem xét như vậy đặc biệt quan trọng đối với những quyết định quan trọng và khó khăn nhất trong tất cả các quyết định, đó là những quyết định về tuyển dụng hoặc thăng chức cho nhân viên. Các nghiên cứu về các quyết định nhân sự cho thấy chỉ có khoảng một phần ba những lựa chọn này thực sự thành công. Một phần ba có thể là hòa—không phải thành công cũng chẳng phải thất bại hoàn toàn. Và một phần ba là thất bại hoàn toàn. Các nhà điều hành hiệu</w:t>
        <w:bookmarkStart w:id="409" w:name="page06_17"/>
        <w:t> </w:t>
        <w:bookmarkEnd w:id="409"/>
        <w:t>quả hiểu điều này và kiểm tra lại (sáu đến chín tháng sau) kết quả của các quyết định nhân sự. Nếu họ thấy rằng một quyết định không mang lại kết quả như mong muốn, họ không kết luận rằng nhân viên đó đã không hoàn thành nhiệm vụ. Thay vào đó, họ kết luận rằng chính họ đã phạm sai lầm. Trong một doanh nghiệp được quản lý tốt, người ta hiểu rằng những người thất bại trong công việc mới, đặc biệt là sau khi được thăng chức, có thể không phải là người đáng trách.</w:t>
      </w:r>
    </w:p>
    <w:p>
      <w:pPr>
        <w:pStyle w:val="Normal"/>
      </w:pPr>
      <w:r>
        <w:t xml:space="preserve">Các nhà điều hành cũng có trách nhiệm với tổ chức và đồng nghiệp là không dung thứ cho những cá nhân không hoàn thành nhiệm vụ ở các vị trí quan trọng. Có thể không phải lỗi của nhân viên khi họ làm việc kém hiệu quả, nhưng dù vậy, họ vẫn phải bị thay thế. Những người thất bại trong công việc mới nên được lựa chọn quay trở lại công</w:t>
        <w:bookmarkStart w:id="410" w:name="page06_18"/>
        <w:t> v</w:t>
        <w:bookmarkEnd w:id="410"/>
        <w:t>iệc ở cấp bậc và mức lương cũ. Lựa chọn này hiếm khi được sử dụng; những người như vậy thường tự nguyện rời đi, ít nhất là khi chủ lao động của họ là các công ty Mỹ. Nhưng sự tồn tại của lựa chọn này có thể có ảnh hưởng mạnh mẽ, khuyến khích mọi người rời bỏ những công việc an toàn, thoải mái để nhận những nhiệm vụ mới đầy rủi ro. Hiệu quả hoạt động của tổ chức phụ thuộc vào sự sẵn lòng của nhân viên trong việc chấp nhận những cơ hội như vậy.</w:t>
      </w:r>
    </w:p>
    <w:p>
      <w:pPr>
        <w:pStyle w:val="Normal"/>
      </w:pPr>
      <w:r>
        <w:t xml:space="preserve">Một quy trình rà soát quyết định có hệ thống (systematic decision review) cũng có thể là công cụ mạnh mẽ để tự phát triển bản thân. Đối chiếu kết quả của một quyết định với kỳ vọng ban đầu sẽ cho các nhà điều hành thấy điểm mạnh của họ, những điều cần cải thiện, và những lĩnh vực họ còn thiếu kiến thức hoặc thông tin. Nó cũng cho họ thấy những thiên</w:t>
        <w:bookmarkStart w:id="411" w:name="page06_19"/>
        <w:t> </w:t>
        <w:bookmarkEnd w:id="411"/>
        <w:t>kiến (bias) của mình. Rất thường xuyên, nó cho thấy rằng các quyết định của họ không mang lại kết quả vì họ đã không giao đúng người cho công việc. Việc bố trí những người giỏi nhất vào đúng vị trí là một công việc quan trọng và khó khăn mà nhiều nhà điều hành thường xem nhẹ, một phần vì những người giỏi nhất đã quá bận rộn. Rà soát quyết định có hệ thống cũng cho các nhà điều hành thấy điểm yếu của chính họ, đặc biệt là những lĩnh vực mà họ thực sự không có năng lực. Trong những lĩnh vực này, các nhà điều hành thông minh sẽ không tự ra quyết định hay hành động. Họ ủy quyền (delegate). Ai cũng có những lĩnh vực như vậy; không có ai là thiên tài quản lý toàn diện.</w:t>
      </w:r>
    </w:p>
    <w:p>
      <w:pPr>
        <w:pStyle w:val="Normal"/>
      </w:pPr>
      <w:r>
        <w:t xml:space="preserve">Hầu hết các cuộc thảo luận về việc ra quyết định thường cho rằng chỉ có các nhà điều hành cấp cao mới ra quyết định hoặc</w:t>
        <w:bookmarkStart w:id="412" w:name="page06_20"/>
        <w:t> </w:t>
        <w:bookmarkEnd w:id="412"/>
        <w:t>chỉ có quyết định của họ mới quan trọng. Đây là một sai lầm nguy hiểm. Quyết định được đưa ra ở mọi cấp độ của tổ chức, bắt đầu từ từng nhân viên chuyên môn (professional contributor) và các giám sát viên tuyến đầu (frontline supervisor). Những quyết định tưởng chừng ở cấp thấp này lại cực kỳ quan trọng trong một tổ chức dựa trên tri thức (knowledge-based organization). Nhân viên tri thức (knowledge worker) được cho là hiểu rõ hơn bất kỳ ai về lĩnh vực chuyên môn của họ—ví dụ như kế toán thuế—nên quyết định của họ có thể ảnh hưởng đến toàn công ty. Ra quyết định đúng đắn là một kỹ năng quan trọng ở mọi cấp bậc. Kỹ năng này cần được giảng dạy một cách rõ ràng cho tất cả mọi người trong các tổ chức dựa trên tri thức.</w:t>
      </w:r>
    </w:p>
    <w:p>
      <w:pPr>
        <w:pStyle w:val="Para 099"/>
      </w:pPr>
      <w:r>
        <w:bookmarkStart w:id="413" w:name="page06_21"/>
        <w:t/>
        <w:bookmarkEnd w:id="413"/>
        <w:t>Chịu trách nhiệm trong giao tiếp</w:t>
      </w:r>
    </w:p>
    <w:p>
      <w:pPr>
        <w:pStyle w:val="Normal"/>
      </w:pPr>
      <w:r>
        <w:t>Các nhà điều hành hiệu quả đảm bảo rằng cả kế hoạch hành động và nhu cầu thông tin của họ đều được hiểu rõ. Cụ thể, điều này có nghĩa là họ chia sẻ kế hoạch của mình và xin ý kiến từ tất cả đồng nghiệp—cấp trên, cấp dưới và đồng cấp. Đồng thời, họ cho mỗi người biết họ cần thông tin gì để hoàn thành công việc. Dòng thông tin từ cấp dưới lên cấp trên thường nhận được nhiều sự chú ý nhất. Nhưng các nhà điều hành cũng cần quan tâm không kém đến nhu cầu thông tin của đồng cấp và cấp trên.</w:t>
      </w:r>
    </w:p>
    <w:p>
      <w:pPr>
        <w:pStyle w:val="Normal"/>
      </w:pPr>
      <w:r>
        <w:t xml:space="preserve">Chúng ta đều biết, nhờ tác phẩm kinh điển 'The Functions of the</w:t>
      </w:r>
      <w:r>
        <w:rPr>
          <w:rStyle w:val="Text0"/>
        </w:rPr>
        <w:t> Executive' (Chức năng của nhà điều</w:t>
      </w:r>
      <w:r>
        <w:t xml:space="preserve"> hành) của Chester Barnard xuất bản năm 1938, rằng</w:t>
        <w:bookmarkStart w:id="414" w:name="page06_22"/>
        <w:t> </w:t>
        <w:bookmarkEnd w:id="414"/>
        <w:t>các tổ chức được gắn kết với nhau bằng thông tin chứ không phải bằng quyền sở hữu hay mệnh lệnh. Tuy nhiên, vẫn còn quá nhiều nhà điều hành hành xử như thể thông tin và dòng chảy của nó là việc của chuyên gia thông tin—ví dụ như kế toán. Kết quả là họ nhận được một lượng dữ liệu khổng lồ mà họ không cần và không thể sử dụng, nhưng lại có rất ít thông tin mà họ thực sự cần. Cách tốt nhất để giải quyết vấn đề này là mỗi nhà điều hành phải xác định thông tin mình cần, yêu cầu được cung cấp, và kiên trì theo đuổi cho đến khi nhận được nó.</w:t>
      </w:r>
    </w:p>
    <w:p>
      <w:pPr>
        <w:pStyle w:val="Para 099"/>
      </w:pPr>
      <w:r>
        <w:t>Tập trung vào cơ hội</w:t>
      </w:r>
    </w:p>
    <w:p>
      <w:pPr>
        <w:pStyle w:val="Normal"/>
      </w:pPr>
      <w:r>
        <w:t xml:space="preserve">Các nhà điều hành giỏi tập trung vào cơ hội thay vì vấn đề. Tất nhiên, các vấn đề cần được giải quyết; chúng không thể bị giấu nhẹm đi. Nhưng giải quyết vấn đề, dù cần thiết, không tạo ra kết</w:t>
        <w:bookmarkStart w:id="415" w:name="page06_23"/>
        <w:t> q</w:t>
        <w:bookmarkEnd w:id="415"/>
        <w:t>uả. Nó chỉ ngăn ngừa thiệt hại. Khai thác cơ hội mới tạo ra kết quả.</w:t>
      </w:r>
    </w:p>
    <w:p>
      <w:pPr>
        <w:pStyle w:val="Normal"/>
      </w:pPr>
      <w:r>
        <w:t>Trên hết, các nhà điều hành hiệu quả coi sự thay đổi là cơ hội chứ không phải mối đe dọa. Họ xem xét một cách có hệ thống những thay đổi bên trong và bên ngoài công ty, và tự hỏi: "Làm thế nào chúng ta có thể tận dụng sự thay đổi này như một cơ hội cho doanh nghiệp của mình?" Cụ thể, các nhà điều hành rà soát bảy tình huống sau để tìm kiếm cơ hội:</w:t>
      </w:r>
    </w:p>
    <w:p>
      <w:pPr>
        <w:numPr>
          <w:ilvl w:val="0"/>
          <w:numId w:val="7"/>
        </w:numPr>
        <w:pStyle w:val="Para 013"/>
      </w:pPr>
      <w:r>
        <w:t>một thành công hoặc thất bại bất ngờ trong doanh nghiệp của họ, trong một doanh nghiệp cạnh tranh, hoặc trong ngành;</w:t>
      </w:r>
    </w:p>
    <w:p>
      <w:pPr>
        <w:numPr>
          <w:ilvl w:val="0"/>
          <w:numId w:val="7"/>
        </w:numPr>
        <w:pStyle w:val="Para 013"/>
      </w:pPr>
      <w:r>
        <w:t xml:space="preserve">khoảng cách giữa thực tế hiện tại và tiềm năng có thể có trong một thị trường, quy trình, sản phẩm hoặc dịch vụ (ví dụ, vào thế kỷ</w:t>
        <w:bookmarkStart w:id="416" w:name="page06_24"/>
        <w:t> </w:t>
        <w:bookmarkEnd w:id="416"/>
        <w:t>19, ngành giấy tập trung vào 10% mỗi cây trở thành bột gỗ và hoàn toàn bỏ qua tiềm năng của 90% còn lại, vốn trở thành chất thải);</w:t>
      </w:r>
    </w:p>
    <w:p>
      <w:pPr>
        <w:numPr>
          <w:ilvl w:val="0"/>
          <w:numId w:val="7"/>
        </w:numPr>
        <w:pStyle w:val="Para 013"/>
      </w:pPr>
      <w:r>
        <w:t>sự đổi mới trong quy trình, sản phẩm hoặc dịch vụ, dù là bên trong hay bên ngoài doanh nghiệp hoặc ngành của nó;</w:t>
      </w:r>
    </w:p>
    <w:p>
      <w:pPr>
        <w:numPr>
          <w:ilvl w:val="0"/>
          <w:numId w:val="7"/>
        </w:numPr>
        <w:pStyle w:val="Para 013"/>
      </w:pPr>
      <w:r>
        <w:t>những thay đổi trong cấu trúc ngành và cấu trúc thị trường;</w:t>
      </w:r>
    </w:p>
    <w:p>
      <w:pPr>
        <w:numPr>
          <w:ilvl w:val="0"/>
          <w:numId w:val="7"/>
        </w:numPr>
        <w:pStyle w:val="Para 013"/>
      </w:pPr>
      <w:r>
        <w:t>nhân khẩu học;</w:t>
      </w:r>
    </w:p>
    <w:p>
      <w:pPr>
        <w:numPr>
          <w:ilvl w:val="0"/>
          <w:numId w:val="7"/>
        </w:numPr>
        <w:pStyle w:val="Para 013"/>
      </w:pPr>
      <w:r>
        <w:t>những thay đổi trong tư duy, giá trị, nhận thức, tâm trạng hoặc ý nghĩa; và</w:t>
      </w:r>
    </w:p>
    <w:p>
      <w:pPr>
        <w:numPr>
          <w:ilvl w:val="0"/>
          <w:numId w:val="7"/>
        </w:numPr>
        <w:pStyle w:val="Para 013"/>
      </w:pPr>
      <w:r>
        <w:t>kiến thức mới hoặc công nghệ mới.</w:t>
      </w:r>
    </w:p>
    <w:p>
      <w:pPr>
        <w:pStyle w:val="Normal"/>
      </w:pPr>
      <w:r>
        <w:t xml:space="preserve">Các nhà điều hành hiệu quả cũng đảm bảo rằng các vấn đề không lấn át các cơ hội.</w:t>
        <w:bookmarkStart w:id="417" w:name="page06_25"/>
        <w:t> Tr</w:t>
        <w:bookmarkEnd w:id="417"/>
        <w:t>ong hầu hết các công ty, trang đầu của báo cáo quản lý hàng tháng liệt kê các vấn đề chính. Sẽ khôn ngoan hơn nhiều nếu liệt kê các cơ hội ở trang đầu và để các vấn đề ở trang thứ hai. Trừ khi có một thảm họa thực sự, các vấn đề sẽ không được thảo luận trong các cuộc họp quản lý cho đến khi các cơ hội đã được phân tích và xử lý đúng cách.</w:t>
      </w:r>
    </w:p>
    <w:p>
      <w:pPr>
        <w:pStyle w:val="Normal"/>
      </w:pPr>
      <w:r>
        <w:t xml:space="preserve">Bố trí nhân sự là một khía cạnh quan trọng khác của việc tập trung vào cơ hội. Các nhà điều hành hiệu quả đặt những người giỏi nhất của họ vào các cơ hội thay vì vào các vấn đề. Một cách để bố trí nhân sự cho các cơ hội là yêu cầu mỗi thành viên của nhóm quản lý chuẩn bị hai danh sách mỗi sáu tháng—một danh sách các cơ hội cho toàn doanh nghiệp và một danh sách những người có thành tích tốt nhất trong toàn doanh nghiệp. Các danh sách này được thảo luận, sau đó được</w:t>
        <w:bookmarkStart w:id="418" w:name="page06_26"/>
        <w:t> </w:t>
        <w:bookmarkEnd w:id="418"/>
        <w:t>hợp nhất thành hai danh sách tổng hợp, và những người giỏi nhất được ghép với những cơ hội tốt nhất. Nhân tiện, ở Nhật Bản, việc ghép cặp này được coi là một nhiệm vụ nhân sự lớn trong một tập đoàn lớn hoặc cơ quan chính phủ; thực hành đó là một trong những điểm mạnh chính của doanh nghiệp Nhật Bản.</w:t>
      </w:r>
    </w:p>
    <w:p>
      <w:pPr>
        <w:pStyle w:val="Para 099"/>
      </w:pPr>
      <w:r>
        <w:t>Làm cho các cuộc họp hiệu quả</w:t>
      </w:r>
    </w:p>
    <w:p>
      <w:pPr>
        <w:pStyle w:val="Normal"/>
      </w:pPr>
      <w:r>
        <w:t xml:space="preserve">Nhà điều hành phi chính phủ nổi bật nhất, quyền lực nhất, và có thể nói là hiệu quả nhất ở nước Mỹ trong Thế chiến II và những năm sau đó không phải là một doanh nhân. Đó là Francis Cardinal Spellman, người đứng đầu Tổng giáo phận Công giáo La Mã New York và là cố vấn cho một số tổng thống Hoa Kỳ. Khi Spellman tiếp quản, giáo phận đã</w:t>
        <w:bookmarkStart w:id="419" w:name="page06_27"/>
        <w:t> </w:t>
        <w:bookmarkEnd w:id="419"/>
        <w:t>phá sản và hoàn toàn mất tinh thần. Người kế nhiệm của ông đã kế thừa vị trí lãnh đạo trong Giáo hội Công giáo Hoa Kỳ. Spellman thường nói rằng trong thời gian thức, ông chỉ ở một mình hai lần mỗi ngày, mỗi lần 25 phút: khi ông cử hành Thánh lễ trong nhà nguyện riêng sau khi thức dậy vào buổi sáng và khi ông cầu nguyện buổi tối trước khi đi ngủ. Ngoài ra, ông luôn ở bên mọi người trong các cuộc họp, bắt đầu từ bữa sáng với một tổ chức Công giáo này và kết thúc bằng bữa tối với một tổ chức khác.</w:t>
      </w:r>
    </w:p>
    <w:p>
      <w:pPr>
        <w:pStyle w:val="Normal"/>
      </w:pPr>
      <w:r>
        <w:t xml:space="preserve">Các giám đốc cấp cao không bị giam hãm hoàn toàn như tổng giám mục của một giáo phận Công giáo lớn. Nhưng mọi nghiên cứu về ngày làm việc của giám đốc đều cho thấy ngay cả giám đốc cấp thấp và chuyên gia cũng dành hơn nửa ngày làm việc</w:t>
        <w:bookmarkStart w:id="420" w:name="page06_28"/>
        <w:t> </w:t>
        <w:bookmarkEnd w:id="420"/>
        <w:t>để gặp gỡ người khác—nghĩa là tham dự một cuộc họp nào đó. Ngoại lệ duy nhất là một số ít nhà nghiên cứu cấp cao. Ngay cả cuộc trò chuyện với chỉ một người khác cũng là một cuộc họp. Vì vậy, nếu muốn hiệu quả, các giám đốc phải làm cho các cuộc họp có hiệu quả. Họ phải đảm bảo rằng các cuộc họp là các phiên làm việc thực sự chứ không phải là các buổi tán gẫu.</w:t>
      </w:r>
    </w:p>
    <w:p>
      <w:pPr>
        <w:pStyle w:val="Normal"/>
      </w:pPr>
      <w:r>
        <w:t>Chìa khóa để điều hành một cuộc họp hiệu quả là quyết định trước đó sẽ là loại cuộc họp nào. Các loại cuộc họp khác nhau đòi hỏi các hình thức chuẩn bị khác nhau và các kết quả khác nhau:</w:t>
      </w:r>
    </w:p>
    <w:p>
      <w:pPr>
        <w:numPr>
          <w:ilvl w:val="0"/>
          <w:numId w:val="8"/>
        </w:numPr>
        <w:pStyle w:val="Para 013"/>
      </w:pPr>
      <w:r>
        <w:rPr>
          <w:rStyle w:val="Text0"/>
        </w:rPr>
        <w:t>Một cuộc họp để chuẩn bị một tuyên bố, một thông báo, hoặc một thông cáo</w:t>
      </w:r>
      <w:r>
        <w:t xml:space="preserve"> báo chí. Để cuộc họp này có hiệu quả, một thành</w:t>
        <w:bookmarkStart w:id="421" w:name="page06_29"/>
        <w:t> </w:t>
        <w:bookmarkEnd w:id="421"/>
        <w:t>viên phải chuẩn bị bản nháp trước. Khi kết thúc cuộc họp, một thành viên được chỉ định trước phải chịu trách nhiệm phổ biến văn bản cuối cùng.</w:t>
      </w:r>
    </w:p>
    <w:p>
      <w:pPr>
        <w:numPr>
          <w:ilvl w:val="0"/>
          <w:numId w:val="8"/>
        </w:numPr>
        <w:pStyle w:val="Para 013"/>
      </w:pPr>
      <w:r>
        <w:rPr>
          <w:rStyle w:val="Text0"/>
        </w:rPr>
        <w:t xml:space="preserve">Một cuộc họp để đưa ra một thông báo—ví dụ, một thay đổi về tổ</w:t>
      </w:r>
      <w:r>
        <w:t> chức. Cuộc họp này nên giới hạn trong việc thông báo và thảo luận về nó.</w:t>
      </w:r>
    </w:p>
    <w:p>
      <w:pPr>
        <w:numPr>
          <w:ilvl w:val="0"/>
          <w:numId w:val="8"/>
        </w:numPr>
        <w:pStyle w:val="Para 013"/>
      </w:pPr>
      <w:r>
        <w:rPr>
          <w:rStyle w:val="Text0"/>
        </w:rPr>
        <w:t>Một cuộc họp trong đó một thành viên báo</w:t>
      </w:r>
      <w:r>
        <w:t xml:space="preserve"> cáo. Không nên thảo luận gì ngoài bản báo cáo đó.</w:t>
      </w:r>
    </w:p>
    <w:p>
      <w:pPr>
        <w:numPr>
          <w:ilvl w:val="0"/>
          <w:numId w:val="8"/>
        </w:numPr>
        <w:pStyle w:val="Para 013"/>
      </w:pPr>
      <w:r>
        <w:rPr>
          <w:rStyle w:val="Text0"/>
        </w:rPr>
        <w:t>Một cuộc họp trong đó một số hoặc tất cả thành viên</w:t>
      </w:r>
      <w:r>
        <w:t xml:space="preserve"> báo cáo. Hoặc là không nên thảo luận gì cả, hoặc là việc thảo</w:t>
        <w:bookmarkStart w:id="422" w:name="page06_30"/>
        <w:t> </w:t>
        <w:bookmarkEnd w:id="422"/>
        <w:t>luận chỉ nên giới hạn trong các câu hỏi để làm rõ. Ngoài ra, với mỗi báo cáo có thể có một cuộc thảo luận ngắn trong đó tất cả người tham dự có thể đặt câu hỏi. Nếu theo hình thức này, các báo cáo nên được gửi đến tất cả người tham dự trước cuộc họp. Trong loại cuộc họp này, mỗi báo cáo nên được giới hạn trong một khoảng thời gian định trước—ví dụ, 15 phút.</w:t>
      </w:r>
    </w:p>
    <w:p>
      <w:pPr>
        <w:numPr>
          <w:ilvl w:val="0"/>
          <w:numId w:val="8"/>
        </w:numPr>
        <w:pStyle w:val="Para 013"/>
      </w:pPr>
      <w:r>
        <w:rPr>
          <w:rStyle w:val="Text0"/>
        </w:rPr>
        <w:t>Một cuộc họp để cung cấp thông tin cho giám</w:t>
      </w:r>
      <w:r>
        <w:t> đốc triệu tập. Người giám đốc nên lắng nghe và đặt câu hỏi. Người đó nên tổng kết nhưng không nên trình bày.</w:t>
      </w:r>
    </w:p>
    <w:p>
      <w:pPr>
        <w:numPr>
          <w:ilvl w:val="0"/>
          <w:numId w:val="8"/>
        </w:numPr>
        <w:pStyle w:val="Para 013"/>
      </w:pPr>
      <w:r>
        <w:rPr>
          <w:rStyle w:val="Text0"/>
        </w:rPr>
        <w:t xml:space="preserve">Một cuộc họp có chức năng duy nhất là cho phép những người tham dự có</w:t>
        <w:bookmarkStart w:id="423" w:name="page06_31"/>
        <w:t> </w:t>
        <w:bookmarkEnd w:id="423"/>
        <w:t>mặt bên cạnh giám đốc.</w:t>
      </w:r>
      <w:r>
        <w:t xml:space="preserve"> Các bữa ăn sáng và tối của Hồng y Spellman là loại cuộc họp như vậy. Không có cách nào để làm cho những cuộc họp này có hiệu quả. Chúng là cái giá phải trả cho địa vị. Các giám đốc cấp cao chỉ hiệu quả ở mức độ họ có thể ngăn những cuộc họp như vậy xâm lấn vào ngày làm việc của mình. Ví dụ, Spellman hiệu quả phần lớn vì ông giới hạn những cuộc họp này trong bữa sáng và bữa tối và giữ cho phần còn lại của ngày làm việc không bị chúng chi phối.</w:t>
      </w:r>
    </w:p>
    <w:p>
      <w:pPr>
        <w:pStyle w:val="Normal"/>
      </w:pPr>
      <w:r>
        <w:t xml:space="preserve">Làm cho một cuộc họp có hiệu quả đòi hỏi rất nhiều sự tự kỷ luật. Nó đòi hỏi các giám đốc phải xác định loại cuộc họp nào</w:t>
        <w:bookmarkStart w:id="424" w:name="page06_32"/>
        <w:t> </w:t>
        <w:bookmarkEnd w:id="424"/>
        <w:t>là phù hợp và sau đó tuân thủ đúng hình thức đó. Cũng cần thiết phải kết thúc cuộc họp ngay khi mục đích cụ thể của nó đã đạt được. Các giám đốc giỏi không đưa ra vấn đề khác để thảo luận. Họ tổng kết và tuyên bố kết thúc.</w:t>
      </w:r>
    </w:p>
    <w:p>
      <w:pPr>
        <w:pStyle w:val="Normal"/>
      </w:pPr>
      <w:r>
        <w:t xml:space="preserve">Việc theo sát sau cuộc họp cũng quan trọng như chính cuộc họp vậy. Bậc thầy vĩ đại trong việc theo sát này là Alfred Sloan, nhà điều hành doanh nghiệp hiệu quả nhất mà tôi từng biết. Sloan, người đứng đầu General Motors từ những năm 1920 đến những năm 1950, dành phần lớn sáu ngày làm việc trong tuần cho các cuộc họp—ba ngày một tuần cho các cuộc họp ủy ban chính thức với thành viên cố định, ba ngày còn lại cho các cuộc họp đột xuất với từng giám đốc điều hành của GM hoặc với một nhóm nhỏ các giám đốc. Khi bắt đầu</w:t>
        <w:bookmarkStart w:id="425" w:name="page06_33"/>
        <w:t> </w:t>
        <w:bookmarkEnd w:id="425"/>
        <w:t xml:space="preserve">một cuộc họp chính thức, Sloan công bố mục đích của cuộc họp. Sau đó ông lắng nghe. Ông không bao giờ ghi chép và hiếm khi phát biểu trừ khi cần làm rõ một điểm khó hiểu. Kết thúc cuộc họp, ông tổng kết, cảm ơn những người tham dự, rồi rời đi. Ngay sau đó, ông viết một bản ghi nhớ ngắn gửi cho một người tham dự cuộc họp. Trong ghi chú đó, ông tóm tắt cuộc thảo luận và các kết luận, đồng thời nêu rõ mọi nhiệm vụ công việc được quyết định trong cuộc họp (bao gồm quyết định tổ chức một cuộc họp khác về chủ đề đó hoặc nghiên cứu một vấn đề). Ông xác định thời hạn hoàn thành và giám đốc điều hành chịu trách nhiệm cho nhiệm vụ đó. Ông gửi một bản sao của bản ghi nhớ tới tất cả những người có mặt trong cuộc họp. Chính nhờ những bản ghi nhớ này—mỗi bản là một kiệt tác nhỏ—mà Sloan</w:t>
        <w:bookmarkStart w:id="426" w:name="page06_34"/>
        <w:t> </w:t>
        <w:bookmarkEnd w:id="426"/>
        <w:t>đã khiến mình trở thành một nhà điều hành hiệu quả xuất sắc.</w:t>
      </w:r>
    </w:p>
    <w:p>
      <w:pPr>
        <w:pStyle w:val="Normal"/>
      </w:pPr>
      <w:r>
        <w:t>Các nhà điều hành hiệu quả biết rằng bất kỳ cuộc họp nào cũng hoặc là hiệu quả hoặc là hoàn toàn lãng phí thời gian.</w:t>
      </w:r>
    </w:p>
    <w:p>
      <w:bookmarkStart w:id="427" w:name="THINK_AND_SAY__WE"/>
      <w:pPr>
        <w:pStyle w:val="Para 037"/>
      </w:pPr>
      <w:r>
        <w:t>SUY NGHĨ VÀ NÓI “CHÚNG TA”</w:t>
      </w:r>
      <w:bookmarkEnd w:id="427"/>
    </w:p>
    <w:p>
      <w:pPr>
        <w:pStyle w:val="Normal"/>
      </w:pPr>
      <w:r>
        <w:t xml:space="preserve">Nguyên tắc cuối cùng là thế này: Đừng nghĩ hay nói “tôi”. Hãy nghĩ và nói “chúng ta”. Các nhà điều hành hiệu quả biết rằng họ có trách nhiệm cuối cùng, điều không thể chia sẻ hay ủy quyền. Nhưng họ có quyền hạn chỉ vì họ có được sự tin tưởng của tổ chức. Điều này có nghĩa là họ nghĩ đến nhu cầu và cơ hội của tổ chức trước khi nghĩ đến nhu cầu và cơ hội của bản thân.</w:t>
        <w:bookmarkStart w:id="428" w:name="page06_35"/>
        <w:t> </w:t>
        <w:bookmarkEnd w:id="428"/>
        <w:t>Điều này nghe có vẻ đơn giản; nhưng thực ra không phải vậy, và nó cần được tuân thủ nghiêm ngặt.</w:t>
      </w:r>
    </w:p>
    <w:p>
      <w:pPr>
        <w:pStyle w:val="Normal"/>
      </w:pPr>
      <w:r>
        <w:t>Chúng ta vừa xem xét tám nguyên tắc của các nhà điều hành hiệu quả. Tôi sẽ thêm vào một nguyên tắc cuối cùng, một nguyên tắc thưởng. Nguyên tắc này quan trọng đến mức tôi sẽ nâng nó lên thành một quy tắc: Hãy lắng nghe trước, nói sau.</w:t>
      </w:r>
    </w:p>
    <w:p>
      <w:pPr>
        <w:pStyle w:val="Normal"/>
      </w:pPr>
      <w:r>
        <w:t>Các nhà điều hành hiệu quả rất khác nhau về tính cách, điểm mạnh, điểm yếu, giá trị và niềm tin. Điều duy nhất họ có chung là họ hoàn thành được những việc đúng đắn. Một số người sinh ra đã hiệu quả. Nhưng nhu cầu quá lớn để có thể được đáp ứng chỉ bằng tài năng xuất chúng. Hiệu quả là một kỷ luật. Và, giống như mọi kỷ luật, hiệu quả có thể học được và phải được rèn luyện.</w:t>
      </w:r>
    </w:p>
    <w:p>
      <w:bookmarkStart w:id="429" w:name="Top_of_06_07_Abouttheauthor_xhtm"/>
      <w:bookmarkStart w:id="430" w:name="ABOUT_THE_AUTHOR_Peter_F__Drucke_2"/>
      <w:pPr>
        <w:pStyle w:val="Para 053"/>
        <w:pageBreakBefore w:val="on"/>
      </w:pPr>
      <w:r>
        <w:bookmarkStart w:id="431" w:name="page06_37"/>
        <w:t/>
        <w:bookmarkEnd w:id="431"/>
        <w:t>VỀ TÁC GIẢ</w:t>
      </w:r>
      <w:bookmarkEnd w:id="429"/>
      <w:bookmarkEnd w:id="430"/>
    </w:p>
    <w:p>
      <w:pPr>
        <w:pStyle w:val="Normal"/>
      </w:pPr>
      <w:r>
        <w:rPr>
          <w:rStyle w:val="Text0"/>
        </w:rPr>
        <w:t>Peter F. Drucker</w:t>
      </w:r>
      <w:r>
        <w:t xml:space="preserve"> là một nhà văn, nhà tư vấn, và giáo sư khoa học xã hội và quản lý tại Đại học Claremont Graduate University ở California. Ba mươi chín cuốn sách của ông đã được xuất bản bằng hơn bảy mươi ngôn ngữ. Ông sáng lập Quỹ Peter F. Drucker cho Quản lý Phi lợi nhuận (Peter F. Drucker Foundation for Nonprofit Management), và từng tư vấn cho mười ba chính phủ, các tổ chức dịch vụ công, và các tập đoàn lớn.</w:t>
      </w:r>
    </w:p>
    <w:p>
      <w:bookmarkStart w:id="432" w:name="Top_of_06_08_Alsothisauthor_xhtm"/>
      <w:bookmarkStart w:id="433" w:name="ALSO_BY_THIS_AUTHOR_Harvard_Busi_3"/>
      <w:pPr>
        <w:pStyle w:val="Para 053"/>
        <w:pageBreakBefore w:val="on"/>
      </w:pPr>
      <w:r>
        <w:bookmarkStart w:id="434" w:name="page06_39"/>
        <w:t/>
        <w:bookmarkEnd w:id="434"/>
        <w:t>CŨNG CỦA TÁC GIẢ NÀY</w:t>
      </w:r>
      <w:bookmarkEnd w:id="432"/>
      <w:bookmarkEnd w:id="433"/>
    </w:p>
    <w:p>
      <w:pPr>
        <w:pStyle w:val="Para 194"/>
      </w:pPr>
      <w:r>
        <w:t>Sách của Harvard Business Review Press</w:t>
      </w:r>
    </w:p>
    <w:p>
      <w:pPr>
        <w:pStyle w:val="Para 041"/>
      </w:pPr>
      <w:r>
        <w:t>The Changing World of the Executive</w:t>
      </w:r>
    </w:p>
    <w:p>
      <w:pPr>
        <w:pStyle w:val="Para 041"/>
      </w:pPr>
      <w:r>
        <w:t>Classic Drucker: Essential Wisdom of Peter Drucker from the Pages of Harvard Business Review</w:t>
      </w:r>
    </w:p>
    <w:p>
      <w:pPr>
        <w:pStyle w:val="Para 041"/>
      </w:pPr>
      <w:r>
        <w:t>The Frontiers of Management: Where Tomorrow’s Ideas Are Being Shaped Today</w:t>
      </w:r>
    </w:p>
    <w:p>
      <w:pPr>
        <w:pStyle w:val="Para 041"/>
      </w:pPr>
      <w:r>
        <w:t>Managing in a Time of Great Change</w:t>
      </w:r>
    </w:p>
    <w:p>
      <w:pPr>
        <w:pStyle w:val="Para 041"/>
      </w:pPr>
      <w:r>
        <w:bookmarkStart w:id="435" w:name="page06_40"/>
        <w:t/>
        <w:bookmarkEnd w:id="435"/>
        <w:t>Men, Ideas, and Politics</w:t>
      </w:r>
    </w:p>
    <w:p>
      <w:pPr>
        <w:pStyle w:val="Para 041"/>
      </w:pPr>
      <w:r>
        <w:t>Managing Oneself</w:t>
      </w:r>
    </w:p>
    <w:p>
      <w:pPr>
        <w:pStyle w:val="Para 041"/>
      </w:pPr>
      <w:r>
        <w:t>People and Performance: The Best of Peter Drucker on Management</w:t>
      </w:r>
    </w:p>
    <w:p>
      <w:pPr>
        <w:pStyle w:val="Para 041"/>
      </w:pPr>
      <w:r>
        <w:t>Peter Drucker on the Profession of Management</w:t>
      </w:r>
    </w:p>
    <w:p>
      <w:pPr>
        <w:pStyle w:val="Para 041"/>
      </w:pPr>
      <w:r>
        <w:t>The Peter F. Drucker Reader</w:t>
      </w:r>
    </w:p>
    <w:p>
      <w:pPr>
        <w:pStyle w:val="Para 041"/>
      </w:pPr>
      <w:r>
        <w:t>The Theory of the Business</w:t>
      </w:r>
    </w:p>
    <w:p>
      <w:pPr>
        <w:pStyle w:val="Para 041"/>
      </w:pPr>
      <w:r>
        <w:t>Technology, Management, and Society</w:t>
      </w:r>
    </w:p>
    <w:p>
      <w:pPr>
        <w:pStyle w:val="Para 041"/>
      </w:pPr>
      <w:r>
        <w:t>Toward the Next Economics, and Other Essays</w:t>
      </w:r>
    </w:p>
    <w:p>
      <w:pPr>
        <w:pStyle w:val="Para 195"/>
      </w:pPr>
      <w:r>
        <w:bookmarkStart w:id="436" w:name="page06_41"/>
        <w:t/>
        <w:bookmarkEnd w:id="436"/>
        <w:t xml:space="preserve">Các bài viết trên Harvard Busi</w:t>
      </w:r>
      <w:r>
        <w:rPr>
          <w:rStyle w:val="Text0"/>
        </w:rPr>
        <w:t>ness Review</w:t>
      </w:r>
    </w:p>
    <w:p>
      <w:pPr>
        <w:pStyle w:val="Para 050"/>
      </w:pPr>
      <w:r>
        <w:t>“The Coming of the New Organization”</w:t>
      </w:r>
    </w:p>
    <w:p>
      <w:pPr>
        <w:pStyle w:val="Para 050"/>
      </w:pPr>
      <w:r>
        <w:t>“The Discipline of Innovation”</w:t>
      </w:r>
    </w:p>
    <w:p>
      <w:pPr>
        <w:pStyle w:val="Para 050"/>
      </w:pPr>
      <w:r>
        <w:t>“The Effective Decision”</w:t>
      </w:r>
    </w:p>
    <w:p>
      <w:pPr>
        <w:pStyle w:val="Para 050"/>
      </w:pPr>
      <w:r>
        <w:t>“How to Make People Decisions”</w:t>
      </w:r>
    </w:p>
    <w:p>
      <w:pPr>
        <w:pStyle w:val="Para 050"/>
      </w:pPr>
      <w:r>
        <w:t>“Managing for Business Effectiveness”</w:t>
      </w:r>
    </w:p>
    <w:p>
      <w:pPr>
        <w:pStyle w:val="Para 050"/>
      </w:pPr>
      <w:r>
        <w:t>“Managing Oneself”</w:t>
      </w:r>
    </w:p>
    <w:p>
      <w:pPr>
        <w:pStyle w:val="Para 050"/>
      </w:pPr>
      <w:r>
        <w:t>“New Templates for Today’s Organizations”</w:t>
      </w:r>
    </w:p>
    <w:p>
      <w:pPr>
        <w:pStyle w:val="Para 050"/>
      </w:pPr>
      <w:r>
        <w:t>“The Theory of the Business”</w:t>
      </w:r>
    </w:p>
    <w:p>
      <w:pPr>
        <w:pStyle w:val="Para 050"/>
      </w:pPr>
      <w:r>
        <w:t>“They’re Not Employees, They’re People”</w:t>
      </w:r>
    </w:p>
    <w:p>
      <w:bookmarkStart w:id="437" w:name="Article_Summary_Idea_in_Brief_Wo"/>
      <w:bookmarkStart w:id="438" w:name="Top_of_06_09_Articlesummary_xhtm"/>
      <w:pPr>
        <w:pStyle w:val="Para 066"/>
        <w:pageBreakBefore w:val="on"/>
      </w:pPr>
      <w:r>
        <w:bookmarkStart w:id="439" w:name="page06_43"/>
        <w:t/>
        <w:bookmarkEnd w:id="439"/>
        <w:t>Tóm tắt bài viết</w:t>
      </w:r>
      <w:bookmarkEnd w:id="437"/>
      <w:bookmarkEnd w:id="438"/>
    </w:p>
    <w:p>
      <w:pPr>
        <w:pStyle w:val="Para 150"/>
      </w:pPr>
      <w:r>
        <w:t>Ý tưởng cốt lõi</w:t>
      </w:r>
    </w:p>
    <w:p>
      <w:pPr>
        <w:pStyle w:val="Para 021"/>
      </w:pPr>
      <w:r>
        <w:t>Lo lắng rằng bạn không phải là nhà lãnh đạo bẩm sinh? Rằng bạn thiếu sức hút, tài năng phù hợp, hoặc một bí quyết nào đó? Không cần đâu: lãnh đạo không phải là vấn đề tính cách hay tài năng. Thực tế, các nhà lãnh đạo giỏi nhất có những tính cách, thái độ, giá trị và điểm mạnh vô cùng khác biệt—họ hướng ngoại hoặc sống ẩn dật, dễ gần hoặc thích kiểm soát, hào phóng hoặc keo kiệt, thiên về con số hoặc định hướng tầm nhìn.</w:t>
      </w:r>
    </w:p>
    <w:p>
      <w:pPr>
        <w:pStyle w:val="Para 151"/>
      </w:pPr>
      <w:r>
        <w:bookmarkStart w:id="440" w:name="page06_44"/>
        <w:t>Vậy</w:t>
        <w:bookmarkEnd w:id="440"/>
        <w:t> các nhà lãnh đạo hiệu quả có điểm chung gì? Họ hoàn thành những việc đúng đắn, theo những cách đúng đắn—bằng cách tuân theo tám quy tắc đơn giản:</w:t>
      </w:r>
    </w:p>
    <w:p>
      <w:pPr>
        <w:numPr>
          <w:ilvl w:val="0"/>
          <w:numId w:val="9"/>
        </w:numPr>
        <w:pStyle w:val="Para 030"/>
      </w:pPr>
      <w:r>
        <w:t>Hãy hỏi điều gì cần được làm.</w:t>
      </w:r>
    </w:p>
    <w:p>
      <w:pPr>
        <w:numPr>
          <w:ilvl w:val="0"/>
          <w:numId w:val="9"/>
        </w:numPr>
        <w:pStyle w:val="Para 030"/>
      </w:pPr>
      <w:r>
        <w:t>Hãy hỏi điều gì là đúng đắn cho doanh nghiệp.</w:t>
      </w:r>
    </w:p>
    <w:p>
      <w:pPr>
        <w:numPr>
          <w:ilvl w:val="0"/>
          <w:numId w:val="9"/>
        </w:numPr>
        <w:pStyle w:val="Para 030"/>
      </w:pPr>
      <w:r>
        <w:t>Xây dựng kế hoạch hành động.</w:t>
      </w:r>
    </w:p>
    <w:p>
      <w:pPr>
        <w:numPr>
          <w:ilvl w:val="0"/>
          <w:numId w:val="9"/>
        </w:numPr>
        <w:pStyle w:val="Para 030"/>
      </w:pPr>
      <w:r>
        <w:t>Chịu trách nhiệm về các quyết định.</w:t>
      </w:r>
    </w:p>
    <w:p>
      <w:pPr>
        <w:numPr>
          <w:ilvl w:val="0"/>
          <w:numId w:val="9"/>
        </w:numPr>
        <w:pStyle w:val="Para 030"/>
      </w:pPr>
      <w:r>
        <w:t>Chịu trách nhiệm trong giao tiếp.</w:t>
      </w:r>
    </w:p>
    <w:p>
      <w:pPr>
        <w:numPr>
          <w:ilvl w:val="0"/>
          <w:numId w:val="9"/>
        </w:numPr>
        <w:pStyle w:val="Para 030"/>
      </w:pPr>
      <w:r>
        <w:t>Tập trung vào cơ hội, không phải vấn đề.</w:t>
      </w:r>
    </w:p>
    <w:p>
      <w:pPr>
        <w:numPr>
          <w:ilvl w:val="0"/>
          <w:numId w:val="9"/>
        </w:numPr>
        <w:pStyle w:val="Para 030"/>
      </w:pPr>
      <w:r>
        <w:t>Tổ chức các cuộc họp hiệu quả.</w:t>
      </w:r>
    </w:p>
    <w:p>
      <w:pPr>
        <w:numPr>
          <w:ilvl w:val="0"/>
          <w:numId w:val="9"/>
        </w:numPr>
        <w:pStyle w:val="Para 030"/>
      </w:pPr>
      <w:r>
        <w:t>Suy nghĩ và nói “Chúng ta,” không phải “Tôi.”</w:t>
      </w:r>
    </w:p>
    <w:p>
      <w:pPr>
        <w:pStyle w:val="Para 151"/>
      </w:pPr>
      <w:r>
        <w:t>Bằng kỷ luật áp dụng các nguyên tắc này, bạn sẽ có được kiến thức cần thiết để đưa ra quyết định sáng suốt, chuyển hóa kiến thức đó thành hành động hiệu quả, và đảm bảo trách nhiệm giải trình (accountability) trong toàn tổ chức.</w:t>
      </w:r>
    </w:p>
    <w:p>
      <w:pPr>
        <w:pStyle w:val="Para 150"/>
      </w:pPr>
      <w:r>
        <w:bookmarkStart w:id="441" w:name="page06_45"/>
        <w:t>Ý</w:t>
        <w:bookmarkEnd w:id="441"/>
        <w:t> tưởng trong thực tiễn</w:t>
      </w:r>
    </w:p>
    <w:p>
      <w:pPr>
        <w:pStyle w:val="Para 100"/>
      </w:pPr>
      <w:r>
        <w:t>Có được kiến thức bạn cần</w:t>
      </w:r>
    </w:p>
    <w:p>
      <w:pPr>
        <w:numPr>
          <w:ilvl w:val="0"/>
          <w:numId w:val="10"/>
        </w:numPr>
        <w:pStyle w:val="Para 030"/>
      </w:pPr>
      <w:r>
        <w:rPr>
          <w:rStyle w:val="Text1"/>
        </w:rPr>
        <w:t>Hãy hỏi điều gì cần phải làm.</w:t>
      </w:r>
      <w:r>
        <w:t xml:space="preserve"> Khi Jack Welch đặt câu hỏi này khi nhậm chức CEO tại General Electric, ông nhận ra rằng việc loại bỏ các mảng kinh doanh của GE không thể đứng đầu hoặc thứ hai trong ngành của họ là điều thiết yếu—chứ không phải mở rộng ra nước ngoài như ông đã muốn thực hiện. Một khi bạn biết điều gì phải làm, hãy xác định những nhiệm vụ bạn giỏi nhất, tập trung vào từng việc một. Sau khi hoàn thành một nhiệm vụ, hãy thiết lập lại thứ tự ưu tiên dựa trên thực tế mới.</w:t>
      </w:r>
    </w:p>
    <w:p>
      <w:pPr>
        <w:numPr>
          <w:ilvl w:val="0"/>
          <w:numId w:val="10"/>
        </w:numPr>
        <w:pStyle w:val="Para 030"/>
      </w:pPr>
      <w:r>
        <w:rPr>
          <w:rStyle w:val="Text1"/>
        </w:rPr>
        <w:t>Hãy hỏi điều gì là đúng đắn cho doanh nghiệp.</w:t>
      </w:r>
      <w:r>
        <w:t xml:space="preserve"> Đừng đau đầu về điều gì tốt nhất cho chủ sở hữu, nhà đầu tư, nhân viên hay khách hàng. Những quyết định đúng đắn cho doanh nghiệp của bạn cuối cùng sẽ đúng đắn cho tất cả các bên liên quan (stakeholders).</w:t>
      </w:r>
    </w:p>
    <w:p>
      <w:pPr>
        <w:pStyle w:val="Para 100"/>
      </w:pPr>
      <w:r>
        <w:bookmarkStart w:id="442" w:name="page06_46"/>
        <w:t/>
        <w:bookmarkEnd w:id="442"/>
        <w:t>Chuyển hóa kiến thức thành hành động</w:t>
      </w:r>
    </w:p>
    <w:p>
      <w:pPr>
        <w:numPr>
          <w:ilvl w:val="0"/>
          <w:numId w:val="11"/>
        </w:numPr>
        <w:pStyle w:val="Para 030"/>
      </w:pPr>
      <w:r>
        <w:rPr>
          <w:rStyle w:val="Text1"/>
        </w:rPr>
        <w:t>Xây dựng kế hoạch hành</w:t>
      </w:r>
      <w:r>
        <w:t xml:space="preserve"> động. Thiết kế các kế hoạch xác định rõ kết quả mong muốn và các ràng buộc (liệu hướng hành động có hợp pháp và phù hợp với sứ mệnh, giá trị và chính sách của công ty không?). Bao gồm các điểm kiểm tra và tác động đến việc bạn sẽ sử dụng thời gian của mình như thế nào. Và điều chỉnh kế hoạch để phản ánh những cơ hội mới.</w:t>
      </w:r>
    </w:p>
    <w:p>
      <w:pPr>
        <w:numPr>
          <w:ilvl w:val="0"/>
          <w:numId w:val="11"/>
        </w:numPr>
        <w:pStyle w:val="Para 030"/>
      </w:pPr>
      <w:r>
        <w:rPr>
          <w:rStyle w:val="Text1"/>
        </w:rPr>
        <w:t>Chịu trách nhiệm về các quyết định.</w:t>
      </w:r>
      <w:r>
        <w:t xml:space="preserve"> Đảm bảo rằng mỗi quyết định xác định rõ ai chịu trách nhiệm thực hiện, khi nào phải triển khai, ai sẽ bị ảnh hưởng và ai cần được thông báo. Thường xuyên xem xét lại các quyết định, đặc biệt là việc tuyển dụng và thăng chức. Điều này cho phép bạn sửa chữa các quyết định sai lầm trước khi gây ra thiệt hại thực sự.</w:t>
      </w:r>
    </w:p>
    <w:p>
      <w:pPr>
        <w:pStyle w:val="Para 100"/>
      </w:pPr>
      <w:r>
        <w:bookmarkStart w:id="443" w:name="page06_47"/>
        <w:t/>
        <w:bookmarkEnd w:id="443"/>
        <w:t>Chịu trách nhiệm trong giao tiếp</w:t>
      </w:r>
    </w:p>
    <w:p>
      <w:pPr>
        <w:numPr>
          <w:ilvl w:val="0"/>
          <w:numId w:val="12"/>
        </w:numPr>
        <w:pStyle w:val="Para 030"/>
      </w:pPr>
      <w:r>
        <w:rPr>
          <w:rStyle w:val="Text1"/>
        </w:rPr>
        <w:t>Nhận ý kiến đóng góp từ cấp trên, cấp dưới và đồng nghiệp về kế hoạch hành động</w:t>
      </w:r>
      <w:r>
        <w:t xml:space="preserve"> của bạn. Cho họ biết bạn cần những thông tin gì để hoàn thành công việc. Hãy chú ý ngang nhau đến nhu cầu thông tin của đồng nghiệp và cấp trên.</w:t>
      </w:r>
    </w:p>
    <w:p>
      <w:pPr>
        <w:numPr>
          <w:ilvl w:val="0"/>
          <w:numId w:val="12"/>
        </w:numPr>
        <w:pStyle w:val="Para 030"/>
      </w:pPr>
      <w:r>
        <w:rPr>
          <w:rStyle w:val="Text1"/>
        </w:rPr>
        <w:t>Tập trung vào cơ hội, không phải vấn đề. Bạn</w:t>
      </w:r>
      <w:r>
        <w:t xml:space="preserve"> đạt được kết quả bằng cách khai thác cơ hội, không phải giải quyết vấn đề. Xác định những thay đổi bên trong và bên ngoài tổ chức của bạn (công nghệ mới, đổi mới sản phẩm, cấu trúc thị trường mới), hãy hỏi: “Làm thế nào chúng ta có thể khai thác sự thay đổi này để mang lại lợi ích cho doanh nghiệp?” Sau đó ghép những người giỏi nhất của bạn với những cơ hội tốt nhất.</w:t>
      </w:r>
    </w:p>
    <w:p>
      <w:pPr>
        <w:pStyle w:val="Para 100"/>
      </w:pPr>
      <w:r>
        <w:bookmarkStart w:id="444" w:name="page06_48"/>
        <w:t/>
        <w:bookmarkEnd w:id="444"/>
        <w:t>Đảm bảo trách nhiệm giải trình toàn công ty</w:t>
      </w:r>
    </w:p>
    <w:p>
      <w:pPr>
        <w:numPr>
          <w:ilvl w:val="0"/>
          <w:numId w:val="13"/>
        </w:numPr>
        <w:pStyle w:val="Para 030"/>
      </w:pPr>
      <w:r>
        <w:rPr>
          <w:rStyle w:val="Text1"/>
        </w:rPr>
        <w:t>Tổ chức các cuộc họp</w:t>
      </w:r>
      <w:r>
        <w:t xml:space="preserve"> hiệu quả. Nêu rõ mục đích của từng cuộc họp (Đưa ra thông báo? Trình bày báo cáo?). Kết thúc cuộc họp khi đã đạt được mục đích. Theo dõi bằng các văn bản ngắn tóm tắt nội dung thảo luận, nêu rõ các nhiệm vụ mới và hạn chót hoàn thành. Sự thành thạo huyền thoại trong việc theo dõi cuộc họp của CEO General Motors Alfred</w:t>
        <w:softHyphen/>
        <w:t xml:space="preserve"> Sloan đã giúp củng cố vị thế thống lĩnh ngành của GM vào giữa thế kỷ XX.</w:t>
      </w:r>
    </w:p>
    <w:p>
      <w:pPr>
        <w:numPr>
          <w:ilvl w:val="0"/>
          <w:numId w:val="13"/>
        </w:numPr>
        <w:pStyle w:val="Para 030"/>
      </w:pPr>
      <w:r>
        <w:rPr>
          <w:rStyle w:val="Text1"/>
        </w:rPr>
        <w:t>Hãy nghĩ và nói “Chúng ta”, không</w:t>
      </w:r>
      <w:r>
        <w:t xml:space="preserve"> phải “Tôi”. Quyền lực của bạn đến từ sự tin tưởng của tổ chức dành cho bạn. Để đạt kết quả tốt nhất, hãy luôn đặt nhu cầu và cơ hội của tổ chức lên trên nhu cầu và cơ hội của bản thân.</w:t>
      </w:r>
    </w:p>
    <w:p>
      <w:bookmarkStart w:id="445" w:name="Harvard_Business_Review_CLASSICS_5"/>
      <w:bookmarkStart w:id="446" w:name="Top_of_07_03_titlePage_xhtml"/>
      <w:pPr>
        <w:pStyle w:val="Para 032"/>
        <w:pageBreakBefore w:val="on"/>
      </w:pPr>
      <w:r>
        <w:bookmarkStart w:id="447" w:name="page07_iii"/>
        <w:t/>
        <w:bookmarkEnd w:id="447"/>
        <w:t>Harvard Business Review</w:t>
      </w:r>
      <w:bookmarkEnd w:id="445"/>
      <w:bookmarkEnd w:id="446"/>
    </w:p>
    <w:p>
      <w:pPr>
        <w:pStyle w:val="Para 033"/>
      </w:pPr>
      <w:r>
        <w:t>KINH ĐIỂN</w:t>
      </w:r>
    </w:p>
    <w:p>
      <w:pPr>
        <w:pStyle w:val="Para 036"/>
      </w:pPr>
      <w:r>
        <w:t>QUẢN LÝ SẾP CỦA BẠN</w:t>
      </w:r>
    </w:p>
    <w:p>
      <w:pPr>
        <w:pStyle w:val="Para 026"/>
      </w:pPr>
      <w:r>
        <w:t>John J. Gabarro and John P. Kotter</w:t>
      </w:r>
    </w:p>
    <w:p>
      <w:pPr>
        <w:pStyle w:val="Para 012"/>
      </w:pPr>
      <w:r>
        <w:t>Harvard Business Review Press</w:t>
      </w:r>
    </w:p>
    <w:p>
      <w:pPr>
        <w:pStyle w:val="Para 012"/>
      </w:pPr>
      <w:r>
        <w:t>Boston, Massachusetts</w:t>
      </w:r>
    </w:p>
    <w:p>
      <w:bookmarkStart w:id="448" w:name="Top_of_07_04_copyrightPage_xhtml"/>
      <w:bookmarkStart w:id="449" w:name="Copyright_2008_Harvard_Business_3"/>
      <w:bookmarkStart w:id="450" w:name="Copyright_2008_Harvard_Business_2"/>
      <w:pPr>
        <w:pStyle w:val="Para 042"/>
        <w:pageBreakBefore w:val="on"/>
      </w:pPr>
      <w:r>
        <w:t>Bản quyền 2008 thuộc Harvard Business School Publishing Corporation</w:t>
      </w:r>
      <w:bookmarkEnd w:id="448"/>
      <w:bookmarkEnd w:id="449"/>
      <w:bookmarkEnd w:id="450"/>
    </w:p>
    <w:p>
      <w:pPr>
        <w:pStyle w:val="Para 042"/>
      </w:pPr>
      <w:r>
        <w:t xml:space="preserve">Bài viết được xuất bản lần đầu</w:t>
      </w:r>
      <w:r>
        <w:rPr>
          <w:rStyle w:val="Text0"/>
        </w:rPr>
        <w:t> trên Harvard Business Review</w:t>
      </w:r>
      <w:r>
        <w:t xml:space="preserve"> vào tháng 5 năm 1993 và tháng 1 năm 2005</w:t>
      </w:r>
    </w:p>
    <w:p>
      <w:pPr>
        <w:pStyle w:val="Para 042"/>
      </w:pPr>
      <w:r>
        <w:t>Tái bản số R0501J</w:t>
      </w:r>
    </w:p>
    <w:p>
      <w:pPr>
        <w:pStyle w:val="Para 042"/>
      </w:pPr>
      <w:r>
        <w:t>Bảo lưu mọi quyền</w:t>
      </w:r>
    </w:p>
    <w:p>
      <w:pPr>
        <w:pStyle w:val="23 Block"/>
      </w:pPr>
    </w:p>
    <w:p>
      <w:pPr>
        <w:pStyle w:val="Para 152"/>
      </w:pPr>
      <w:r>
        <w:t xml:space="preserve">Không một phần nào của ấn phẩm này được phép sao chép, lưu trữ hoặc đưa vào hệ thống truy xuất, hoặc truyền tải dưới bất kỳ hình thức nào, bằng bất kỳ phương tiện nào (điện tử, cơ học, photocopy, ghi âm, hoặc cách khác), mà không có sự cho phép trước của nhà xuất bản. Yêu cầu xin phép nên được gửi đến</w:t>
      </w:r>
      <w:r>
        <w:rPr>
          <w:rStyle w:val="Text2"/>
        </w:rPr>
        <w:t> permissions@hbsp.harvard.edu,</w:t>
      </w:r>
      <w:r>
        <w:t> hoặc gửi thư tới Permissions, Harvard Business School Publishing, 60 Harvard Way, Boston, Massachusetts 02163.</w:t>
      </w:r>
    </w:p>
    <w:p>
      <w:pPr>
        <w:pStyle w:val="Para 152"/>
      </w:pPr>
      <w:r>
        <w:t>Dữ liệu biên mục xuất bản của Thư viện Quốc hội</w:t>
      </w:r>
    </w:p>
    <w:p>
      <w:pPr>
        <w:pStyle w:val="Para 042"/>
      </w:pPr>
      <w:r>
        <w:t>Gabarro, John J.</w:t>
      </w:r>
    </w:p>
    <w:p>
      <w:pPr>
        <w:pStyle w:val="Para 042"/>
      </w:pPr>
      <w:r>
        <w:t>Quản lý sếp của bạn / John J. Gabarro, John P. Kotter.</w:t>
      </w:r>
    </w:p>
    <w:p>
      <w:pPr>
        <w:pStyle w:val="Para 042"/>
      </w:pPr>
      <w:r>
        <w:t>p. cm. – (Harvard business review classics)</w:t>
      </w:r>
    </w:p>
    <w:p>
      <w:pPr>
        <w:pStyle w:val="Para 042"/>
      </w:pPr>
      <w:r>
        <w:t>ISBN 978-1-4221-2288-4</w:t>
      </w:r>
    </w:p>
    <w:p>
      <w:pPr>
        <w:pStyle w:val="Para 042"/>
      </w:pPr>
      <w:r>
        <w:t>1. Quản lý sếp của bạn. 2. Quan hệ giữa các cá nhân. I. Kotter,</w:t>
      </w:r>
    </w:p>
    <w:p>
      <w:pPr>
        <w:pStyle w:val="Para 042"/>
      </w:pPr>
      <w:r>
        <w:t>John P., 1947- II. Nhan đề.</w:t>
      </w:r>
    </w:p>
    <w:p>
      <w:pPr>
        <w:pStyle w:val="Para 042"/>
      </w:pPr>
      <w:r>
        <w:t>HF5548.83.G33 2008</w:t>
      </w:r>
    </w:p>
    <w:p>
      <w:pPr>
        <w:pStyle w:val="Para 042"/>
      </w:pPr>
      <w:r>
        <w:t>650.1′3—dc22</w:t>
      </w:r>
    </w:p>
    <w:p>
      <w:pPr>
        <w:pStyle w:val="Para 196"/>
      </w:pPr>
      <w:r>
        <w:t>2007037488</w:t>
      </w:r>
    </w:p>
    <w:p>
      <w:pPr>
        <w:pStyle w:val="04 Block"/>
      </w:pPr>
    </w:p>
    <w:p>
      <w:bookmarkStart w:id="451" w:name="THE_HARVARD_BUSINESS_REVIEW_CLAS_7"/>
      <w:bookmarkStart w:id="452" w:name="Top_of_07_05_Introduction_xhtml"/>
      <w:bookmarkStart w:id="453" w:name="THE_HARVARD_BUSINESS_REVIEW_CLAS_6"/>
      <w:pPr>
        <w:pStyle w:val="Para 197"/>
        <w:pageBreakBefore w:val="on"/>
      </w:pPr>
      <w:r>
        <w:t>BỘ SÁCH KINH ĐIỂN HARVARD BUSINESS REVIEW</w:t>
      </w:r>
      <w:bookmarkEnd w:id="451"/>
      <w:bookmarkEnd w:id="452"/>
      <w:bookmarkEnd w:id="453"/>
    </w:p>
    <w:p>
      <w:pPr>
        <w:pStyle w:val="Para 055"/>
      </w:pPr>
      <w:r>
        <w:t xml:space="preserve">Kể từ năm 1922,</w:t>
      </w:r>
      <w:r>
        <w:rPr>
          <w:rStyle w:val="Text0"/>
        </w:rPr>
        <w:t> Harvard Business Review</w:t>
      </w:r>
      <w:r>
        <w:t xml:space="preserve"> đã là nguồn cung cấp các ý tưởng đột phá hàng đầu trong thực tiễn quản lý—nhiều trong số đó vẫn còn nguyên giá trị và ảnh hưởng đến chúng ta ngày nay. Bộ sách kinh điển HBR này mang đến cho bạn cơ hội đưa những tác phẩm nền tảng này vào tủ sách quản lý lâu dài của mình. Mỗi tập sách chứa đựng một ý tưởng đột phá đã định hình các phương pháp thực hành tốt nhất và truyền cảm hứng cho vô số nhà quản lý trên khắp thế giới—và sẽ thay đổi cách bạn nhìn nhận về thế giới kinh doanh ngày nay.</w:t>
      </w:r>
    </w:p>
    <w:p>
      <w:bookmarkStart w:id="454" w:name="Top_of_07_07_Chapter_01_xhtml"/>
      <w:bookmarkStart w:id="455" w:name="To_many_people__the_phrase__mana"/>
      <w:pPr>
        <w:pStyle w:val="Para 198"/>
        <w:pageBreakBefore w:val="on"/>
      </w:pPr>
      <w:r>
        <w:t>Đối với nhiều người, cụm từ “quản lý sếp của bạn” nghe có vẻ bất thường hoặc đáng ngờ. Vì hầu hết các tổ chức đều nhấn mạnh cách quản lý từ trên xuống, nên không dễ hiểu vì sao bạn cần quản lý các mối quan hệ với cấp trên—tất nhiên, trừ khi bạn làm điều đó vì lý do cá nhân hoặc chính trị. Nhưng chúng tôi không đề cập đến việc vận động chính trị hay nịnh bợ. Chúng tôi dùng thuật ngữ này để chỉ quá trình chủ động làm việc với cấp trên nhằm đạt được kết quả tốt nhất có thể cho bạn, cho sếp của bạn và cho công ty.</w:t>
      </w:r>
      <w:bookmarkEnd w:id="454"/>
      <w:bookmarkEnd w:id="455"/>
    </w:p>
    <w:p>
      <w:pPr>
        <w:pStyle w:val="Normal"/>
      </w:pPr>
      <w:r>
        <w:t>Các nghiên cứu gần đây cho thấy những nhà quản lý hiệu quả dành thời gian và công sức để quản lý không chỉ mối quan hệ với cấp dưới mà còn với cả cấp trên. Những nghiên cứu này cũng chỉ ra rằng khía cạnh quan trọng này của việc quản lý đôi khi bị bỏ qua bởi những nhà quản lý dù rất tài năng và năng nổ. Thực tế, một số nhà quản lý chủ động và giám sát hiệu quả cấp dưới, sản phẩm, thị trường và công nghệ lại có thái độ gần như thụ động ứng phó với cấp trên của họ. Thái độ như vậy gần như luôn gây tổn hại cho chính họ và công ty.</w:t>
      </w:r>
    </w:p>
    <w:p>
      <w:pPr>
        <w:pStyle w:val="Normal"/>
      </w:pPr>
      <w:r>
        <w:t>Nếu bạn còn nghi ngờ về tầm quan trọng của việc quản lý mối quan hệ với sếp, hoặc thấy nó khó thực hiện hiệu quả đến mức nào, thì hãy dành chút thời gian để nghe câu chuyện buồn nhưng đầy ý nghĩa sau đây:</w:t>
      </w:r>
    </w:p>
    <w:p>
      <w:pPr>
        <w:pStyle w:val="Normal"/>
      </w:pPr>
      <w:r>
        <w:t>Frank Gibbons được công nhận là một thiên tài trong lĩnh vực sản xuất của ngành mình, và theo mọi tiêu chuẩn về lợi nhuận, ông là một nhà điều hành rất hiệu quả. Năm 1973, những thế mạnh này đã đưa ông lên vị trí phó chủ tịch phụ trách sản xuất của công ty lớn thứ hai và có lợi nhuận cao nhất trong ngành. Tuy nhiên, Gibbons không phải là một nhà quản lý giỏi về mặt con người. Ông biết điều này, và những người khác trong công ty cũng như trong ngành cũng biết. Nhận ra điểm yếu này, chủ tịch công ty đã đảm bảo rằng những người báo cáo trực tiếp cho Gibbons đều giỏi làm việc với mọi người và có thể bù đắp cho những hạn chế của ông. Cách sắp xếp này hoạt động hiệu quả.</w:t>
      </w:r>
    </w:p>
    <w:p>
      <w:pPr>
        <w:pStyle w:val="Normal"/>
      </w:pPr>
      <w:r>
        <w:t>Năm 1975, Philip Bonnevie được thăng chức vào một vị trí báo cáo trực tiếp cho Gibbons. Theo đúng khuôn mẫu trước đó, chủ tịch đã chọn Bonnevie vì anh có thành tích xuất sắc và nổi tiếng là người giỏi ứng xử với mọi người. Tuy nhiên, khi lựa chọn, chủ tịch đã bỏ qua một chi tiết: trong quá trình thăng tiến nhanh chóng trong tổ chức, Bonnevie luôn có những người sếp từ tốt đến xuất sắc. Anh chưa bao giờ phải đối mặt với việc quản lý mối quan hệ với một vị sếp khó tính. Nhìn lại, Bonnevie thừa nhận anh chưa từng nghĩ rằng việc quản lý sếp là một phần công việc của mình.</w:t>
      </w:r>
    </w:p>
    <w:p>
      <w:pPr>
        <w:pStyle w:val="Normal"/>
      </w:pPr>
      <w:r>
        <w:t>Mười bốn tháng sau khi bắt đầu làm việc cho Gibbons, Bonnevie bị sa thải. Trong cùng quý đó, công ty báo cáo khoản lỗ ròng lần đầu tiên sau bảy năm. Nhiều người trong cuộc nói rằng họ cũng không thực sự hiểu chuyện gì đã xảy ra. Tuy nhiên, có một điều chắc chắn: trong lúc công ty đang tung ra một sản phẩm mới quan trọng—một quy trình đòi hỏi bộ phận kinh doanh, kỹ thuật và sản xuất phải phối hợp quyết định rất cẩn thận—một loạt hiểu lầm và cảm giác không tốt đã nảy sinh giữa Gibbons và Bonnevie.</w:t>
      </w:r>
    </w:p>
    <w:p>
      <w:pPr>
        <w:pStyle w:val="Normal"/>
      </w:pPr>
      <w:r>
        <w:t>Ví dụ, Bonnevie khẳng định rằng Gibbons đã biết và chấp nhận quyết định của anh về việc sử dụng một loại máy móc mới để sản xuất sản phẩm mới; còn Gibbons thề rằng ông không hề biết. Hơn nữa, Gibbons cho rằng ông đã nói rõ với Bonnevie rằng việc ra mắt sản phẩm quá quan trọng với công ty trong ngắn hạn nên không thể chấp nhận rủi ro lớn nào.</w:t>
      </w:r>
    </w:p>
    <w:p>
      <w:pPr>
        <w:pStyle w:val="Normal"/>
      </w:pPr>
      <w:r>
        <w:t>Hậu quả của những hiểu lầm này là kế hoạch đi chệch hướng: một nhà máy sản xuất mới được xây dựng nhưng không thể sản xuất sản phẩm mới do bộ phận kỹ thuật thiết kế, với số lượng mong muốn của bộ phận kinh doanh, và với chi phí đã được ủy ban điều hành đồng ý. Gibbons đổ lỗi cho Bonnevie về sai lầm này. Bonnevie lại đổ lỗi cho Gibbons.</w:t>
      </w:r>
    </w:p>
    <w:p>
      <w:pPr>
        <w:pStyle w:val="Normal"/>
      </w:pPr>
      <w:r>
        <w:t>Tất nhiên, người ta có thể tranh luận rằng vấn đề ở đây xuất phát từ việc Gibbons không có khả năng quản lý cấp dưới của mình. Nhưng ta cũng có thể lập luận mạnh mẽ không kém rằng vấn đề liên quan đến việc Bonnevie không biết cách quản lý sếp của mình. Hãy nhớ rằng, Gibbons không gặp khó khăn với bất kỳ cấp dưới nào khác. Hơn nữa, xét đến cái giá mà Bonnevie phải trả (bị sa thải và danh tiếng trong ngành bị hoen ố nghiêm trọng), thì việc nói rằng vấn đề là do Gibbons quản lý cấp dưới kém chẳng an ủi được gì. Mọi người đều đã biết điều đó.</w:t>
      </w:r>
    </w:p>
    <w:p>
      <w:pPr>
        <w:pStyle w:val="Normal"/>
      </w:pPr>
      <w:r>
        <w:t>Chúng tôi tin rằng tình hình đã có thể diễn ra khác nếu Bonnevie khéo léo hơn trong việc thấu hiểu Gibbons và quản lý mối quan hệ với ông ấy. Trong trường hợp này, việc không quản lý được cấp trên đã gây ra chi phí đắt đỏ bất thường. Công ty mất từ 2 triệu đến 5 triệu đô la, và sự nghiệp của Bonnevie, ít nhất là tạm thời, đã bị gián đoạn. Nhiều trường hợp tương tự ít tốn kém hơn có lẽ xảy ra thường xuyên trong tất cả các tập đoàn lớn, và hậu quả tích lũy có thể rất tàn phá.</w:t>
      </w:r>
    </w:p>
    <w:p>
      <w:pPr>
        <w:pStyle w:val="Para 101"/>
      </w:pPr>
      <w:r>
        <w:t>HIỂU SAI MỐI QUAN HỆ CẤP TRÊN - CẤP DƯỚI</w:t>
      </w:r>
    </w:p>
    <w:p>
      <w:pPr>
        <w:pStyle w:val="Para 055"/>
      </w:pPr>
      <w:r>
        <w:t>Mọi người thường cho rằng những câu chuyện như chúng tôi vừa kể chỉ là những trường hợp xung đột tính cách. Vì hai người đôi khi có thể không có khả năng làm việc cùng nhau do khác biệt về tâm lý hoặc khí chất, mô tả này có thể phù hợp. Nhưng chúng tôi nhận thấy, thường thì xung đột tính cách chỉ là một phần của vấn đề - đôi khi là một phần rất nhỏ.</w:t>
      </w:r>
    </w:p>
    <w:p>
      <w:pPr>
        <w:pStyle w:val="Normal"/>
      </w:pPr>
      <w:r>
        <w:t xml:space="preserve">Bonnevie không chỉ có tính cách khác biệt với Gibbons, ông còn có những giả định và kỳ vọng phi thực tế về chính bản chất của mối quan hệ cấp trên - cấp dưới. Cụ thể, ông không nhận ra rằng mối quan hệ của ông với Gibbons liên quan đến sự phụ thuộc</w:t>
      </w:r>
      <w:r>
        <w:rPr>
          <w:rStyle w:val="Text0"/>
        </w:rPr>
        <w:t> lẫn nhau giữa</w:t>
      </w:r>
      <w:r>
        <w:t xml:space="preserve"> hai con người</w:t>
      </w:r>
      <w:r>
        <w:rPr>
          <w:rStyle w:val="Text0"/>
        </w:rPr>
        <w:t> không</w:t>
      </w:r>
      <w:r>
        <w:t xml:space="preserve"> hoàn hảo. Không nhận ra điều này, một nhà quản lý thường sẽ tránh cố gắng quản lý mối quan hệ của mình với sếp hoặc quản lý nó một cách kém hiệu quả.</w:t>
      </w:r>
    </w:p>
    <w:p>
      <w:pPr>
        <w:pStyle w:val="Normal"/>
      </w:pPr>
      <w:r>
        <w:t>Một số người cư xử như thể sếp của họ không phụ thuộc nhiều vào họ. Họ không thấy rằng sếp cần sự giúp đỡ và hợp tác của họ đến mức nào để hoàn thành công việc một cách hiệu quả. Những người này từ chối thừa nhận rằng sếp có thể bị tổn thương nghiêm trọng bởi hành động của họ và cần sự hợp tác, đáng tin cậy và trung thực từ họ.</w:t>
      </w:r>
    </w:p>
    <w:p>
      <w:pPr>
        <w:pStyle w:val="Normal"/>
      </w:pPr>
      <w:r>
        <w:t>Một số người xem mình không phụ thuộc nhiều vào sếp. Họ lờ đi việc họ cần bao nhiêu sự giúp đỡ và thông tin từ sếp để thực hiện tốt công việc của mình. Cái nhìn hời hợt này đặc biệt gây hại khi công việc và quyết định của nhà quản lý ảnh hưởng đến các bộ phận khác của tổ chức, như trong tình huống của Bonnevie. Sếp trực tiếp của một nhà quản lý có thể đóng vai trò quan trọng trong việc kết nối nhà quản lý với phần còn lại của tổ chức, đảm bảo các ưu tiên của nhà quản lý phù hợp với nhu cầu của tổ chức, và đảm bảo các nguồn lực mà nhà quản lý cần để hoạt động tốt. Tuy nhiên, một số nhà quản lý cần xem mình gần như tự cung tự cấp, như thể không cần thông tin và nguồn lực quan trọng mà sếp có thể cung cấp.</w:t>
      </w:r>
    </w:p>
    <w:p>
      <w:pPr>
        <w:pStyle w:val="Normal"/>
      </w:pPr>
      <w:r>
        <w:t>Nhiều nhà quản lý, giống như Bonnevie, cho rằng sếp sẽ biết một cách kỳ diệu những thông tin hoặc sự trợ giúp nào mà cấp dưới cần và cung cấp cho họ. Chắc chắn, một số sếp làm rất tốt việc chăm sóc cấp dưới theo cách này, nhưng để một nhà quản lý kỳ vọng điều đó từ tất cả các sếp là phi thực tế đến mức nguy hiểm. Một kỳ vọng hợp lý hơn cho các nhà quản lý là sẽ có sự trợ giúp khiêm tốn đến. Xét cho cùng, sếp cũng chỉ là con người. Hầu hết các nhà quản lý thực sự hiệu quả chấp nhận thực tế này và tự chịu trách nhiệm chính cho sự nghiệp và sự phát triển của bản thân. Họ chủ động tìm kiếm thông tin và sự trợ giúp cần thiết để hoàn thành công việc thay vì chờ đợi sếp cung cấp.</w:t>
      </w:r>
    </w:p>
    <w:p>
      <w:pPr>
        <w:pStyle w:val="Normal"/>
      </w:pPr>
      <w:r>
        <w:t>Xét những điều đã nêu trên, chúng tôi thấy rằng việc quản lý một tình huống phụ thuộc lẫn nhau giữa những con người dễ mắc sai lầm đòi hỏi những điều sau:</w:t>
      </w:r>
    </w:p>
    <w:p>
      <w:pPr>
        <w:numPr>
          <w:ilvl w:val="0"/>
          <w:numId w:val="14"/>
        </w:numPr>
        <w:pStyle w:val="Normal"/>
      </w:pPr>
      <w:r>
        <w:t>Bạn cần hiểu rõ người kia và chính mình, đặc biệt là về điểm mạnh, điểm yếu, phong cách làm việc và nhu cầu.</w:t>
      </w:r>
    </w:p>
    <w:p>
      <w:pPr>
        <w:numPr>
          <w:ilvl w:val="0"/>
          <w:numId w:val="14"/>
        </w:numPr>
        <w:pStyle w:val="Normal"/>
      </w:pPr>
      <w:r>
        <w:t>Bạn sử dụng thông tin này để xây dựng và quản lý một mối quan hệ làm việc lành mạnh—một mối quan hệ tương thích với phong cách làm việc và thế mạnh của cả hai người, có đặc điểm là kỳ vọng chung, và đáp ứng những nhu cầu quan trọng nhất của đối phương. Về cơ bản, đây chính là điều mà chúng tôi nhận thấy những nhà quản lý hiệu quả cao đang làm.</w:t>
      </w:r>
    </w:p>
    <w:p>
      <w:pPr>
        <w:pStyle w:val="Para 101"/>
      </w:pPr>
      <w:r>
        <w:t>HIỂU SẾP CỦA BẠN</w:t>
      </w:r>
    </w:p>
    <w:p>
      <w:pPr>
        <w:pStyle w:val="Para 055"/>
      </w:pPr>
      <w:r>
        <w:t>Việc quản lý sếp của bạn đòi hỏi bạn phải hiểu được sếp và bối cảnh của họ, cũng như tình huống của chính bạn. Tất cả các nhà quản lý đều làm điều này ở một mức độ nào đó, nhưng nhiều người chưa đủ kỹ lưỡng.</w:t>
      </w:r>
    </w:p>
    <w:p>
      <w:pPr>
        <w:pStyle w:val="Normal"/>
      </w:pPr>
      <w:r>
        <w:t>Tối thiểu, bạn cần nhận thức được mục tiêu và áp lực của sếp, điểm mạnh và điểm yếu của họ. Mục tiêu tổ chức và cá nhân của sếp là gì, và những áp lực của họ là gì, đặc biệt là từ chính cấp trên của họ và những người cùng cấp? Sở trường và điểm mù của sếp là gì? Phong cách làm việc ưa thích của họ ra sao? Sếp của bạn thích nhận thông tin qua bản ghi nhớ, cuộc họp chính thức hay điện thoại? Họ có phát triển mạnh trong xung đột hay cố gắng giảm thiểu nó?</w:t>
      </w:r>
    </w:p>
    <w:p>
      <w:pPr>
        <w:pStyle w:val="Normal"/>
      </w:pPr>
      <w:r>
        <w:t>Nếu thiếu thông tin này, nhà quản lý sẽ như đang bay trong đêm tối khi làm việc với sếp, và những xung đột, hiểu lầm và rắc rối không đáng có là điều không thể tránh khỏi.</w:t>
      </w:r>
    </w:p>
    <w:p>
      <w:pPr>
        <w:pStyle w:val="Normal"/>
      </w:pPr>
      <w:r>
        <w:t>Trong một trường hợp chúng tôi nghiên cứu, một giám đốc marketing xuất sắc với thành tích vượt trội được thuê vào một công ty với vai trò phó chủ tịch để "giải quyết các vấn đề marketing và bán hàng." Công ty này, đang gặp khó khăn tài chính, vừa được một tập đoàn lớn hơn mua lại. Chủ tịch công ty rất muốn xoay chuyển tình hình và cho vị phó chủ tịch marketing mới toàn quyền hành động—ít nhất là lúc đầu. Dựa trên kinh nghiệm trước đây, vị phó chủ tịch mới đã chẩn đoán đúng rằng công ty cần thị phần lớn hơn và cần có sự quản lý sản phẩm mạnh mẽ để đạt được điều đó. Theo logic đó, ông đã đưa ra một số quyết định về giá nhằm tăng doanh số số lượng lớn.</w:t>
      </w:r>
    </w:p>
    <w:p>
      <w:pPr>
        <w:pStyle w:val="Normal"/>
      </w:pPr>
      <w:r>
        <w:t>Tuy nhiên, khi biên lợi nhuận giảm và tình hình tài chính không cải thiện, chủ tịch đã tăng áp lực lên vị phó chủ tịch mới. Tin rằng tình hình cuối cùng sẽ tự điều chỉnh khi công ty giành lại thị phần, vị phó chủ tịch đã chống lại áp lực đó.</w:t>
      </w:r>
    </w:p>
    <w:p>
      <w:pPr>
        <w:pStyle w:val="Normal"/>
      </w:pPr>
      <w:r>
        <w:t>Khi đến quý hai, biên lợi nhuận và lợi nhuận vẫn chưa được cải thiện, chủ tịch đã trực tiếp nắm mọi quyết định về giá và áp dụng một mức biên lợi nhuận cố định cho tất cả các mặt hàng, bất kể số lượng. Vị phó chủ tịch mới bắt đầu thấy mình bị chủ tịch gạt ra ngoài, và mối quan hệ của họ trở nên xấu đi. Thực tế, vị phó chủ tịch thấy hành vi của chủ tịch thật kỳ quặc. Đáng tiếc là chính sách giá mới của chủ tịch cũng không làm tăng biên lợi nhuận, và đến quý tư, cả chủ tịch lẫn phó chủ tịch đều bị sa thải.</w:t>
      </w:r>
    </w:p>
    <w:p>
      <w:pPr>
        <w:pStyle w:val="Normal"/>
      </w:pPr>
      <w:r>
        <w:t xml:space="preserve">Điều mà tân phó chủ tịch không hề hay biết cho đến khi quá muộn là việc cải thiện marketing và bán hàng chỉ là một trong</w:t>
      </w:r>
      <w:r>
        <w:rPr>
          <w:rStyle w:val="Text0"/>
        </w:rPr>
        <w:t> những</w:t>
      </w:r>
      <w:r>
        <w:t xml:space="preserve"> mục tiêu của chủ tịch. Mục tiêu trước mắt nhất của ông là làm cho công ty sinh lời – và phải nhanh chóng.</w:t>
      </w:r>
    </w:p>
    <w:p>
      <w:pPr>
        <w:pStyle w:val="Normal"/>
      </w:pPr>
      <w:r>
        <w:t>Tân phó chủ tịch cũng không hề biết rằng sếp của mình đặt rất nhiều tâm huyết vào ưu tiên ngắn hạn này, vừa vì lý do công việc vừa vì lý do cá nhân. Chủ tịch chính là người đã ra sức ủng hộ thương vụ mua lại trong công ty mẹ, và uy tín cá nhân của ông đang bị đe dọa nghiêm trọng.</w:t>
      </w:r>
    </w:p>
    <w:p>
      <w:pPr>
        <w:pStyle w:val="Normal"/>
      </w:pPr>
      <w:r>
        <w:t>Vị phó chủ tịch này đã mắc ba sai lầm cơ bản. Anh ta tin ngay vào những thông tin được cung cấp mà không hề kiểm chứng, tự đưa ra giả định ở những lĩnh vực không có thông tin, và – điều gây tổn hại nhất – anh ta không bao giờ chủ động tìm hiểu xem mục tiêu của sếp là gì. Do đó, anh ta đã thực hiện những hành động thực chất đi ngược lại với các ưu tiên và mục tiêu của chủ tịch.</w:t>
      </w:r>
    </w:p>
    <w:p>
      <w:pPr>
        <w:pStyle w:val="Normal"/>
      </w:pPr>
      <w:r>
        <w:t>Các nhà quản lý làm việc hiệu quả với sếp của mình không bao giờ cư xử như vậy. Họ chủ động tìm kiếm thông tin về mục tiêu, vấn đề và áp lực của sếp. Họ luôn để ý các cơ hội để hỏi sếp và những người xung quanh nhằm kiểm chứng các giả định của mình. Họ chú ý đến những tín hiệu trong hành vi của sếp. Điều này đặc biệt quan trọng khi họ bắt đầu làm việc với một sếp mới, nhưng các nhà quản lý hiệu quả cũng duy trì việc đó liên tục, vì họ hiểu rằng các ưu tiên và mối quan tâm luôn thay đổi.</w:t>
      </w:r>
    </w:p>
    <w:p>
      <w:pPr>
        <w:pStyle w:val="Normal"/>
      </w:pPr>
      <w:r>
        <w:t>Việc nhạy cảm với phong cách làm việc của sếp có thể là yếu tố then chốt, nhất là khi sếp còn mới. Ví dụ, một tân chủ tịch với phong cách nguyên tắc và trang trọng đã thay thế một người tiền nhiệm phóng khoáng và thiên về trực giác. Vị tân chủ tịch làm việc hiệu quả nhất khi nhận được các báo cáo bằng văn bản. Ông cũng ưa thích các cuộc họp chính thức có chương trình nghị sự được định sẵn.</w:t>
      </w:r>
    </w:p>
    <w:p>
      <w:pPr>
        <w:pStyle w:val="Normal"/>
      </w:pPr>
      <w:r>
        <w:t>Một trong những giám đốc bộ phận của ông đã nhận ra nhu cầu này và cùng tân chủ tịch xác định loại thông tin, báo cáo cũng như tần suất mà chủ tịch mong muốn. Vị giám đốc này cũng đặc biệt chú ý gửi trước các thông tin nền và chương trình nghị sự ngắn gọn cho các cuộc thảo luận. Anh nhận thấy với sự chuẩn bị kỹ càng, các cuộc họp của họ rất hiệu quả. Một kết quả thú vị khác là anh phát hiện ra rằng khi có sự chuẩn bị đầy đủ, ông chủ mới còn giỏi động não (brainstorming) giải quyết vấn đề hơn cả người tiền nhiệm phóng khoáng và trực giác trước đây.</w:t>
      </w:r>
    </w:p>
    <w:p>
      <w:pPr>
        <w:pStyle w:val="Normal"/>
      </w:pPr>
      <w:r>
        <w:t>Ngược lại, một giám đốc bộ phận khác không bao giờ hiểu rõ phong cách làm việc của ông chủ mới khác với người tiền nhiệm như thế nào. Mặc dù anh ta có cảm nhận được phần nào sự khác biệt, anh ta lại cho rằng đó là cách quản lý kiểm soát quá mức. Kết quả là anh ta hiếm khi gửi cho tân chủ tịch những thông tin nền cần thiết, khiến chủ tịch không bao giờ cảm thấy được chuẩn bị kỹ lưỡng cho các cuộc họp với anh ta. Thực tế, trong các cuộc gặp, chủ tịch đã dành phần lớn thời gian để cố tìm kiếm những thông tin mà ông nghĩ là mình cần có sớm hơn. Ông chủ thấy những cuộc họp này thật bực bội và thiếu hiệu quả, còn cấp dưới thì thường xuyên bị những câu hỏi của chủ tịch làm cho bất ngờ và lúng túng. Cuối cùng, giám đốc bộ phận này đã phải từ chức.</w:t>
      </w:r>
    </w:p>
    <w:p>
      <w:pPr>
        <w:pStyle w:val="Normal"/>
      </w:pPr>
      <w:r>
        <w:t>Sự khác biệt giữa hai quản lý bộ phận vừa được mô tả không phải là vấn đề năng lực hay thậm chí là khả năng thích nghi. Đúng hơn, một trong hai người nhạy cảm hơn người kia với phong cách làm việc của sếp và với những hàm ý từ nhu cầu của sếp.</w:t>
      </w:r>
    </w:p>
    <w:p>
      <w:pPr>
        <w:pStyle w:val="Para 101"/>
      </w:pPr>
      <w:r>
        <w:t>HIỂU CHÍNH MÌNH</w:t>
      </w:r>
    </w:p>
    <w:p>
      <w:pPr>
        <w:pStyle w:val="Para 055"/>
      </w:pPr>
      <w:r>
        <w:t>Sếp chỉ là một nửa của mối quan hệ. Bạn là nửa còn lại, đồng thời là phần bạn có quyền kiểm soát trực tiếp hơn. Do đó, để phát triển một mối quan hệ làm việc hiệu quả, bạn cần biết rõ nhu cầu, điểm mạnh, điểm yếu và phong cách cá nhân của mình.</w:t>
      </w:r>
    </w:p>
    <w:p>
      <w:pPr>
        <w:pStyle w:val="Normal"/>
      </w:pPr>
      <w:r>
        <w:t>Bạn sẽ không thể thay đổi cấu trúc tính cách cơ bản của mình hoặc của sếp. Nhưng bạn có thể nhận thức được điều gì ở bản thân đang cản trở hoặc hỗ trợ việc làm việc với sếp, và với nhận thức đó, hãy hành động để làm cho mối quan hệ hiệu quả hơn.</w:t>
      </w:r>
    </w:p>
    <w:p>
      <w:pPr>
        <w:pStyle w:val="Normal"/>
      </w:pPr>
      <w:r>
        <w:t>Ví dụ, trong một trường hợp chúng tôi quan sát, một quản lý và cấp trên của anh ta gặp vấn đề mỗi khi họ bất đồng quan điểm. Phản ứng điển hình của sếp là giữ vững lập trường và phóng đại nó. Người quản lý sau đó nâng mức cược và tăng cường sức mạnh lập luận của mình. Khi làm vậy, anh ta chuyển cơn giận thành việc sắc bén tấn công vào những ngụy biện logic mà anh thấy trong giả định của sếp. Đến lượt sếp lại càng cố chấp giữ nguyên lập trường ban đầu. Có thể đoán trước được, chu kỳ leo thang này khiến cấp dưới tránh bất kỳ chủ đề nào có nguy cơ xung đột với sếp bất cứ khi nào có thể.</w:t>
      </w:r>
    </w:p>
    <w:p>
      <w:pPr>
        <w:pStyle w:val="Normal"/>
      </w:pPr>
      <w:r>
        <w:t>Khi thảo luận vấn đề này với các đồng nghiệp, người quản lý nhận ra rằng phản ứng của anh với sếp giống hệt cách anh thường phản ứng với những lý lẽ phản bác—nhưng có khác biệt. Phản ứng của anh làm cho đồng nghiệp choáng ngợp nhưng không làm được điều đó với sếp. Vì những nỗ lực thảo luận vấn đề này với sếp không thành công, anh kết luận rằng cách duy nhất để thay đổi tình thế là kiểm soát những phản ứng bản năng của chính mình. Mỗi khi hai người rơi vào bế tắc, anh kiềm chế sự thiếu kiên nhẫn của mình và đề nghị họ tạm dừng, suy nghĩ về nó trước khi gặp lại nhau. Thường thì khi họ nối lại cuộc thảo luận, họ đã tiêu hóa những khác biệt và có thể tìm ra cách giải quyết.</w:t>
      </w:r>
    </w:p>
    <w:p>
      <w:pPr>
        <w:pStyle w:val="Normal"/>
      </w:pPr>
      <w:r>
        <w:t>Đạt được mức độ tự nhận thức này và hành động dựa trên nó là khó nhưng không phải là không thể. Ví dụ, bằng cách hồi tưởng lại những trải nghiệm trong quá khứ, một quản lý trẻ nhận ra rằng anh không giỏi xử lý những vấn đề khó khăn và dễ xúc động liên quan đến con người. Vì không thích những vấn đề đó và nhận thấy rằng những phản ứng bản năng của mình hiếm khi tốt, anh đã tạo thói quen trao đổi với sếp mỗi khi gặp một vấn đề như vậy. Các cuộc thảo luận của họ luôn làm xuất hiện những ý tưởng và cách tiếp cận mà người quản lý chưa từng cân nhắc. Trong nhiều trường hợp, họ cũng xác định được những hành động cụ thể mà sếp có thể làm để hỗ trợ.</w:t>
      </w:r>
    </w:p>
    <w:p>
      <w:pPr>
        <w:pStyle w:val="Normal"/>
      </w:pPr>
      <w:r>
        <w:t>Mặc dù mối quan hệ cấp trên – cấp dưới là mối quan hệ phụ thuộc lẫn nhau, nhưng cấp dưới thường phụ thuộc vào sếp nhiều hơn là ngược lại. Sự phụ thuộc này chắc chắn khiến cấp dưới cảm thấy bực bội ở một mức độ nhất định, đôi khi là tức giận, khi hành động hoặc lựa chọn của họ bị giới hạn bởi quyết định của sếp. Đây là một phần bình thường của cuộc sống và xảy ra trong cả những mối quan hệ tốt đẹp nhất. Cách một nhà quản lý xử lý những bực bội này phần lớn phụ thuộc vào xu hướng phụ thuộc vào các nhân vật có thẩm quyền (authority figures) của họ.</w:t>
      </w:r>
    </w:p>
    <w:p>
      <w:pPr>
        <w:pStyle w:val="Normal"/>
      </w:pPr>
      <w:r>
        <w:t>Phản ứng bản năng của một số người trong những tình huống này là oán giận quyền lực của sếp và chống lại các quyết định của sếp. Đôi khi một người sẽ leo thang xung đột vượt quá mức cần thiết. Xem sếp gần như là một kẻ thù mang tính tổ chức, kiểu quản lý này thường vô thức chống đối sếp chỉ để chống đối. Phản ứng của cấp dưới khi bị giới hạn thường mạnh mẽ và đôi khi bốc đồng. Họ xem sếp như một người, do vai trò của mình, là trở ngại cho sự tiến bộ, là chướng ngại vật cần phải né tránh, hoặc ít nhất cũng phải chịu đựng.</w:t>
      </w:r>
    </w:p>
    <w:p>
      <w:pPr>
        <w:pStyle w:val="Normal"/>
      </w:pPr>
      <w:r>
        <w:t>Các nhà tâm lý học gọi mẫu phản ứng này là hành vi phản kháng phụ thuộc (counterdependent behavior). Mặc dù một người có hành vi phản kháng phụ thuộc thường khó quản lý đối với hầu hết cấp trên và thường có tiền sử các mối quan hệ căng thẳng với cấp trên, kiểu quản lý này lại có xu hướng gặp rắc rối hơn với sếp có thiên hướng chỉ đạo hoặc độc đoán. Khi nhà quản lý hành động theo cảm xúc tiêu cực của mình, thường theo những cách tinh tế và không lời, sếp đôi khi trở thành kẻ thù thật sự. Cảm nhận được sự thù địch tiềm ẩn của cấp dưới, sếp sẽ mất lòng tin vào cấp dưới hoặc phán đoán của họ và sau đó cư xử thậm chí còn kém cởi mở hơn.</w:t>
      </w:r>
    </w:p>
    <w:p>
      <w:pPr>
        <w:pStyle w:val="Normal"/>
      </w:pPr>
      <w:r>
        <w:t>Trớ trêu thay, một nhà quản lý có khuynh hướng này thường là một người quản lý tốt đối với chính nhân viên của mình. Họ thường làm mọi cách để có được sự hỗ trợ cho nhân viên và không ngần ngại đứng ra bênh vực họ.</w:t>
      </w:r>
    </w:p>
    <w:p>
      <w:pPr>
        <w:pStyle w:val="Normal"/>
      </w:pPr>
      <w:r>
        <w:t>Ở thái cực đối lập là những nhà quản lý nuốt sự tức giận của mình và cư xử hết sức tuân thủ khi sếp đưa ra quyết định mà họ biết là sai. Những nhà quản lý này sẽ đồng ý với sếp ngay cả khi sự bất đồng có thể được hoan nghênh hoặc khi sếp có thể dễ dàng thay đổi quyết định nếu được cung cấp thêm thông tin. Vì những phản ứng này không liên quan gì đến tình huống cụ thể đang xảy ra, chúng cũng là sự phản ứng thái quá giống như của những nhà quản lý có hành vi phản kháng phụ thuộc. Thay vì xem sếp là kẻ thù, những người này phủ nhận sự tức giận của mình – thái cực kia – và có xu hướng xem sếp như một người cha mẹ toàn trí, người biết điều gì tốt nhất, nên chịu trách nhiệm cho sự nghiệp của họ, đào tạo họ mọi điều họ cần biết, và che chở họ khỏi những đồng nghiệp quá tham vọng.</w:t>
      </w:r>
    </w:p>
    <w:p>
      <w:pPr>
        <w:pStyle w:val="Normal"/>
      </w:pPr>
      <w:r>
        <w:t>Cả sự phản phụ thuộc (counterdependence) lẫn sự phụ thuộc quá mức (overdependence) đều khiến các nhà quản lý có những quan điểm phi thực tế về một người sếp. Cả hai quan điểm này đều bỏ qua rằng hầu hết các sếp, như bất kỳ ai khác, đều không hoàn hảo và có thể sai lầm. Họ không có thời gian vô hạn, kiến thức bách khoa toàn thư, hay khả năng nhận thức ngoài giác quan; họ cũng không phải là kẻ thù xấu xa. Họ có áp lực và mối quan tâm riêng, đôi khi trái ngược với mong muốn của cấp dưới—và thường là vì lý do chính đáng.</w:t>
      </w:r>
    </w:p>
    <w:p>
      <w:pPr>
        <w:pStyle w:val="Normal"/>
      </w:pPr>
      <w:r>
        <w:t>Việc thay đổi những thiên hướng (predispositions) đối với quyền lực, đặc biệt là ở những mức độ cực đoan, gần như không thể thực hiện nếu không có liệu pháp tâm lý chuyên sâu (lý thuyết và nghiên cứu phân tâm học cho thấy những thiên hướng như vậy bắt nguồn sâu xa từ tính cách và sự nuôi dạy của mỗi người). Tuy nhiên, việc nhận thức được những thái cực này và khoảng giữa chúng có thể rất hữu ích để hiểu được thiên hướng của chính bạn nằm ở đâu và những tác động của nó đối với cách bạn có xu hướng hành xử với sếp của mình.</w:t>
      </w:r>
    </w:p>
    <w:p>
      <w:pPr>
        <w:pStyle w:val="Normal"/>
      </w:pPr>
      <w:r>
        <w:t>Nếu bạn tin rằng, một mặt, bạn có một số khuynh hướng phản phụ thuộc, bạn có thể hiểu và thậm chí dự đoán được những phản ứng và phản ứng thái quá mà bạn có thể sẽ có. Mặt khác, nếu bạn tin rằng mình có một số khuynh hướng phụ thuộc quá mức, bạn có thể tự hỏi rằng việc quá tuân thủ hoặc không có khả năng đối mặt với những khác biệt thực sự của bạn có thể đang khiến cả bạn và sếp kém hiệu quả đến mức nào.</w:t>
      </w:r>
    </w:p>
    <w:p>
      <w:pPr>
        <w:pStyle w:val="Para 101"/>
      </w:pPr>
      <w:r>
        <w:t>PHÁT TRIỂN VÀ QUẢN LÝ MỐI QUAN HỆ</w:t>
      </w:r>
    </w:p>
    <w:p>
      <w:pPr>
        <w:pStyle w:val="Para 055"/>
      </w:pPr>
      <w:r>
        <w:t xml:space="preserve">Với sự hiểu biết rõ ràng về cả sếp và bản thân, bạn thường có thể thiết</w:t>
      </w:r>
      <w:r>
        <w:rPr>
          <w:rStyle w:val="Text0"/>
        </w:rPr>
        <w:t> lập</w:t>
      </w:r>
      <w:r>
        <w:t xml:space="preserve"> một cách làm việc chung phù hợp với cả hai, được đặc trưng bởi những kỳ vọng chung rõ ràng, và giúp cả hai bạn làm việc năng suất và hiệu quả hơn. “Danh sách kiểm tra để quản lý sếp của bạn” (Checklist for Managing Your Boss) tóm tắt một số yếu tố tạo nên mối quan hệ như vậy. Dưới đây là một vài điều nữa.</w:t>
      </w:r>
    </w:p>
    <w:p>
      <w:pPr>
        <w:pStyle w:val="Para 079"/>
      </w:pPr>
      <w:r>
        <w:t>Phong cách làm việc tương thích</w:t>
      </w:r>
    </w:p>
    <w:p>
      <w:pPr>
        <w:pStyle w:val="Normal"/>
      </w:pPr>
      <w:r>
        <w:t>Trên hết, một mối quan hệ làm việc tốt với sếp cần dung hòa những khác biệt trong phong cách làm việc. Ví dụ, trong một tình huống chúng tôi nghiên cứu, một nhà quản lý (người có mối quan hệ tương đối tốt với cấp trên) nhận ra rằng trong các cuộc họp, sếp của anh ta thường trở nên lơ đãng và đôi khi cộc lốc. Phong cách của bản thân người cấp dưới này có xu hướng lan man và mang tính khám phá. Anh ta thường lạc đề khỏi vấn đề đang bàn để giải quyết các yếu tố nền tảng, các phương án thay thế, v.v. Sếp của anh ta lại thích thảo luận vấn đề với tối thiểu chi tiết nền và trở nên thiếu kiên nhẫn, mất tập trung mỗi khi cấp dưới lạc đề khỏi vấn đề trước mắt.</w:t>
      </w:r>
    </w:p>
    <w:p>
      <w:pPr>
        <w:pStyle w:val="Normal"/>
      </w:pPr>
      <w:r>
        <w:t>Nhận ra sự khác biệt trong phong cách này, nhà quản lý trở nên ngắn gọn và trực tiếp hơn trong các cuộc họp với sếp. Để hỗ trợ cho điều đó, trước mỗi cuộc họp, anh ta sẽ lập một chương trình nghị sự ngắn dùng làm hướng dẫn. Bất cứ khi nào cảm thấy cần lạc đề, anh ta đều giải thích lý do. Sự thay đổi nhỏ trong phong cách của anh ta đã giúp các cuộc họp trở nên hiệu quả hơn và giảm đi nhiều sự bực bội cho cả hai.</w:t>
      </w:r>
    </w:p>
    <w:p>
      <w:pPr>
        <w:pStyle w:val="Normal"/>
      </w:pPr>
      <w:r>
        <w:t xml:space="preserve">Cấp dưới có thể điều chỉnh phong cách của mình theo cách sếp thích nhận thông tin. Peter Drucker chia sếp thành hai loại: 'người nghe' và 'người đọc'. Một số sếp thích nhận thông tin dưới dạng báo cáo để có thể đọc và nghiên cứu. Một số khác làm việc hiệu quả hơn khi thông tin và báo cáo được trình bày trực tiếp để họ có thể hỏi. Như Drucker đã chỉ ra, bài học rất rõ ràng. Nếu sếp của bạn là người thích nghe, hãy trình bày trực tiếp với sếp, sau đó gửi</w:t>
      </w:r>
      <w:r>
        <w:rPr>
          <w:rStyle w:val="Text0"/>
        </w:rPr>
        <w:t> thêm</w:t>
      </w:r>
      <w:r>
        <w:t xml:space="preserve"> bản ghi nhớ. Nếu sếp là người thích đọc, hãy đưa các vấn đề hoặc đề xuất quan trọng vào bản ghi nhớ hoặc báo</w:t>
      </w:r>
      <w:r>
        <w:rPr>
          <w:rStyle w:val="Text0"/>
        </w:rPr>
        <w:t> cáo,</w:t>
      </w:r>
      <w:r>
        <w:t xml:space="preserve"> rồi thảo luận.</w:t>
      </w:r>
    </w:p>
    <w:p>
      <w:pPr>
        <w:pStyle w:val="Normal"/>
      </w:pPr>
      <w:r>
        <w:t>Bạn cũng có thể điều chỉnh theo phong cách ra quyết định của sếp. Một số sếp thích tham gia vào các quyết định và vấn đề ngay khi chúng phát sinh. Đây là những nhà quản lý có mức độ can thiệp cao (high-involvement manager), họ thích nắm bắt nhịp đập của hoạt động. Thông thường, nhu cầu của họ (và của bạn) sẽ được đáp ứng tốt nhất nếu bạn trao đổi với họ một cách linh hoạt (ad hoc). Sếp nào có nhu cầu tham gia thì bằng cách này hay cách khác họ sẽ tham gia, vì vậy sẽ có lợi nếu bạn chủ động đưa họ vào cuộc. Một số sếp khác lại thích ủy quyền (delegate) — họ không muốn bị lôi vào. Họ mong bạn đến gặp họ với những vấn đề lớn và báo cho họ biết về những thay đổi quan trọng.</w:t>
      </w:r>
    </w:p>
    <w:p>
      <w:pPr>
        <w:pStyle w:val="Normal"/>
      </w:pPr>
      <w:r>
        <w:t>Tạo dựng một mối quan hệ hòa hợp cũng bao gồm việc tận dụng điểm mạnh của nhau và bù đắp cho điểm yếu của nhau. Vì biết rằng sếp — phó chủ tịch kỹ thuật (vice president of engineering) — không giỏi theo dõi các vấn đề của nhân viên, một người quản lý mà chúng tôi nghiên cứu đã tự mình đảm nhận việc đó. Rủi ro là rất cao: các kỹ sư và kỹ thuật viên đều là thành viên công đoàn, công ty làm việc theo hợp đồng với khách hàng, và công ty vừa trải qua một cuộc đình công nghiêm trọng.</w:t>
      </w:r>
    </w:p>
    <w:p>
      <w:pPr>
        <w:pStyle w:val="Normal"/>
      </w:pPr>
      <w:r>
        <w:t>Người quản lý đã làm việc chặt chẽ với sếp của mình, cùng với những người ở bộ phận lập lịch và phòng nhân sự, để đảm bảo rằng các vấn đề tiềm ẩn được tránh. Anh ta cũng thiết lập một thỏa thuận ngầm để sếp xem xét với anh ta mọi đề xuất thay đổi về chính sách nhân sự hoặc phân công trước khi hành động. Sếp đánh giá cao lời khuyên của anh ta và ghi nhận cấp dưới của mình đã cải thiện cả hiệu suất của bộ phận và bầu không khí giữa người lao động và ban quản lý.</w:t>
      </w:r>
    </w:p>
    <w:p>
      <w:pPr>
        <w:pStyle w:val="Para 079"/>
      </w:pPr>
      <w:r>
        <w:t>Kỳ vọng lẫn nhau</w:t>
      </w:r>
    </w:p>
    <w:p>
      <w:pPr>
        <w:pStyle w:val="Normal"/>
      </w:pPr>
      <w:r>
        <w:t>Cấp dưới nào thụ động cho rằng mình biết sếp mong đợi điều gì thì sẽ gặp rắc rối. Tất nhiên, một số cấp trên sẽ nói rõ mong đợi của họ rất rõ ràng và chi tiết. Nhưng hầu hết thì không. Và mặc dù nhiều công ty có các hệ thống cung cấp cơ sở để truyền đạt kỳ vọng (như quy trình lập kế hoạch chính thức, đánh giá kế hoạch nghề nghiệp và đánh giá hiệu suất), các hệ thống này không bao giờ hoạt động hoàn hảo. Ngoài ra, giữa các lần đánh giá chính thức này, các kỳ vọng thường thay đổi.</w:t>
      </w:r>
    </w:p>
    <w:p>
      <w:pPr>
        <w:pStyle w:val="Normal"/>
      </w:pPr>
      <w:r>
        <w:t>Cuối cùng, trách nhiệm thuộc về cấp dưới trong việc tìm hiểu xem sếp mong đợi điều gì. Những mong đợi này có thể vừa rộng (chẳng hạn như những loại vấn đề nào sếp muốn được báo cáo và khi nào) vừa rất cụ thể (như thời điểm hoàn thành một dự án cụ thể và loại thông tin mà sếp cần trong thời gian chờ đợi).</w:t>
      </w:r>
    </w:p>
    <w:p>
      <w:pPr>
        <w:pStyle w:val="Normal"/>
      </w:pPr>
      <w:r>
        <w:t>Việc khiến một vị sếp có xu hướng mơ hồ hoặc không rõ ràng bày tỏ mong đợi có thể khó khăn. Nhưng những nhà quản lý hiệu quả sẽ tìm cách để có được thông tin đó. Một số người sẽ soạn một bản ghi nhớ chi tiết về các khía cạnh chính trong công việc của họ rồi gửi lên sếp để phê duyệt. Sau đó, họ theo đuổi bằng một cuộc thảo luận trực tiếp trong đó họ xem xét từng mục trong bản ghi nhớ. Một cuộc thảo luận như vậy thường sẽ làm lộ ra gần như tất cả mong đợi của sếp.</w:t>
      </w:r>
    </w:p>
    <w:p>
      <w:pPr>
        <w:pStyle w:val="Normal"/>
      </w:pPr>
      <w:r>
        <w:t>Những nhà quản lý hiệu quả khác sẽ đối phó với sếp không rõ ràng bằng cách bắt đầu một loạt các cuộc thảo luận không chính thức về “quản lý tốt” và “mục tiêu của chúng ta.” Một số người khác lại tìm thông tin hữu ích một cách gián tiếp hơn thông qua những người từng làm việc cho sếp và thông qua các hệ thống lập kế hoạch chính thức mà trong đó sếp cam kết với cấp trên của chính mình. Tất nhiên, cách tiếp cận bạn chọn sẽ phụ thuộc vào sự hiểu biết của bạn về phong cách của sếp.</w:t>
      </w:r>
    </w:p>
    <w:p>
      <w:pPr>
        <w:pStyle w:val="Normal"/>
      </w:pPr>
      <w:r>
        <w:t>Việc phát triển một bộ kỳ vọng chung khả thi cũng đòi hỏi bạn phải truyền đạt những mong đợi của bản thân cho sếp, tìm hiểu xem chúng có thực tế không, và gây ảnh hưởng để sếp chấp nhận những điều quan trọng với bạn. Khả năng gây ảnh hưởng để sếp coi trọng mong đợi của bạn có thể đặc biệt quan trọng nếu sếp là người có tham vọng quá mức (overachiever). Một vị sếp như vậy thường đặt ra những tiêu chuẩn cao không thực tế cần được điều chỉnh cho phù hợp với thực tế.</w:t>
      </w:r>
    </w:p>
    <w:p>
      <w:pPr>
        <w:pStyle w:val="Para 079"/>
      </w:pPr>
      <w:r>
        <w:t>Luồng thông tin</w:t>
      </w:r>
    </w:p>
    <w:p>
      <w:pPr>
        <w:pStyle w:val="Normal"/>
      </w:pPr>
      <w:r>
        <w:t>Mức độ thông tin mà một vị sếp cần về những gì cấp dưới đang làm sẽ thay đổi đáng kể tùy thuộc vào phong cách của sếp, tình huống mà sếp đang gặp phải, và mức độ tin tưởng của sếp dành cho cấp dưới. Nhưng không hiếm khi sếp cần nhiều thông tin hơn mức cấp dưới tự nhiên cung cấp, hoặc cấp dưới nghĩ rằng sếp biết nhiều hơn thực tế. Các nhà quản lý hiệu quả nhận ra rằng họ có thể đang đánh giá thấp những gì sếp cần biết, và họ đảm bảo tìm cách để giữ cho sếp luôn được cập nhật thông tin thông qua các quy trình phù hợp với phong cách của sếp.</w:t>
      </w:r>
    </w:p>
    <w:p>
      <w:pPr>
        <w:pStyle w:val="Normal"/>
      </w:pPr>
      <w:r>
        <w:t>Việc quản lý luồng thông tin đi lên (từ cấp dưới lên sếp) đặc biệt khó khăn nếu sếp không thích nghe về vấn đề. Mặc dù nhiều người sẽ phủ nhận điều này, nhưng các sếp thường phát ra tín hiệu rằng họ chỉ muốn nghe tin tốt. Họ tỏ ra rất khó chịu—thường là qua ngôn ngữ cơ thể—khi ai đó báo cáo một vấn đề. Thậm chí, bỏ qua thành tích cá nhân, họ có thể đánh giá cao hơn những cấp dưới không mang vấn đề đến cho họ.</w:t>
      </w:r>
    </w:p>
    <w:p>
      <w:pPr>
        <w:pStyle w:val="Normal"/>
      </w:pPr>
      <w:r>
        <w:t>Tuy nhiên, vì lợi ích của tổ chức, sếp và cấp dưới, cấp trên cần được nghe về cả thất bại lẫn thành công. Một số cấp dưới đối phó với sếp chỉ thích nghe tin tốt bằng cách tìm cách gián tiếp để truyền đạt thông tin cần thiết cho sếp, chẳng hạn như qua hệ thống thông tin quản lý (management information system). Những người khác thì đảm bảo rằng các vấn đề tiềm ẩn, dù là tin tốt bất ngờ hay tin xấu, đều được thông báo ngay lập tức.</w:t>
      </w:r>
    </w:p>
    <w:p>
      <w:pPr>
        <w:pStyle w:val="Para 079"/>
      </w:pPr>
      <w:r>
        <w:t>Độ tin cậy và Trung thực</w:t>
      </w:r>
    </w:p>
    <w:p>
      <w:pPr>
        <w:pStyle w:val="Normal"/>
      </w:pPr>
      <w:r>
        <w:t>Ít điều gì khiến sếp bất lực bằng việc có một cấp dưới mà mình không thể dựa dẫm, không thể tin tưởng vào công việc của họ. Gần như không ai cố tình thiếu đáng tin cậy, nhưng nhiều quản lý lại vô tình rơi vào tình trạng đó vì sơ suất hoặc không chắc chắn về ưu tiên của sếp. Cam kết một ngày giao hàng lạc quan có thể làm hài lòng sếp trong ngắn hạn, nhưng trở thành nguồn gây khó chịu nếu không thực hiện đúng. Sếp rất khó dựa vào một cấp dưới thường xuyên trễ hạn. Như một vị chủ tịch (khi mô tả về cấp dưới) đã nói: “Tôi thà rằng anh ấy nhất quán hơn, dù đạt được ít thành công đỉnh cao hơn—ít nhất tôi vẫn có thể tin tưởng anh ấy.”</w:t>
      </w:r>
    </w:p>
    <w:p>
      <w:pPr>
        <w:pStyle w:val="Normal"/>
      </w:pPr>
      <w:r>
        <w:t>Cũng không có nhiều quản lý cố tình thiếu trung thực với sếp của mình. Nhưng thật dễ dàng để làm sai lệch sự thật và hạ thấp các vấn đề. Những lo ngại hiện tại thường trở thành vấn đề bất ngờ trong tương lai. Sếp gần như không thể làm việc hiệu quả nếu không thể dựa vào sự nắm bắt khá chính xác từ cấp dưới. Vì làm xói mòn uy tín, sự thiếu trung thực có lẽ là đặc điểm đáng lo ngại nhất mà một cấp dưới có thể có. Nếu không có mức độ tin tưởng cơ bản, sếp sẽ cảm thấy buộc phải kiểm tra mọi quyết định của cấp dưới, điều này khiến việc ủy quyền trở nên khó khăn.</w:t>
      </w:r>
    </w:p>
    <w:p>
      <w:pPr>
        <w:pStyle w:val="Para 079"/>
      </w:pPr>
      <w:r>
        <w:t>Sử dụng thời gian và nguồn lực hợp lý</w:t>
      </w:r>
    </w:p>
    <w:p>
      <w:pPr>
        <w:pStyle w:val="Normal"/>
      </w:pPr>
      <w:r>
        <w:t>Sếp của bạn có lẽ cũng bị giới hạn về thời gian, năng lượng và tầm ảnh hưởng giống như bạn. Mỗi yêu cầu bạn đưa ra với sếp đều tiêu tốn một phần các nguồn lực này, vì vậy bạn nên sử dụng chúng một cách có chọn lọc. Điều này nghe có vẻ hiển nhiên, nhưng nhiều nhà quản lý lại lãng phí thời gian của sếp (và một phần uy tín của chính họ) vào những vấn đề tương đối nhỏ nhặt.</w:t>
      </w:r>
    </w:p>
    <w:p>
      <w:pPr>
        <w:pStyle w:val="Normal"/>
      </w:pPr>
      <w:r>
        <w:t>Một phó chủ tịch đã rất nỗ lực để thuyết phục sếp của mình sa thải một thư ký hay xen vào chuyện người khác ở một bộ phận khác. Sếp của ông ấy đã phải dùng không ít ảnh hưởng để làm điều đó. Dễ hiểu là trưởng bộ phận kia không hài lòng. Sau đó, khi vị phó chủ tịch muốn giải quyết những vấn đề quan trọng hơn, ông ấy gặp trở ngại. Việc tiêu tốn những lợi thế quý giá (blue chips) vào một vấn đề tương đối nhỏ nhặt đã khiến ông ấy và sếp khó đạt được những mục tiêu quan trọng hơn.</w:t>
      </w:r>
    </w:p>
    <w:p>
      <w:pPr>
        <w:pStyle w:val="Normal"/>
      </w:pPr>
      <w:r>
        <w:t>Chắc chắn, một số cấp dưới sẽ khó chịu vì ngoài tất cả nhiệm vụ khác, họ còn phải dành thời gian và công sức để quản lý mối quan hệ với sếp của mình. Những nhà quản lý như vậy không nhận ra tầm quan trọng của việc này và nó có thể đơn giản hóa công việc của họ bằng cách loại bỏ những vấn đề nghiêm trọng tiềm ẩn. Các nhà quản lý hiệu quả nhận thấy phần công việc này là hợp lý. Vì tự coi mình là người chịu trách nhiệm cuối cùng cho những gì đạt được trong tổ chức, họ biết rằng họ cần thiết lập và duy trì mối quan hệ với tất cả những người họ phụ thuộc—và bao gồm cả sếp.</w:t>
      </w:r>
    </w:p>
    <w:p>
      <w:pPr>
        <w:pStyle w:val="Para 199"/>
      </w:pPr>
      <w:r>
        <w:t>Danh sách kiểm tra để quản lý sếp của bạn</w:t>
      </w:r>
    </w:p>
    <w:p>
      <w:pPr>
        <w:pStyle w:val="Para 077"/>
      </w:pPr>
      <w:r>
        <w:t>Hãy đảm bảo bạn hiểu rõ sếp và bối cảnh của họ, bao gồm:</w:t>
      </w:r>
    </w:p>
    <w:p>
      <w:pPr>
        <w:pStyle w:val="Para 043"/>
      </w:pPr>
      <w:r>
        <w:drawing>
          <wp:inline>
            <wp:extent cx="25400" cy="25400"/>
            <wp:effectExtent l="0" r="0" t="0" b="0"/>
            <wp:docPr id="13" name="squf.jpg" descr="square"/>
            <wp:cNvGraphicFramePr>
              <a:graphicFrameLocks noChangeAspect="1"/>
            </wp:cNvGraphicFramePr>
            <a:graphic>
              <a:graphicData uri="http://schemas.openxmlformats.org/drawingml/2006/picture">
                <pic:pic>
                  <pic:nvPicPr>
                    <pic:cNvPr id="0" name="squf.jpg" descr="square"/>
                    <pic:cNvPicPr/>
                  </pic:nvPicPr>
                  <pic:blipFill>
                    <a:blip r:embed="rId13"/>
                    <a:stretch>
                      <a:fillRect/>
                    </a:stretch>
                  </pic:blipFill>
                  <pic:spPr>
                    <a:xfrm>
                      <a:off x="0" y="0"/>
                      <a:ext cx="25400" cy="25400"/>
                    </a:xfrm>
                    <a:prstGeom prst="rect">
                      <a:avLst/>
                    </a:prstGeom>
                  </pic:spPr>
                </pic:pic>
              </a:graphicData>
            </a:graphic>
          </wp:inline>
        </w:drawing>
      </w:r>
      <w:r>
        <w:rPr>
          <w:lang w:bidi="en" w:val="en" w:eastAsia="en"/>
        </w:rPr>
        <w:t xml:space="preserve"> Mục tiêu và mục đích</w:t>
      </w:r>
    </w:p>
    <w:p>
      <w:pPr>
        <w:pStyle w:val="Para 043"/>
      </w:pPr>
      <w:r>
        <w:drawing>
          <wp:inline>
            <wp:extent cx="25400" cy="25400"/>
            <wp:effectExtent l="0" r="0" t="0" b="0"/>
            <wp:docPr id="14" name="squf.jpg" descr="square"/>
            <wp:cNvGraphicFramePr>
              <a:graphicFrameLocks noChangeAspect="1"/>
            </wp:cNvGraphicFramePr>
            <a:graphic>
              <a:graphicData uri="http://schemas.openxmlformats.org/drawingml/2006/picture">
                <pic:pic>
                  <pic:nvPicPr>
                    <pic:cNvPr id="0" name="squf.jpg" descr="square"/>
                    <pic:cNvPicPr/>
                  </pic:nvPicPr>
                  <pic:blipFill>
                    <a:blip r:embed="rId13"/>
                    <a:stretch>
                      <a:fillRect/>
                    </a:stretch>
                  </pic:blipFill>
                  <pic:spPr>
                    <a:xfrm>
                      <a:off x="0" y="0"/>
                      <a:ext cx="25400" cy="25400"/>
                    </a:xfrm>
                    <a:prstGeom prst="rect">
                      <a:avLst/>
                    </a:prstGeom>
                  </pic:spPr>
                </pic:pic>
              </a:graphicData>
            </a:graphic>
          </wp:inline>
        </w:drawing>
      </w:r>
      <w:r>
        <w:rPr>
          <w:lang w:bidi="en" w:val="en" w:eastAsia="en"/>
        </w:rPr>
        <w:t xml:space="preserve"> Áp lực</w:t>
      </w:r>
    </w:p>
    <w:p>
      <w:pPr>
        <w:pStyle w:val="Para 043"/>
      </w:pPr>
      <w:r>
        <w:drawing>
          <wp:inline>
            <wp:extent cx="25400" cy="25400"/>
            <wp:effectExtent l="0" r="0" t="0" b="0"/>
            <wp:docPr id="15" name="squf.jpg" descr="square"/>
            <wp:cNvGraphicFramePr>
              <a:graphicFrameLocks noChangeAspect="1"/>
            </wp:cNvGraphicFramePr>
            <a:graphic>
              <a:graphicData uri="http://schemas.openxmlformats.org/drawingml/2006/picture">
                <pic:pic>
                  <pic:nvPicPr>
                    <pic:cNvPr id="0" name="squf.jpg" descr="square"/>
                    <pic:cNvPicPr/>
                  </pic:nvPicPr>
                  <pic:blipFill>
                    <a:blip r:embed="rId13"/>
                    <a:stretch>
                      <a:fillRect/>
                    </a:stretch>
                  </pic:blipFill>
                  <pic:spPr>
                    <a:xfrm>
                      <a:off x="0" y="0"/>
                      <a:ext cx="25400" cy="25400"/>
                    </a:xfrm>
                    <a:prstGeom prst="rect">
                      <a:avLst/>
                    </a:prstGeom>
                  </pic:spPr>
                </pic:pic>
              </a:graphicData>
            </a:graphic>
          </wp:inline>
        </w:drawing>
      </w:r>
      <w:r>
        <w:rPr>
          <w:lang w:bidi="en" w:val="en" w:eastAsia="en"/>
        </w:rPr>
        <w:t xml:space="preserve"> Điểm mạnh, điểm yếu, điểm mù</w:t>
      </w:r>
    </w:p>
    <w:p>
      <w:pPr>
        <w:pStyle w:val="Para 043"/>
      </w:pPr>
      <w:r>
        <w:drawing>
          <wp:inline>
            <wp:extent cx="25400" cy="25400"/>
            <wp:effectExtent l="0" r="0" t="0" b="0"/>
            <wp:docPr id="16" name="squf.jpg" descr="square"/>
            <wp:cNvGraphicFramePr>
              <a:graphicFrameLocks noChangeAspect="1"/>
            </wp:cNvGraphicFramePr>
            <a:graphic>
              <a:graphicData uri="http://schemas.openxmlformats.org/drawingml/2006/picture">
                <pic:pic>
                  <pic:nvPicPr>
                    <pic:cNvPr id="0" name="squf.jpg" descr="square"/>
                    <pic:cNvPicPr/>
                  </pic:nvPicPr>
                  <pic:blipFill>
                    <a:blip r:embed="rId13"/>
                    <a:stretch>
                      <a:fillRect/>
                    </a:stretch>
                  </pic:blipFill>
                  <pic:spPr>
                    <a:xfrm>
                      <a:off x="0" y="0"/>
                      <a:ext cx="25400" cy="25400"/>
                    </a:xfrm>
                    <a:prstGeom prst="rect">
                      <a:avLst/>
                    </a:prstGeom>
                  </pic:spPr>
                </pic:pic>
              </a:graphicData>
            </a:graphic>
          </wp:inline>
        </w:drawing>
      </w:r>
      <w:r>
        <w:rPr>
          <w:lang w:bidi="en" w:val="en" w:eastAsia="en"/>
        </w:rPr>
        <w:t xml:space="preserve"> Phong cách làm việc ưa thích</w:t>
      </w:r>
    </w:p>
    <w:p>
      <w:pPr>
        <w:pStyle w:val="Para 009"/>
      </w:pPr>
      <w:r>
        <w:t>Đánh giá bản thân và nhu cầu của bạn, bao gồm:</w:t>
      </w:r>
    </w:p>
    <w:p>
      <w:pPr>
        <w:pStyle w:val="Para 043"/>
      </w:pPr>
      <w:r>
        <w:drawing>
          <wp:inline>
            <wp:extent cx="25400" cy="25400"/>
            <wp:effectExtent l="0" r="0" t="0" b="0"/>
            <wp:docPr id="17" name="squf.jpg" descr="square"/>
            <wp:cNvGraphicFramePr>
              <a:graphicFrameLocks noChangeAspect="1"/>
            </wp:cNvGraphicFramePr>
            <a:graphic>
              <a:graphicData uri="http://schemas.openxmlformats.org/drawingml/2006/picture">
                <pic:pic>
                  <pic:nvPicPr>
                    <pic:cNvPr id="0" name="squf.jpg" descr="square"/>
                    <pic:cNvPicPr/>
                  </pic:nvPicPr>
                  <pic:blipFill>
                    <a:blip r:embed="rId13"/>
                    <a:stretch>
                      <a:fillRect/>
                    </a:stretch>
                  </pic:blipFill>
                  <pic:spPr>
                    <a:xfrm>
                      <a:off x="0" y="0"/>
                      <a:ext cx="25400" cy="25400"/>
                    </a:xfrm>
                    <a:prstGeom prst="rect">
                      <a:avLst/>
                    </a:prstGeom>
                  </pic:spPr>
                </pic:pic>
              </a:graphicData>
            </a:graphic>
          </wp:inline>
        </w:drawing>
      </w:r>
      <w:r>
        <w:rPr>
          <w:lang w:bidi="en" w:val="en" w:eastAsia="en"/>
        </w:rPr>
        <w:t xml:space="preserve"> Điểm mạnh và điểm yếu</w:t>
      </w:r>
    </w:p>
    <w:p>
      <w:pPr>
        <w:pStyle w:val="Para 043"/>
      </w:pPr>
      <w:r>
        <w:drawing>
          <wp:inline>
            <wp:extent cx="25400" cy="25400"/>
            <wp:effectExtent l="0" r="0" t="0" b="0"/>
            <wp:docPr id="18" name="squf.jpg" descr="square"/>
            <wp:cNvGraphicFramePr>
              <a:graphicFrameLocks noChangeAspect="1"/>
            </wp:cNvGraphicFramePr>
            <a:graphic>
              <a:graphicData uri="http://schemas.openxmlformats.org/drawingml/2006/picture">
                <pic:pic>
                  <pic:nvPicPr>
                    <pic:cNvPr id="0" name="squf.jpg" descr="square"/>
                    <pic:cNvPicPr/>
                  </pic:nvPicPr>
                  <pic:blipFill>
                    <a:blip r:embed="rId13"/>
                    <a:stretch>
                      <a:fillRect/>
                    </a:stretch>
                  </pic:blipFill>
                  <pic:spPr>
                    <a:xfrm>
                      <a:off x="0" y="0"/>
                      <a:ext cx="25400" cy="25400"/>
                    </a:xfrm>
                    <a:prstGeom prst="rect">
                      <a:avLst/>
                    </a:prstGeom>
                  </pic:spPr>
                </pic:pic>
              </a:graphicData>
            </a:graphic>
          </wp:inline>
        </w:drawing>
      </w:r>
      <w:r>
        <w:rPr>
          <w:lang w:bidi="en" w:val="en" w:eastAsia="en"/>
        </w:rPr>
        <w:t xml:space="preserve"> Phong cách cá nhân</w:t>
      </w:r>
    </w:p>
    <w:p>
      <w:pPr>
        <w:pStyle w:val="Para 043"/>
      </w:pPr>
      <w:r>
        <w:drawing>
          <wp:inline>
            <wp:extent cx="25400" cy="25400"/>
            <wp:effectExtent l="0" r="0" t="0" b="0"/>
            <wp:docPr id="19" name="squf.jpg" descr="square"/>
            <wp:cNvGraphicFramePr>
              <a:graphicFrameLocks noChangeAspect="1"/>
            </wp:cNvGraphicFramePr>
            <a:graphic>
              <a:graphicData uri="http://schemas.openxmlformats.org/drawingml/2006/picture">
                <pic:pic>
                  <pic:nvPicPr>
                    <pic:cNvPr id="0" name="squf.jpg" descr="square"/>
                    <pic:cNvPicPr/>
                  </pic:nvPicPr>
                  <pic:blipFill>
                    <a:blip r:embed="rId13"/>
                    <a:stretch>
                      <a:fillRect/>
                    </a:stretch>
                  </pic:blipFill>
                  <pic:spPr>
                    <a:xfrm>
                      <a:off x="0" y="0"/>
                      <a:ext cx="25400" cy="25400"/>
                    </a:xfrm>
                    <a:prstGeom prst="rect">
                      <a:avLst/>
                    </a:prstGeom>
                  </pic:spPr>
                </pic:pic>
              </a:graphicData>
            </a:graphic>
          </wp:inline>
        </w:drawing>
      </w:r>
      <w:r>
        <w:rPr>
          <w:lang w:bidi="en" w:val="en" w:eastAsia="en"/>
        </w:rPr>
        <w:t xml:space="preserve"> Xu hướng phụ thuộc vào những người có thẩm quyền</w:t>
      </w:r>
    </w:p>
    <w:p>
      <w:pPr>
        <w:pStyle w:val="Para 009"/>
      </w:pPr>
      <w:r>
        <w:t>Xây dựng và duy trì một mối quan hệ mà:</w:t>
      </w:r>
    </w:p>
    <w:p>
      <w:pPr>
        <w:pStyle w:val="Para 043"/>
      </w:pPr>
      <w:r>
        <w:drawing>
          <wp:inline>
            <wp:extent cx="25400" cy="25400"/>
            <wp:effectExtent l="0" r="0" t="0" b="0"/>
            <wp:docPr id="20" name="squf.jpg" descr="square"/>
            <wp:cNvGraphicFramePr>
              <a:graphicFrameLocks noChangeAspect="1"/>
            </wp:cNvGraphicFramePr>
            <a:graphic>
              <a:graphicData uri="http://schemas.openxmlformats.org/drawingml/2006/picture">
                <pic:pic>
                  <pic:nvPicPr>
                    <pic:cNvPr id="0" name="squf.jpg" descr="square"/>
                    <pic:cNvPicPr/>
                  </pic:nvPicPr>
                  <pic:blipFill>
                    <a:blip r:embed="rId13"/>
                    <a:stretch>
                      <a:fillRect/>
                    </a:stretch>
                  </pic:blipFill>
                  <pic:spPr>
                    <a:xfrm>
                      <a:off x="0" y="0"/>
                      <a:ext cx="25400" cy="25400"/>
                    </a:xfrm>
                    <a:prstGeom prst="rect">
                      <a:avLst/>
                    </a:prstGeom>
                  </pic:spPr>
                </pic:pic>
              </a:graphicData>
            </a:graphic>
          </wp:inline>
        </w:drawing>
      </w:r>
      <w:r>
        <w:rPr>
          <w:lang w:bidi="en" w:val="en" w:eastAsia="en"/>
        </w:rPr>
        <w:t xml:space="preserve"> Phù hợp với cả nhu cầu và phong cách của bạn</w:t>
      </w:r>
    </w:p>
    <w:p>
      <w:pPr>
        <w:pStyle w:val="Para 043"/>
      </w:pPr>
      <w:r>
        <w:drawing>
          <wp:inline>
            <wp:extent cx="25400" cy="25400"/>
            <wp:effectExtent l="0" r="0" t="0" b="0"/>
            <wp:docPr id="21" name="squf.jpg" descr="square"/>
            <wp:cNvGraphicFramePr>
              <a:graphicFrameLocks noChangeAspect="1"/>
            </wp:cNvGraphicFramePr>
            <a:graphic>
              <a:graphicData uri="http://schemas.openxmlformats.org/drawingml/2006/picture">
                <pic:pic>
                  <pic:nvPicPr>
                    <pic:cNvPr id="0" name="squf.jpg" descr="square"/>
                    <pic:cNvPicPr/>
                  </pic:nvPicPr>
                  <pic:blipFill>
                    <a:blip r:embed="rId13"/>
                    <a:stretch>
                      <a:fillRect/>
                    </a:stretch>
                  </pic:blipFill>
                  <pic:spPr>
                    <a:xfrm>
                      <a:off x="0" y="0"/>
                      <a:ext cx="25400" cy="25400"/>
                    </a:xfrm>
                    <a:prstGeom prst="rect">
                      <a:avLst/>
                    </a:prstGeom>
                  </pic:spPr>
                </pic:pic>
              </a:graphicData>
            </a:graphic>
          </wp:inline>
        </w:drawing>
      </w:r>
      <w:r>
        <w:rPr>
          <w:lang w:bidi="en" w:val="en" w:eastAsia="en"/>
        </w:rPr>
        <w:t xml:space="preserve"> Được đặc trưng bởi sự kỳ vọng lẫn nhau</w:t>
      </w:r>
    </w:p>
    <w:p>
      <w:pPr>
        <w:pStyle w:val="Para 043"/>
      </w:pPr>
      <w:r>
        <w:drawing>
          <wp:inline>
            <wp:extent cx="25400" cy="25400"/>
            <wp:effectExtent l="0" r="0" t="0" b="0"/>
            <wp:docPr id="22" name="squf.jpg" descr="square"/>
            <wp:cNvGraphicFramePr>
              <a:graphicFrameLocks noChangeAspect="1"/>
            </wp:cNvGraphicFramePr>
            <a:graphic>
              <a:graphicData uri="http://schemas.openxmlformats.org/drawingml/2006/picture">
                <pic:pic>
                  <pic:nvPicPr>
                    <pic:cNvPr id="0" name="squf.jpg" descr="square"/>
                    <pic:cNvPicPr/>
                  </pic:nvPicPr>
                  <pic:blipFill>
                    <a:blip r:embed="rId13"/>
                    <a:stretch>
                      <a:fillRect/>
                    </a:stretch>
                  </pic:blipFill>
                  <pic:spPr>
                    <a:xfrm>
                      <a:off x="0" y="0"/>
                      <a:ext cx="25400" cy="25400"/>
                    </a:xfrm>
                    <a:prstGeom prst="rect">
                      <a:avLst/>
                    </a:prstGeom>
                  </pic:spPr>
                </pic:pic>
              </a:graphicData>
            </a:graphic>
          </wp:inline>
        </w:drawing>
      </w:r>
      <w:r>
        <w:rPr>
          <w:lang w:bidi="en" w:val="en" w:eastAsia="en"/>
        </w:rPr>
        <w:t xml:space="preserve"> Giữ cho sếp của bạn được cập nhật thông tin</w:t>
      </w:r>
    </w:p>
    <w:p>
      <w:pPr>
        <w:pStyle w:val="Para 043"/>
      </w:pPr>
      <w:r>
        <w:drawing>
          <wp:inline>
            <wp:extent cx="25400" cy="25400"/>
            <wp:effectExtent l="0" r="0" t="0" b="0"/>
            <wp:docPr id="23" name="squf.jpg" descr="square"/>
            <wp:cNvGraphicFramePr>
              <a:graphicFrameLocks noChangeAspect="1"/>
            </wp:cNvGraphicFramePr>
            <a:graphic>
              <a:graphicData uri="http://schemas.openxmlformats.org/drawingml/2006/picture">
                <pic:pic>
                  <pic:nvPicPr>
                    <pic:cNvPr id="0" name="squf.jpg" descr="square"/>
                    <pic:cNvPicPr/>
                  </pic:nvPicPr>
                  <pic:blipFill>
                    <a:blip r:embed="rId13"/>
                    <a:stretch>
                      <a:fillRect/>
                    </a:stretch>
                  </pic:blipFill>
                  <pic:spPr>
                    <a:xfrm>
                      <a:off x="0" y="0"/>
                      <a:ext cx="25400" cy="25400"/>
                    </a:xfrm>
                    <a:prstGeom prst="rect">
                      <a:avLst/>
                    </a:prstGeom>
                  </pic:spPr>
                </pic:pic>
              </a:graphicData>
            </a:graphic>
          </wp:inline>
        </w:drawing>
      </w:r>
      <w:r>
        <w:rPr>
          <w:lang w:bidi="en" w:val="en" w:eastAsia="en"/>
        </w:rPr>
        <w:t xml:space="preserve"> Dựa trên sự đáng tin cậy và trung thực</w:t>
      </w:r>
    </w:p>
    <w:p>
      <w:pPr>
        <w:pStyle w:val="Para 043"/>
      </w:pPr>
      <w:r>
        <w:drawing>
          <wp:inline>
            <wp:extent cx="25400" cy="25400"/>
            <wp:effectExtent l="0" r="0" t="0" b="0"/>
            <wp:docPr id="24" name="squf.jpg" descr="square"/>
            <wp:cNvGraphicFramePr>
              <a:graphicFrameLocks noChangeAspect="1"/>
            </wp:cNvGraphicFramePr>
            <a:graphic>
              <a:graphicData uri="http://schemas.openxmlformats.org/drawingml/2006/picture">
                <pic:pic>
                  <pic:nvPicPr>
                    <pic:cNvPr id="0" name="squf.jpg" descr="square"/>
                    <pic:cNvPicPr/>
                  </pic:nvPicPr>
                  <pic:blipFill>
                    <a:blip r:embed="rId13"/>
                    <a:stretch>
                      <a:fillRect/>
                    </a:stretch>
                  </pic:blipFill>
                  <pic:spPr>
                    <a:xfrm>
                      <a:off x="0" y="0"/>
                      <a:ext cx="25400" cy="25400"/>
                    </a:xfrm>
                    <a:prstGeom prst="rect">
                      <a:avLst/>
                    </a:prstGeom>
                  </pic:spPr>
                </pic:pic>
              </a:graphicData>
            </a:graphic>
          </wp:inline>
        </w:drawing>
      </w:r>
      <w:r>
        <w:rPr>
          <w:lang w:bidi="en" w:val="en" w:eastAsia="en"/>
        </w:rPr>
        <w:t xml:space="preserve"> Sử dụng thời gian và nguồn lực của sếp một cách chọn lọc</w:t>
      </w:r>
    </w:p>
    <w:p>
      <w:bookmarkStart w:id="456" w:name="Top_of_07_08_About_the_Author_xh"/>
      <w:bookmarkStart w:id="457" w:name="ABOUT_THE_AUTHORS_John_J__Gabarr"/>
      <w:pPr>
        <w:pStyle w:val="Para 200"/>
        <w:pageBreakBefore w:val="on"/>
      </w:pPr>
      <w:r>
        <w:t>VỀ CÁC TÁC GIẢ</w:t>
      </w:r>
      <w:bookmarkEnd w:id="456"/>
      <w:bookmarkEnd w:id="457"/>
    </w:p>
    <w:p>
      <w:pPr>
        <w:pStyle w:val="Para 055"/>
      </w:pPr>
      <w:r>
        <w:rPr>
          <w:rStyle w:val="Text0"/>
        </w:rPr>
        <w:t>John J. Gabarro</w:t>
      </w:r>
      <w:r>
        <w:t xml:space="preserve"> là Giáo sư UPS Foundation về Quản lý nguồn nhân lực, danh dự (Emeritus) tại Trường Kinh doanh Harvard.</w:t>
      </w:r>
    </w:p>
    <w:p>
      <w:pPr>
        <w:pStyle w:val="Para 055"/>
      </w:pPr>
      <w:r>
        <w:rPr>
          <w:rStyle w:val="Text0"/>
        </w:rPr>
        <w:t>John P. Kotter</w:t>
      </w:r>
      <w:r>
        <w:t xml:space="preserve"> là Giáo sư Konosuke Matsushita về Lãnh đạo, danh dự (Emeritus) tại Trường Kinh doanh Harvard.</w:t>
      </w:r>
    </w:p>
    <w:p>
      <w:bookmarkStart w:id="458" w:name="a08"/>
      <w:bookmarkStart w:id="459" w:name="sbo_rt_content_7"/>
      <w:bookmarkStart w:id="460" w:name="Top_of_08_00_Cover_xhtml"/>
      <w:pPr>
        <w:pStyle w:val="Para 149"/>
        <w:pageBreakBefore w:val="on"/>
      </w:pPr>
      <w:r>
        <w:drawing>
          <wp:anchor distL="0" distR="0" distT="0" distB="0" simplePos="0" relativeHeight="1" behindDoc="0" locked="0" layoutInCell="1" allowOverlap="1">
            <wp:simplePos x="0" y="0"/>
            <wp:positionH relativeFrom="margin">
              <wp:align>left</wp:align>
            </wp:positionH>
            <wp:positionV relativeFrom="line">
              <wp:align>top</wp:align>
            </wp:positionV>
            <wp:extent cx="5486400" cy="8229600"/>
            <wp:effectExtent l="0" r="0" t="0" b="0"/>
            <wp:wrapTopAndBottom/>
            <wp:docPr id="25" name="newcover.jpg" descr="cover"/>
            <wp:cNvGraphicFramePr>
              <a:graphicFrameLocks noChangeAspect="1"/>
            </wp:cNvGraphicFramePr>
            <a:graphic>
              <a:graphicData uri="http://schemas.openxmlformats.org/drawingml/2006/picture">
                <pic:pic>
                  <pic:nvPicPr>
                    <pic:cNvPr id="0" name="newcover.jpg" descr="cover"/>
                    <pic:cNvPicPr/>
                  </pic:nvPicPr>
                  <pic:blipFill>
                    <a:blip r:embed="rId14"/>
                    <a:stretch>
                      <a:fillRect/>
                    </a:stretch>
                  </pic:blipFill>
                  <pic:spPr>
                    <a:xfrm>
                      <a:off x="0" y="0"/>
                      <a:ext cx="5486400" cy="8229600"/>
                    </a:xfrm>
                    <a:prstGeom prst="rect">
                      <a:avLst/>
                    </a:prstGeom>
                  </pic:spPr>
                </pic:pic>
              </a:graphicData>
            </a:graphic>
          </wp:anchor>
        </w:drawing>
      </w:r>
      <w:bookmarkEnd w:id="458"/>
      <w:bookmarkEnd w:id="459"/>
      <w:bookmarkEnd w:id="460"/>
    </w:p>
    <w:p>
      <w:bookmarkStart w:id="461" w:name="Harvard_Business_Review_CLASSICS_6"/>
      <w:bookmarkStart w:id="462" w:name="Top_of_08_02_Title_xhtml"/>
      <w:pPr>
        <w:pStyle w:val="Para 032"/>
        <w:pageBreakBefore w:val="on"/>
      </w:pPr>
      <w:r>
        <w:t>Harvard Business Review</w:t>
        <w:bookmarkStart w:id="463" w:name="page08_iii"/>
        <w:t/>
        <w:bookmarkEnd w:id="463"/>
      </w:r>
      <w:bookmarkEnd w:id="461"/>
      <w:bookmarkEnd w:id="462"/>
    </w:p>
    <w:p>
      <w:pPr>
        <w:pStyle w:val="Para 033"/>
      </w:pPr>
      <w:r>
        <w:t>KINH ĐIỂN</w:t>
      </w:r>
    </w:p>
    <w:p>
      <w:pPr>
        <w:pStyle w:val="Para 036"/>
      </w:pPr>
      <w:r>
        <w:t>LÃNH ĐẠO TẠO KẾT QUẢ</w:t>
      </w:r>
    </w:p>
    <w:p>
      <w:pPr>
        <w:pStyle w:val="Para 026"/>
      </w:pPr>
      <w:r>
        <w:t>Daniel Goleman</w:t>
      </w:r>
    </w:p>
    <w:p>
      <w:pPr>
        <w:pStyle w:val="Para 012"/>
      </w:pPr>
      <w:r>
        <w:t>Harvard Business Review Press</w:t>
      </w:r>
    </w:p>
    <w:p>
      <w:pPr>
        <w:pStyle w:val="Para 012"/>
      </w:pPr>
      <w:r>
        <w:t>Boston, Massachusetts</w:t>
      </w:r>
    </w:p>
    <w:p>
      <w:bookmarkStart w:id="464" w:name="Top_of_08_03_Copyright_xhtml"/>
      <w:bookmarkStart w:id="465" w:name="HBR_Press_Quantity_Sales_Discoun_4"/>
      <w:pPr>
        <w:pStyle w:val="Para 065"/>
        <w:pageBreakBefore w:val="on"/>
      </w:pPr>
      <w:r>
        <w:rPr>
          <w:rStyle w:val="Text1"/>
        </w:rPr>
        <w:bookmarkStart w:id="466" w:name="page08_iv"/>
        <w:t/>
        <w:bookmarkEnd w:id="466"/>
      </w:r>
      <w:r>
        <w:t>CHIẾT KHẤU MUA SỐ LƯỢNG CỦA HBR PRESS</w:t>
      </w:r>
      <w:bookmarkEnd w:id="464"/>
      <w:bookmarkEnd w:id="465"/>
    </w:p>
    <w:p>
      <w:pPr>
        <w:pStyle w:val="Para 092"/>
      </w:pPr>
      <w:r>
        <w:t>Các ấn phẩm của Harvard Business Review Press được chiết khấu đáng kể khi mua với số lượng lớn cho quà tặng khách hàng, chương trình khuyến mãi và quà tặng kèm. Các ấn bản đặc biệt, bao gồm sách có logo công ty, bìa tùy chỉnh, và thư từ công ty hoặc CEO in ở trang đầu, cũng như các trích đoạn từ sách hiện có, cũng có thể được in với số lượng lớn để đáp ứng nhu cầu đặc biệt.</w:t>
      </w:r>
    </w:p>
    <w:p>
      <w:pPr>
        <w:pStyle w:val="Para 006"/>
      </w:pPr>
      <w:r>
        <w:t xml:space="preserve">Để biết thêm chi tiết và thông tin chiết khấu cho cả định dạng in và ebook, hãy liên</w:t>
      </w:r>
      <w:r>
        <w:rPr>
          <w:rStyle w:val="Text2"/>
        </w:rPr>
        <w:t> hệ booksales@harvardbusiness.org,</w:t>
      </w:r>
      <w:r>
        <w:t xml:space="preserve"> tel.</w:t>
        <w:t> 800-988-0886,</w:t>
        <w:t xml:space="preserve"> hoặc</w:t>
      </w:r>
      <w:hyperlink r:id="rId32">
        <w:r>
          <w:rPr>
            <w:rStyle w:val="Text2"/>
          </w:rPr>
          <w:t> www.hbr.org/bulksale</w:t>
        </w:r>
      </w:hyperlink>
      <w:r>
        <w:t>s.</w:t>
      </w:r>
    </w:p>
    <w:p>
      <w:pPr>
        <w:pStyle w:val="Para 006"/>
      </w:pPr>
      <w:r>
        <w:t>Bản quyền 2017 Harvard Business School Publishing Corporation.</w:t>
        <w:br w:clear="none"/>
        <w:t xml:space="preserve"> Xuất bản lần đầu trên Harvard</w:t>
      </w:r>
      <w:r>
        <w:rPr>
          <w:rStyle w:val="Text0"/>
        </w:rPr>
        <w:t> Business Review vào</w:t>
      </w:r>
      <w:r>
        <w:t xml:space="preserve"> tháng 3 năm 2000.</w:t>
        <w:br w:clear="none"/>
        <w:t xml:space="preserve"> Tái bản #R00204.</w:t>
        <w:br w:clear="none"/>
        <w:t xml:space="preserve"> Bảo lưu mọi quyền.</w:t>
      </w:r>
    </w:p>
    <w:p>
      <w:pPr>
        <w:pStyle w:val="Para 006"/>
      </w:pPr>
      <w:r>
        <w:t xml:space="preserve">Không một phần nào của ấn phẩm này được phép sao chép, lưu trữ hoặc đưa vào hệ thống truy xuất, hoặc truyền tải dưới bất kỳ hình thức nào hoặc bằng bất kỳ phương tiện nào (điện tử, cơ khí, photocopy, ghi âm, hoặc cách khác) mà không có sự cho phép trước từ nhà xuất bản. Các yêu cầu xin phép nên được gửi tới</w:t>
      </w:r>
      <w:r>
        <w:rPr>
          <w:rStyle w:val="Text2"/>
        </w:rPr>
        <w:t> permissions@hbsp.harvard.edu, hoặc gửi</w:t>
      </w:r>
      <w:r>
        <w:t> qua đường bưu điện tới Permissions, Harvard Business School Publishing, 60 Harvard Way, Boston, Massachusetts 02163.</w:t>
      </w:r>
    </w:p>
    <w:p>
      <w:pPr>
        <w:pStyle w:val="Para 060"/>
      </w:pPr>
      <w:r>
        <w:t>Các địa chỉ web được nhắc đến trong cuốn sách này đã hoạt động và chính xác tại thời điểm xuất bản nhưng có thể thay đổi.</w:t>
      </w:r>
    </w:p>
    <w:p>
      <w:pPr>
        <w:pStyle w:val="Para 060"/>
      </w:pPr>
      <w:r>
        <w:t>Dữ liệu biên mục trong xuất bản phẩm (Cataloging-in-Publication) sẽ được cung cấp sau.</w:t>
      </w:r>
    </w:p>
    <w:p>
      <w:pPr>
        <w:pStyle w:val="Para 006"/>
      </w:pPr>
      <w:r>
        <w:t>ISBN: 978-1-63369-262-6</w:t>
      </w:r>
    </w:p>
    <w:p>
      <w:pPr>
        <w:pStyle w:val="Para 010"/>
      </w:pPr>
      <w:r>
        <w:t>eISBN: 978-1-63369-263-3</w:t>
      </w:r>
    </w:p>
    <w:p>
      <w:bookmarkStart w:id="467" w:name="THE_HARVARD_BUSINESS_REVIEW_CLAS_8"/>
      <w:bookmarkStart w:id="468" w:name="Top_of_08_04_series_xhtml"/>
      <w:pPr>
        <w:pStyle w:val="Para 153"/>
        <w:pageBreakBefore w:val="on"/>
      </w:pPr>
      <w:r>
        <w:bookmarkStart w:id="469" w:name="page08_v"/>
        <w:t/>
        <w:bookmarkEnd w:id="469"/>
        <w:t>DÒNG SÁCH KINH ĐIỂN HARVARD BUSINESS REVIEW</w:t>
      </w:r>
      <w:bookmarkEnd w:id="467"/>
      <w:bookmarkEnd w:id="468"/>
    </w:p>
    <w:p>
      <w:pPr>
        <w:pStyle w:val="Para 048"/>
      </w:pPr>
      <w:r>
        <w:t xml:space="preserve">Từ năm 1922,</w:t>
      </w:r>
      <w:r>
        <w:rPr>
          <w:rStyle w:val="Text0"/>
        </w:rPr>
        <w:t> Harvard Business Review đã</w:t>
      </w:r>
      <w:r>
        <w:t xml:space="preserve"> là nguồn hàng đầu về những ý tưởng đột phá trong thực tiễn quản lý—nhiều ý tưởng trong số đó vẫn còn vang vọng và ảnh hưởng đến chúng ta ngày nay. Dòng sách HBR Classics hiện mang đến cho bạn cơ hội đưa những tác phẩm nền tảng này vào tủ sách quản lý thường trực của mình. Mỗi tập sách chứa đựng một ý tưởng đột phá đã định hình các thông lệ tốt nhất và truyền cảm hứng cho vô số nhà quản lý trên toàn thế giới—và sẽ thay đổi cách bạn nhìn nhận thế giới kinh doanh ngày</w:t>
        <w:bookmarkStart w:id="470" w:name="page08_vi"/>
        <w:t> nay.</w:t>
        <w:bookmarkEnd w:id="470"/>
        <w:bookmarkStart w:id="471" w:name="page08_vii"/>
        <w:t/>
        <w:bookmarkEnd w:id="471"/>
        <w:bookmarkStart w:id="472" w:name="page08_viii"/>
        <w:t/>
        <w:bookmarkEnd w:id="472"/>
      </w:r>
    </w:p>
    <w:p>
      <w:bookmarkStart w:id="473" w:name="Top_of_08_05_Chapter01_xhtml"/>
      <w:bookmarkStart w:id="474" w:name="Ask_any_group_of_businesspeople"/>
      <w:pPr>
        <w:pStyle w:val="Para 154"/>
        <w:pageBreakBefore w:val="on"/>
      </w:pPr>
      <w:r>
        <w:bookmarkStart w:id="475" w:name="page08_1"/>
        <w:t>Hãy</w:t>
        <w:bookmarkEnd w:id="475"/>
        <w:t> hỏi bất kỳ nhóm doanh nhân nào câu hỏi “Các nhà lãnh đạo hiệu quả làm gì?” và bạn sẽ nhận được vô vàn câu trả lời. Nhà lãnh đạo vạch ra chiến lược; họ truyền động lực; họ tạo ra sứ mệnh; họ xây dựng văn hóa. Sau đó hãy hỏi “Các nhà lãnh đạo nên làm gì?” Nếu nhóm đó dày dạn kinh nghiệm, bạn có thể sẽ chỉ nhận được một câu trả lời: công việc duy nhất của nhà lãnh đạo là đạt được kết quả.</w:t>
      </w:r>
      <w:bookmarkEnd w:id="473"/>
      <w:bookmarkEnd w:id="474"/>
    </w:p>
    <w:p>
      <w:pPr>
        <w:pStyle w:val="Normal"/>
      </w:pPr>
      <w:r>
        <w:t xml:space="preserve">Nhưng làm thế nào? Bí ẩn về việc các nhà lãnh đạo có thể và nên làm gì để khơi dậy phong độ tốt</w:t>
        <w:bookmarkStart w:id="476" w:name="page08_2"/>
        <w:t> n</w:t>
        <w:bookmarkEnd w:id="476"/>
        <w:t>hất từ nhân viên của mình đã tồn tại từ lâu. Trong những năm gần đây, bí ẩn đó đã tạo ra cả một ngành công nghiệp quy mô nhỏ (cottage industry): hàng nghìn “chuyên gia lãnh đạo” đã xây dựng sự nghiệp từ việc kiểm tra và huấn luyện các nhà điều hành (executive), tất cả đều theo đuổi mục tiêu tạo ra những doanh nhân có thể biến các mục tiêu táo bạo—dù là chiến lược, tài chính, tổ chức hay cả ba—thành hiện thực.</w:t>
      </w:r>
    </w:p>
    <w:p>
      <w:pPr>
        <w:pStyle w:val="Normal"/>
      </w:pPr>
      <w:r>
        <w:t xml:space="preserve">Tuy nhiên, sự lãnh đạo hiệu quả vẫn lẩn tránh nhiều người và tổ chức. Một lý do là cho đến gần đây, hầu như không có nghiên cứu định lượng nào chứng minh được chính xác những hành vi lãnh đạo nào mang lại kết quả tích cực. Các chuyên gia lãnh đạo đưa ra lời khuyên dựa trên suy luận, kinh nghiệm và bản năng. Đôi khi lời khuyên đó đưa ra chính xác những hành vi lãnh đạo mang lại kết quả tích cực.</w:t>
        <w:bookmarkStart w:id="477" w:name="page08_3"/>
        <w:t> </w:t>
        <w:bookmarkEnd w:id="477"/>
        <w:t>Các chuyên gia lãnh đạo đưa ra lời khuyên dựa trên suy luận, kinh nghiệm và bản năng. Đôi khi lời khuyên đó rất trúng đích; nhưng cũng có lúc không.</w:t>
      </w:r>
    </w:p>
    <w:p>
      <w:pPr>
        <w:pStyle w:val="Normal"/>
      </w:pPr>
      <w:r>
        <w:t xml:space="preserve">Nhưng nghiên cứu mới của công ty tư vấn Hay/McBer, dựa trên mẫu ngẫu nhiên gồm 3.871 nhà điều hành được chọn từ cơ sở dữ liệu hơn 20.000 nhà điều hành trên toàn thế giới, đã làm sáng tỏ phần lớn bí ẩn về sự lãnh đạo hiệu quả. Nghiên cứu đã tìm ra sáu phong cách lãnh đạo riêng biệt, mỗi phong cách xuất phát từ các thành phần khác nhau của trí tuệ cảm xúc (emotional intelligence). Các phong cách này, nếu xét riêng lẻ, dường như có tác động trực tiếp và độc đáo lên bầu không khí làm việc của một công ty, bộ phận hoặc đội nhóm, và từ đó ảnh hưởng đến hiệu quả tài chính. Và có lẽ điều quan trọng nhất,</w:t>
        <w:bookmarkStart w:id="478" w:name="page08_4"/>
        <w:t> </w:t>
        <w:bookmarkEnd w:id="478"/>
        <w:t>nghiên cứu chỉ ra rằng những nhà lãnh đạo đạt kết quả tốt nhất không chỉ dựa vào một phong cách lãnh đạo duy nhất; họ sử dụng hầu hết các phong cách đó trong một tuần—một cách liền mạch và với mức độ khác nhau—tùy thuộc vào tình huống kinh doanh. Hãy hình dung các phong cách này như bộ gậy trong túi của một golfer chuyên nghiệp. Trong suốt trận đấu, người chơi chọn gậy tùy theo yêu cầu của cú đánh. Đôi khi anh ta phải cân nhắc lựa chọn, nhưng thường thì nó diễn ra tự động. Người chơi cảm nhận thử thách phía trước, nhanh chóng rút ra công cụ phù hợp và khéo léo sử dụng nó. Đó cũng là cách những nhà lãnh đạo có tầm ảnh hưởng lớn hoạt động.</w:t>
      </w:r>
    </w:p>
    <w:p>
      <w:pPr>
        <w:pStyle w:val="Normal"/>
      </w:pPr>
      <w:r>
        <w:t xml:space="preserve">Sáu phong cách lãnh đạo là gì? Không phong cách nào trong số đó sẽ khiến những người kỳ cựu nơi công sở phải ngạc nhiên. Thực vậy, chỉ riêng tên gọi và mô tả ngắn gọn của</w:t>
        <w:bookmarkStart w:id="479" w:name="page08_5"/>
        <w:t> t</w:t>
        <w:bookmarkEnd w:id="479"/>
        <w:t xml:space="preserve">ừng phong cách cũng đủ để tạo sự đồng điệu với bất kỳ ai đang lãnh đạo, đang được lãnh đạo, hoặc như hầu hết chúng ta, vừa lãnh đạo vừa được lãnh</w:t>
      </w:r>
      <w:r>
        <w:rPr>
          <w:rStyle w:val="Text0"/>
        </w:rPr>
        <w:t> đạo. Lãnh đạo ép buộc</w:t>
      </w:r>
      <w:r>
        <w:t xml:space="preserve"> (coercive) đòi hỏi sự tuân thủ ngay lập</w:t>
      </w:r>
      <w:r>
        <w:rPr>
          <w:rStyle w:val="Text0"/>
        </w:rPr>
        <w:t> tức. Lãnh đạo định hướng</w:t>
      </w:r>
      <w:r>
        <w:t xml:space="preserve"> (authoritative) huy động mọi người hướng tới một</w:t>
      </w:r>
      <w:r>
        <w:rPr>
          <w:rStyle w:val="Text0"/>
        </w:rPr>
        <w:t> tầm nhìn. Lãnh đạo hòa hợp</w:t>
      </w:r>
      <w:r>
        <w:t xml:space="preserve"> (affiliative) tạo ra sự gắn kết cảm xúc và sự hòa</w:t>
      </w:r>
      <w:r>
        <w:rPr>
          <w:rStyle w:val="Text0"/>
        </w:rPr>
        <w:t> hợp. Lãnh đạo dân chủ</w:t>
      </w:r>
      <w:r>
        <w:t xml:space="preserve"> (democratic) xây dựng sự đồng thuận thông qua sự tham gia.</w:t>
      </w:r>
      <w:r>
        <w:rPr>
          <w:rStyle w:val="Text0"/>
        </w:rPr>
        <w:t> Lãnh đạo tạo tiến độ</w:t>
      </w:r>
      <w:r>
        <w:t xml:space="preserve"> (pacesetting) đòi hỏi sự xuất sắc và khả năng tự định hướng. Và</w:t>
      </w:r>
      <w:r>
        <w:rPr>
          <w:rStyle w:val="Text0"/>
        </w:rPr>
        <w:t> lãnh đạo huấn luyện</w:t>
      </w:r>
      <w:r>
        <w:t xml:space="preserve"> (coaching) phát triển con người cho tương lai.</w:t>
      </w:r>
    </w:p>
    <w:p>
      <w:pPr>
        <w:pStyle w:val="Normal"/>
      </w:pPr>
      <w:r>
        <w:t xml:space="preserve">Nhắm mắt lại, chắc chắn bạn có thể tưởng tượng ra một đồng nghiệp sử dụng một trong những phong cách này. Rất có thể bản thân bạn cũng đang sử dụng ít nhất một trong số đó. Điều mới mẻ trong nghiên cứu này, chính là ý nghĩa hành động của nó. Thứ nhất, nghiên cứu mang đến sự hiểu biết chi tiết về cách các phong cách</w:t>
        <w:bookmarkStart w:id="480" w:name="page08_6"/>
        <w:t> </w:t>
        <w:bookmarkEnd w:id="480"/>
        <w:t>lãnh đạo khác nhau ảnh hưởng đến hiệu suất và kết quả. Thứ hai, nó đưa ra hướng dẫn rõ ràng về thời điểm nhà quản lý nên chuyển đổi giữa các phong cách. Nghiên cứu cũng khuyến nghị mạnh mẽ rằng việc chuyển đổi linh hoạt là nên làm. Điểm mới nữa là phát hiện của nghiên cứu rằng mỗi phong cách lãnh đạo bắt nguồn từ các thành phần khác nhau của trí tuệ cảm xúc (emotional intelligence).</w:t>
      </w:r>
    </w:p>
    <w:p>
      <w:bookmarkStart w:id="481" w:name="MEASURING_LEADERSHIP_S_IMPACT"/>
      <w:pPr>
        <w:pStyle w:val="Para 029"/>
      </w:pPr>
      <w:r>
        <w:t>ĐO LƯỜNG TÁC ĐỘNG CỦA LÃNH ĐẠO</w:t>
      </w:r>
      <w:bookmarkEnd w:id="481"/>
    </w:p>
    <w:p>
      <w:pPr>
        <w:pStyle w:val="Normal"/>
      </w:pPr>
      <w:r>
        <w:t xml:space="preserve">Đã hơn một thập kỷ kể từ khi các nghiên cứu đầu tiên liên kết các khía cạnh của trí tuệ cảm xúc với kết quả kinh doanh. Nhà tâm lý học nổi tiếng của Đại học Harvard, David McClelland quá cố, đã phát hiện ra rằng</w:t>
        <w:bookmarkStart w:id="482" w:name="page08_7"/>
        <w:t> n</w:t>
        <w:bookmarkEnd w:id="482"/>
        <w:t>hững nhà lãnh đạo có thế mạnh ở một khối lượng tới hạn (critical mass) gồm sáu hoặc nhiều năng lực trí tuệ cảm xúc sẽ hiệu quả hơn hẳn những đồng nghiệp thiếu các thế mạnh này. Ví dụ, khi ông phân tích hiệu suất của các trưởng bộ phận tại một công ty thực phẩm và đồ uống toàn cầu, ông nhận thấy trong số các nhà lãnh đạo sở hữu khối lượng năng lực tới hạn này, 87% nằm trong nhóm một phần ba đứng đầu về tiền thưởng hằng năm dựa trên kết quả kinh doanh. Đáng chú ý hơn, các bộ phận của họ trung bình vượt chỉ tiêu doanh thu hằng năm từ 15% đến 20%. Những nhà điều hành thiếu trí tuệ cảm xúc hiếm khi được xếp loại xuất sắc trong các kỳ đánh giá hiệu suất hằng năm, và bộ phận của họ trung bình hoạt động kém hơn mục tiêu gần 20%.</w:t>
      </w:r>
    </w:p>
    <w:p>
      <w:pPr>
        <w:pStyle w:val="Normal"/>
      </w:pPr>
      <w:r>
        <w:bookmarkStart w:id="483" w:name="page08_8"/>
        <w:t>Nghiên</w:t>
        <w:bookmarkEnd w:id="483"/>
        <w:t> cứu của chúng tôi được tiến hành nhằm có được một cái nhìn vi mô hơn về mối liên kết giữa lãnh đạo với trí tuệ cảm xúc, cũng như giữa bầu không khí tổ chức với hiệu suất. Một nhóm đồng nghiệp của McClelland, do Mary Fontaine và Ruth Jacobs từ Hay/McBer đứng đầu, đã nghiên cứu dữ liệu về hoặc quan sát trực tiếp hàng nghìn nhà điều hành, đồng thời ghi lại các hành vi cụ thể và tác động của chúng đến bầu không khí tổ chức. Mỗi cá nhân thúc đẩy cấp dưới trực tiếp như thế nào? Quản lý các sáng kiến thay đổi ra sao? Xử lý khủng hoảng thế nào? Trong giai đoạn sau của nghiên cứu, chúng tôi đã xác định được những năng lực trí tuệ cảm xúc nào là nền tảng của sáu phong cách lãnh đạo. Người đó đạt ở mức nào về khả năng tự kiểm soát và kỹ năng xã hội? Một nhà lãnh đạo có mức độ đồng cảm cao hay thấp?</w:t>
      </w:r>
    </w:p>
    <w:p>
      <w:pPr>
        <w:pStyle w:val="Normal"/>
      </w:pPr>
      <w:r>
        <w:bookmarkStart w:id="484" w:name="page08_9"/>
        <w:t>Nhóm</w:t>
        <w:bookmarkEnd w:id="484"/>
        <w:t> nghiên cứu đã đánh giá bầu không khí (climate) trong phạm vi ảnh hưởng trực tiếp của từng nhà điều hành. “Bầu không khí” không phải là một khái niệm mơ hồ. Khái niệm này lần đầu được các nhà tâm lý học George Litwin và Richard Stringer định nghĩa, sau đó được McClelland và các đồng nghiệp hoàn thiện thêm. Nó chỉ sáu yếu tố chính ảnh hưởng đến môi trường làm việc của một tổ chức: tính linh hoạt – tức là mức độ tự do mà nhân viên cảm thấy khi đổi mới mà không bị cản trở bởi thủ tục hành chính rườm rà; ý thức trách nhiệm của họ đối với tổ chức; mức độ tiêu chuẩn mà mọi người đặt ra; mức độ chính xác trong phản hồi về hiệu quả công việc và sự phù hợp của phần thưởng; sự rõ ràng về sứ mệnh và giá trị của tổ chức; và cuối cùng là mức độ cam kết với mục tiêu chung.</w:t>
      </w:r>
    </w:p>
    <w:p>
      <w:pPr>
        <w:pStyle w:val="Normal"/>
      </w:pPr>
      <w:r>
        <w:bookmarkStart w:id="485" w:name="page08_10"/>
        <w:t>Chúng</w:t>
        <w:bookmarkEnd w:id="485"/>
        <w:t> tôi phát hiện ra rằng cả sáu phong cách lãnh đạo đều có tác động có thể đo lường được đến từng khía cạnh của bầu không khí tổ chức. (Để biết chi</w:t>
      </w:r>
      <w:hyperlink w:anchor="Getting_Molecular__The_Impact_of">
        <w:r>
          <w:rPr>
            <w:rStyle w:val="Text2"/>
          </w:rPr>
          <w:t> tiết, hãy xem phần bên lề có tựa đề “Đi sâu vào chi tiết: Tác động của Phong cách Lãnh đạo</w:t>
        </w:r>
      </w:hyperlink>
      <w:r>
        <w:t xml:space="preserve"> đến các Yếu tố Thúc đẩy Bầu không khí Tổ chức”.) Hơn nữa, khi chúng tôi xem xét tác động của bầu không khí đến kết quả tài chính – như lợi nhuận trên doanh thu, tăng trưởng doanh số, hiệu quả hoạt động và khả năng sinh lời – chúng tôi nhận thấy có mối tương quan trực tiếp giữa hai yếu tố này. Các nhà lãnh đạo áp dụng những phong cách có ảnh hưởng tích cực đến bầu không khí đạt kết quả tài chính tốt hơn hẳn những người không áp dụng. Điều đó không có nghĩa là bầu không khí tổ chức là yếu tố duy nhất quyết định hiệu quả hoạt động. Các điều kiện kinh tế và tính cạnh tranh cũng vô cùng quan trọng. Nhưng phân tích của chúng tôi cho thấy rõ ràng rằng bầu không khí chiếm</w:t>
        <w:bookmarkStart w:id="486" w:name="page08_11"/>
        <w:t> </w:t>
        <w:bookmarkEnd w:id="486"/>
        <w:t>gần một phần ba kết quả. Và đó là tác động quá lớn đến mức không thể bỏ qua.</w:t>
      </w:r>
    </w:p>
    <w:p>
      <w:bookmarkStart w:id="487" w:name="THE_STYLES_IN_DETAIL"/>
      <w:pPr>
        <w:pStyle w:val="Para 029"/>
      </w:pPr>
      <w:r>
        <w:t>CÁC PHONG CÁCH LÃNH ĐẠO CHI TIẾT</w:t>
      </w:r>
      <w:bookmarkEnd w:id="487"/>
    </w:p>
    <w:p>
      <w:pPr>
        <w:pStyle w:val="Normal"/>
      </w:pPr>
      <w:r>
        <w:t>Các nhà điều hành sử dụng sáu phong cách lãnh đạo, nhưng chỉ có bốn trong sáu phong cách luôn tạo ra hiệu quả tích cực đối với bầu không khí và kết quả kinh doanh. Vậy chúng ta hãy xem xét từng phong cách lãnh đạo một cách chi tiết. (Để tóm tắt nội dung tiếp theo, hãy xem biểu</w:t>
      </w:r>
      <w:hyperlink w:anchor="The_Six_Leadership_Styles_at_a_G">
        <w:r>
          <w:rPr>
            <w:rStyle w:val="Text2"/>
          </w:rPr>
          <w:t> đồ “Sáu Phong cách Lãnh đạo Nhìn thoáng</w:t>
        </w:r>
      </w:hyperlink>
      <w:r>
        <w:t> qua”.)</w:t>
      </w:r>
    </w:p>
    <w:p>
      <w:bookmarkStart w:id="488" w:name="The_coercive_style"/>
      <w:pPr>
        <w:pStyle w:val="Para 068"/>
      </w:pPr>
      <w:r>
        <w:t>Phong cách ép buộc</w:t>
      </w:r>
      <w:bookmarkEnd w:id="488"/>
    </w:p>
    <w:p>
      <w:pPr>
        <w:pStyle w:val="Normal"/>
      </w:pPr>
      <w:r>
        <w:t xml:space="preserve">Công ty máy tính đang trong tình trạng khủng hoảng – doanh số và lợi nhuận sụt giảm, cổ phiếu mất giá nhanh chóng, và các cổ đông</w:t>
        <w:bookmarkStart w:id="489" w:name="page08_12"/>
        <w:t> </w:t>
        <w:bookmarkEnd w:id="489"/>
        <w:t>thì náo loạn. Hội đồng quản trị đã đưa về một CEO mới nổi tiếng là chuyên gia xoay chuyển tình thế. Ông ta bắt tay vào việc cắt giảm nhân sự, bán bớt các bộ phận, và đưa ra những quyết định khó khăn mà lẽ ra phải thực hiện từ nhiều năm trước. Công ty đã được cứu, ít nhất là trong ngắn hạn.</w:t>
      </w:r>
    </w:p>
    <w:p>
      <w:pPr>
        <w:pStyle w:val="Normal"/>
      </w:pPr>
      <w:r>
        <w:t xml:space="preserve">Thế nhưng ngay từ đầu, vị CEO này đã tạo ra một chế độ khủng bố, bắt nạt và hạ thấp các giám đốc cấp dưới, gầm lên giận dữ trước những sai lầm nhỏ nhất. Các tầng lớp cao nhất của công ty bị tàn phá không chỉ bởi những vụ sa thải thất thường của ông ta mà còn bởi sự ra đi của nhiều người. Các nhân viên trực tiếp báo cáo cho CEO, vì sợ hãi trước thói quen đổ lỗi cho người mang tin xấu, đã ngừng đưa tin cho ông ta hoàn toàn. Tinh thần nhân viên xuống mức thấp nhất mọi thời đại – một thực tế phản ánh qua sự suy giảm khác trong kinh</w:t>
        <w:bookmarkStart w:id="490" w:name="page08_13"/>
        <w:t> </w:t>
        <w:bookmarkEnd w:id="490"/>
        <w:t>doanh sau giai đoạn phục hồi ngắn hạn. Cuối cùng, CEO đã bị hội đồng quản trị sa thải.</w:t>
      </w:r>
    </w:p>
    <w:p>
      <w:pPr>
        <w:pStyle w:val="Normal"/>
      </w:pPr>
      <w:r>
        <w:t>Thật dễ hiểu vì sao trong tất cả các phong cách lãnh đạo, phong cách ép buộc (coercive) lại kém hiệu quả nhất trong hầu hết các tình huống. Hãy xem phong cách này tác động đến bầu không khí của tổ chức như thế nào. Tính linh hoạt bị ảnh hưởng nặng nề nhất. Việc ra quyết định từ trên xuống cực đoan của nhà lãnh đạo giết chết những ý tưởng mới từ khi chúng còn manh nha. Mọi người cảm thấy bị thiếu tôn trọng đến mức họ nghĩ: “Tôi thậm chí sẽ không đưa ra ý kiến của mình—chúng sẽ chỉ bị bác bỏ.” Tương tự, ý thức trách nhiệm của mọi người tan biến: không thể hành động theo sáng kiến của mình, họ mất đi cảm giác làm chủ và cảm thấy ít phải chịu trách nhiệm về hiệu quả công việc. Một số trở nên phẫn uất đến mức họ có thái độ: “Tôi sẽ không giúp tên khốn này.”</w:t>
      </w:r>
    </w:p>
    <w:p>
      <w:pPr>
        <w:pStyle w:val="Normal"/>
      </w:pPr>
      <w:r>
        <w:bookmarkStart w:id="491" w:name="page08_14"/>
        <w:t>Lãnh</w:t>
        <w:bookmarkEnd w:id="491"/>
        <w:t> đạo ép buộc cũng gây ảnh hưởng xấu đến hệ thống khen thưởng. Hầu hết những nhân viên có hiệu suất cao đều được thúc đẩy bởi nhiều thứ hơn là tiền bạc—họ tìm kiếm sự hài lòng khi hoàn thành tốt công việc. Phong cách ép buộc làm xói mòn niềm tự hào đó. Và cuối cùng, phong cách này làm suy yếu một trong những công cụ chính của nhà lãnh đạo—tạo động lực cho mọi người bằng cách chỉ cho họ thấy công việc của họ gắn kết với một sứ mệnh lớn lao chung như thế nào. Mất mát đó, được đo bằng sự giảm sút về sự rõ ràng và cam kết, khiến mọi người xa lánh công việc của chính mình và tự hỏi: “Điều này có ý nghĩa gì?”</w:t>
      </w:r>
    </w:p>
    <w:p>
      <w:pPr>
        <w:pStyle w:val="Normal"/>
      </w:pPr>
      <w:r>
        <w:t xml:space="preserve">Với tác động của phong cách ép buộc, bạn có thể cho rằng nó không bao giờ nên được áp dụng. Tuy nhiên, nghiên cứu của chúng tôi đã phát hiện ra một vài trường hợp nó hoạt động</w:t>
        <w:bookmarkStart w:id="492" w:name="page08_15"/>
        <w:t> m</w:t>
        <w:bookmarkEnd w:id="492"/>
        <w:t>ột cách xuất sắc. Hãy xem trường hợp một chủ tịch chi nhánh được bổ nhiệm để thay đổi hướng đi của một công ty thực phẩm đang thua lỗ. Hành động đầu tiên của ông là cho phá dỡ phòng họp điều hành. Đối với ông, căn phòng—với chiếc bàn đá cẩm thạch dài trông giống như “boong tàu của Starship Enterprise”—tượng trưng cho sự trang trọng cứng nhắc đang làm tê liệt công ty. Việc phá bỏ căn phòng, và sau đó chuyển đến một không gian nhỏ hơn, ít trang trọng hơn, đã truyền tải một thông điệp mà không ai có thể bỏ qua, và văn hóa của chi nhánh đã thay đổi nhanh chóng sau đó.</w:t>
      </w:r>
    </w:p>
    <w:p>
      <w:pPr>
        <w:pStyle w:val="Normal"/>
      </w:pPr>
      <w:r>
        <w:t xml:space="preserve">Tuy nhiên, phong cách ép buộc chỉ nên được sử dụng một cách hết sức thận trọng và trong vài tình huống thực sự bắt buộc, chẳng hạn như trong quá trình chuyển đổi (turnaround) hoặc khi một cuộc tiếp</w:t>
        <w:bookmarkStart w:id="493" w:name="page08_16"/>
        <w:t> q</w:t>
        <w:bookmarkEnd w:id="493"/>
        <w:t>uản thù địch đang đến gần. Trong những trường hợp đó, phong cách ép buộc có thể phá vỡ những thói quen kinh doanh thất bại và tạo cú sốc đưa mọi người vào những cách làm việc mới. Nó luôn phù hợp trong trường hợp khẩn cấp thực sự, như sau một trận động đất hoặc hỏa hoạn. Và nó có thể hiệu quả với những nhân viên có vấn đề mà mọi cách khác đều thất bại. Nhưng nếu một nhà lãnh đạo chỉ dựa vào phong cách này hoặc tiếp tục sử dụng nó sau khi tình trạng khẩn cấp đã qua, tác động lâu dài của việc ông ta vô cảm với tinh thần và cảm xúc của những người mà ông ta lãnh đạo sẽ gây ra hậu quả nghiêm trọng.</w:t>
      </w:r>
    </w:p>
    <w:p>
      <w:bookmarkStart w:id="494" w:name="The_authoritative_style"/>
      <w:pPr>
        <w:pStyle w:val="Para 068"/>
      </w:pPr>
      <w:r>
        <w:t>Phong cách uy tín (authoritative)</w:t>
      </w:r>
      <w:bookmarkEnd w:id="494"/>
    </w:p>
    <w:p>
      <w:pPr>
        <w:pStyle w:val="Normal"/>
      </w:pPr>
      <w:r>
        <w:t xml:space="preserve">Tom là phó chủ tịch phụ trách marketing của một chuỗi nhà hàng quốc gia đang gặp khó khăn chuyên về bánh pizza. Không cần phải nói,</w:t>
        <w:bookmarkStart w:id="495" w:name="page08_17"/>
        <w:t> k</w:t>
        <w:bookmarkEnd w:id="495"/>
        <w:t>ết quả kinh doanh kém của công ty khiến các nhà quản lý cấp cao lo lắng, nhưng họ không biết phải làm gì. Thứ Hai hàng tuần, họ họp để xem xét doanh số gần đây, cố gắng tìm ra giải pháp. Đối với Tom, cách tiếp cận đó chẳng có ý nghĩa gì. “Chúng tôi luôn cố gắng tìm hiểu vì sao doanh số tuần trước lại giảm. Chúng tôi khiến cả công ty nhìn về quá khứ thay vì tìm ra những gì chúng tôi cần làm trong ngày mai.”</w:t>
      </w:r>
    </w:p>
    <w:p>
      <w:pPr>
        <w:pStyle w:val="Normal"/>
      </w:pPr>
      <w:r>
        <w:t xml:space="preserve">Tom nhìn thấy một cơ hội để thay đổi cách suy nghĩ của mọi người tại một cuộc họp chiến lược ngoài địa điểm. Ở đó, cuộc trò chuyện bắt đầu bằng những chân lý nhàm chán: công ty phải gia tăng giá trị cổ đông và tăng lợi nhuận trên tài sản. Tom tin rằng những khái niệm đó không có sức mạnh để truyền cảm hứng cho</w:t>
        <w:bookmarkStart w:id="496" w:name="page08_18"/>
        <w:t> </w:t>
        <w:bookmarkEnd w:id="496"/>
        <w:t>một quản lý nhà hàng sáng tạo hoặc làm tốt hơn một công việc tạm ổn.</w:t>
      </w:r>
    </w:p>
    <w:p>
      <w:pPr>
        <w:pStyle w:val="Normal"/>
      </w:pPr>
      <w:r>
        <w:t>Vì vậy, Tom đã có một bước đi táo bạo. Giữa cuộc họp, anh ấy đã tha thiết kêu gọi các đồng nghiệp suy nghĩ từ góc độ khách hàng. Khách hàng muốn sự tiện lợi, anh nói. Công ty không hoạt động trong lĩnh vực nhà hàng, mà là lĩnh vực phân phối pizza chất lượng cao và dễ mua. Ý tưởng đó—và không gì khác—nên là động lực cho mọi việc công ty làm.</w:t>
      </w:r>
    </w:p>
    <w:p>
      <w:pPr>
        <w:pStyle w:val="Normal"/>
      </w:pPr>
      <w:r>
        <w:t xml:space="preserve">Với sự nhiệt tình sôi nổi và tầm nhìn rõ ràng—những dấu hiệu đặc trưng của phong cách lãnh đạo uy quyền (authoritative style)—Tom đã lấp đầy khoảng trống lãnh đạo tại công ty. Thật vậy, ý tưởng của anh đã trở thành cốt lõi của</w:t>
        <w:bookmarkStart w:id="497" w:name="page08_19"/>
        <w:t> </w:t>
        <w:bookmarkEnd w:id="497"/>
        <w:t>tuyên bố sứ mệnh mới. Nhưng bước đột phá về tư duy này chỉ là khởi đầu. Tom đảm bảo rằng tuyên bố sứ mệnh được đưa vào quy trình hoạch định chiến lược của công ty như là động lực tăng trưởng chính. Và anh cũng đảm bảo rằng tầm nhìn được truyền đạt rõ ràng để các quản lý nhà hàng địa phương hiểu rằng họ là chìa khóa thành công của công ty và được tự do tìm ra những cách mới để phân phối pizza.</w:t>
      </w:r>
    </w:p>
    <w:p>
      <w:pPr>
        <w:pStyle w:val="Normal"/>
      </w:pPr>
      <w:r>
        <w:t>Những thay đổi đến nhanh chóng. Trong vài tuần, nhiều quản lý địa phương bắt đầu cam kết thời gian giao hàng mới nhanh hơn. Thậm chí tốt hơn, họ bắt đầu hành động như những doanh nhân, tìm những địa điểm sáng tạo để mở chi nhánh mới: các ki-ốt ở góc phố đông đúc và tại các trạm xe buýt, xe lửa, thậm chí cả những xe đẩy tại sân bay và sảnh khách sạn.</w:t>
      </w:r>
    </w:p>
    <w:p>
      <w:pPr>
        <w:pStyle w:val="Normal"/>
      </w:pPr>
      <w:r>
        <w:bookmarkStart w:id="498" w:name="page08_20"/>
        <w:t>Thành</w:t>
        <w:bookmarkEnd w:id="498"/>
        <w:t xml:space="preserve"> công của Tom không phải là may mắn. Nghiên cứu của chúng tôi chỉ ra rằng trong sáu phong cách lãnh đạo, phong cách uy quyền (authoritative) là hiệu quả nhất, thúc đẩy mọi khía cạnh của môi trường làm việc. Hãy xem xét sự rõ ràng. Nhà lãnh đạo uy quyền là người có tầm nhìn; anh ta tạo động lực cho mọi người bằng cách làm rõ công việc của họ phù hợp với tầm nhìn lớn hơn của tổ chức như thế nào. Những người làm việc cho các nhà lãnh đạo như vậy hiểu rằng điều họ làm có ý nghĩa và tại sao. Lãnh đạo uy quyền cũng tối đa hóa sự cam kết với mục tiêu và chiến lược của tổ chức. Bằng cách đặt các nhiệm vụ cá nhân trong một tầm nhìn lớn, nhà lãnh đạo uy quyền xác định các tiêu chuẩn xoay quanh tầm nhìn đó. Khi anh ta đưa ra phản hồi về hiệu suất—dù tích cực hay tiêu cực—tiêu chí duy nhất là liệu hiệu suất đó</w:t>
        <w:bookmarkStart w:id="499" w:name="page08_21"/>
        <w:t> </w:t>
        <w:bookmarkEnd w:id="499"/>
        <w:t>có thúc đẩy tầm nhìn hay không. Các tiêu chuẩn thành công rõ ràng cho tất cả mọi người, cũng như các phần thưởng. Cuối cùng, hãy xem xét tác động của phong cách này đến sự linh hoạt. Một nhà lãnh đạo uy quyền xác định đích đến nhưng thường để cho mọi người nhiều tự do để tìm ra cách làm của riêng họ. Các nhà lãnh đạo uy quyền trao cho mọi người sự tự do để đổi mới, thử nghiệm và chấp nhận rủi ro có tính toán.</w:t>
      </w:r>
    </w:p>
    <w:p>
      <w:pPr>
        <w:pStyle w:val="Normal"/>
      </w:pPr>
      <w:r>
        <w:t>Nhờ tác động tích cực của nó, phong cách lãnh đạo uy quyền (authoritative style) hoạt động tốt trong hầu hết mọi tình huống kinh doanh. Nhưng nó đặc biệt hiệu quả khi doanh nghiệp đang trôi dạt. Một nhà lãnh đạo uy quyền vạch ra một hướng đi mới và thuyết phục nhân viên của mình tin vào một tầm nhìn dài hạn tươi mới.</w:t>
      </w:r>
    </w:p>
    <w:p>
      <w:pPr>
        <w:pStyle w:val="Normal"/>
      </w:pPr>
      <w:r>
        <w:t xml:space="preserve">Phong cách uy quyền, dù mạnh mẽ, nhưng sẽ không hiệu quả trong mọi tình huống. Cách tiếp cận này</w:t>
        <w:bookmarkStart w:id="500" w:name="page08_22"/>
        <w:t> t</w:t>
        <w:bookmarkEnd w:id="500"/>
        <w:t>hất bại, chẳng hạn, khi một nhà lãnh đạo làm việc với một nhóm chuyên gia hoặc đồng nghiệp có nhiều kinh nghiệm hơn anh ta; họ có thể xem nhà lãnh đạo là kẻ tự phụ hoặc xa rời thực tế. Một hạn chế khác: nếu một nhà quản lý cố gắng tỏ ra uy quyền trở nên độc đoán, anh ta có thể phá vỡ tinh thần bình đẳng của một đội nhóm hiệu quả. Tuy nhiên, dù có những lưu ý như vậy, các nhà lãnh đạo sẽ khôn ngoan nếu sử dụng “cây gậy” uy quyền thường xuyên hơn là không. Nó có thể không đảm bảo một cú đánh một phát trúng lỗ (hole in one), nhưng chắc chắn nó giúp ích cho cú đánh xa (long drive).</w:t>
      </w:r>
    </w:p>
    <w:p>
      <w:bookmarkStart w:id="501" w:name="The_affiliative_style"/>
      <w:pPr>
        <w:pStyle w:val="Para 068"/>
      </w:pPr>
      <w:r>
        <w:t>Phong cách gắn kết (affiliative style)</w:t>
      </w:r>
      <w:bookmarkEnd w:id="501"/>
    </w:p>
    <w:p>
      <w:pPr>
        <w:pStyle w:val="Normal"/>
      </w:pPr>
      <w:r>
        <w:t xml:space="preserve">Nếu nhà lãnh đạo độc đoán (coercive leader) ra lệnh, “Làm theo những gì tôi nói,” và nhà lãnh đạo uy quyền thúc giục, “Hãy đi cùng tôi,” thì nhà lãnh</w:t>
        <w:bookmarkStart w:id="502" w:name="page08_23"/>
        <w:t> đ</w:t>
        <w:bookmarkEnd w:id="502"/>
        <w:t xml:space="preserve">ạo gắn kết nói, “Con người là trên hết.” Phong cách lãnh đạo này xoay quanh con người—những người ủng hộ nó coi trọng cá nhân và cảm xúc của họ hơn nhiệm vụ và mục tiêu. Nhà lãnh đạo gắn kết cố gắng giữ cho nhân viên hạnh phúc và tạo ra sự hòa hợp giữa họ. Anh ta quản lý bằng cách xây dựng các mối quan hệ tình cảm mạnh mẽ và sau đó gặt hái những lợi ích của cách tiếp cận như vậy, cụ thể là lòng trung thành mãnh liệt. Phong cách này cũng có tác động tích cực rõ rệt đến giao tiếp. Những người thích nhau nhiều sẽ nói chuyện nhiều. Họ chia sẻ ý tưởng; họ chia sẻ cảm hứng. Và phong cách này làm tăng tính linh hoạt; bạn bè tin tưởng lẫn nhau, cho phép sự đổi mới và chấp nhận rủi ro thành thói quen. Tính linh hoạt cũng tăng lên vì nhà lãnh đạo gắn kết, giống như một người cha mẹ điều chỉnh các quy tắc trong nhà cho một thiếu niên đang trưởng</w:t>
        <w:bookmarkStart w:id="503" w:name="page08_24"/>
        <w:t> </w:t>
        <w:bookmarkEnd w:id="503"/>
        <w:t>thành, không áp đặt những ràng buộc không cần thiết về cách nhân viên hoàn thành công việc của họ. Họ cho mọi người sự tự do để làm công việc của họ theo cách mà họ nghĩ là hiệu quả nhất.</w:t>
      </w:r>
    </w:p>
    <w:p>
      <w:pPr>
        <w:pStyle w:val="Normal"/>
      </w:pPr>
      <w:r>
        <w:t xml:space="preserve">Về cảm giác được công nhận và khen thưởng cho công việc tốt, nhà lãnh đạo gắn kết dành nhiều lời phản hồi tích cực. Sự phản hồi như vậy có sức mạnh đặc biệt ở nơi làm việc vì nó quá hiếm hoi: ngoài việc đánh giá hằng năm, hầu hết mọi người thường không nhận được phản hồi nào về những nỗ lực hằng ngày của họ—hoặc chỉ nhận được phản hồi tiêu cực. Điều đó làm cho những lời tích cực của nhà lãnh đạo gắn kết càng có động lực hơn. Cuối cùng, các nhà lãnh đạo gắn kết là bậc thầy trong việc xây dựng cảm giác thân thuộc. Ví dụ, họ có thể đưa các nhân viên trực tiếp (direct reports) đi ăn hoặc uống một</w:t>
        <w:bookmarkStart w:id="504" w:name="page08_25"/>
        <w:t> m</w:t>
        <w:bookmarkEnd w:id="504"/>
        <w:t>ình để xem họ đang thế nào. Họ sẽ mang bánh đến để ăn mừng thành tích của nhóm. Họ là những người xây dựng mối quan hệ bẩm sinh.</w:t>
      </w:r>
    </w:p>
    <w:p>
      <w:pPr>
        <w:pStyle w:val="Normal"/>
      </w:pPr>
      <w:r>
        <w:t xml:space="preserve">Joe Torre, trái tim và linh hồn của New York Yankees, là một nhà lãnh đạo gắn kết điển hình. Trong World Series 1999, Torre đã khéo léo chăm sóc tâm lý của các cầu thủ khi họ phải chịu đựng áp lực tinh thần dữ dội của cuộc đua giành cờ (pennant race). Suốt cả mùa giải, anh ấy đặc biệt khen ngợi Scott Brosius, người có cha qua đời trong mùa giải, vì đã giữ cam kết ngay cả khi đang đau buồn. Tại bữa tiệc ăn mừng sau trận đấu cuối cùng của đội, Torre đã đặc biệt tìm đến cầu thủ chạy cánh phải Paul O’Neill. Mặc dù nhận được tin cha mình qua đời vào sáng hôm đó, O’Neill vẫn chọn chơi trong trận đấu quyết định—và</w:t>
        <w:bookmarkStart w:id="505" w:name="page08_26"/>
        <w:t> a</w:t>
        <w:bookmarkEnd w:id="505"/>
        <w:t>nh ấy đã bật khóc ngay khi trận đấu kết thúc. Torre đã ghi nhận cuộc chiến cá nhân của O’Neill, gọi anh ấy là một “chiến binh.” Torre cũng tận dụng ánh đèn sân khấu của lễ ăn mừng chiến thắng để khen ngợi hai cầu thủ mà việc trở lại vào năm sau bị đe dọa bởi tranh chấp hợp đồng. Khi làm như vậy, ông gửi một thông điệp rõ ràng đến toàn đội và chủ sở hữu câu lạc bộ rằng ông coi trọng các cầu thủ vô cùng—quá nhiều để có thể mất họ.</w:t>
      </w:r>
    </w:p>
    <w:p>
      <w:pPr>
        <w:pStyle w:val="Normal"/>
      </w:pPr>
      <w:r>
        <w:t>Bên cạnh việc chăm lo đến cảm xúc của mọi người, một nhà lãnh đạo theo phong cách gắn kết (affiliative leader) cũng có thể cởi mở với cảm xúc của chính mình. Năm anh trai của Torre gần kề cái chết vì chờ ghép tim, ông đã chia sẻ những lo lắng của mình với các cầu thủ. Ông cũng thật lòng nói với đội về việc điều trị ung thư tuyến tiền liệt của mình.</w:t>
      </w:r>
    </w:p>
    <w:p>
      <w:pPr>
        <w:pStyle w:val="Normal"/>
      </w:pPr>
      <w:r>
        <w:bookmarkStart w:id="506" w:name="page08_27"/>
        <w:t>Tác</w:t>
        <w:bookmarkEnd w:id="506"/>
        <w:t> động tích cực nhìn chung của phong cách gắn kết khiến nó trở thành một cách tiếp cận phù hợp trong mọi tình huống, nhưng các nhà lãnh đạo nên đặc biệt sử dụng nó khi muốn xây dựng sự hòa hợp trong nhóm, nâng cao tinh thần, cải thiện giao tiếp hoặc hàn gắn niềm tin đã đổ vỡ. Chẳng hạn, một giám đốc điều hành trong nghiên cứu của chúng tôi được thuê để thay thế một trưởng nhóm tàn nhẫn. Vị lãnh đạo cũ đã nhận công lao của nhân viên và cố gắng khiến họ chống lại nhau. Những nỗ lực của ông cuối cùng thất bại, nhưng đội ngũ mà ông để lại đầy nghi ngờ và mệt mỏi. Nữ giám đốc mới đã hàn gắn tình hình bằng cách hết lòng thể hiện sự chân thành về cảm xúc và xây dựng lại các mối quan hệ. Sau vài tháng, sự lãnh đạo của cô đã tạo nên một cảm giác cam kết và năng lượng mới.</w:t>
      </w:r>
    </w:p>
    <w:p>
      <w:pPr>
        <w:pStyle w:val="Normal"/>
      </w:pPr>
      <w:r>
        <w:bookmarkStart w:id="507" w:name="page08_28"/>
        <w:t>Mặc</w:t>
        <w:bookmarkEnd w:id="507"/>
        <w:t xml:space="preserve"> dù có những lợi ích, phong cách hòa nhã (affiliative style) không nên được sử dụng một mình. Việc chỉ tập trung vào khen ngợi có thể khiến những thành tích kém không được khắc phục; nhân viên có thể cảm thấy rằng sự trung bình được chấp nhận. Và vì các nhà lãnh đạo theo phong cách hòa nhã hiếm khi đưa ra lời khuyên mang tính xây dựng về cách cải thiện, nhân viên phải tự tìm cách tiến bộ. Khi mọi người cần những chỉ dẫn rõ ràng để vượt qua các thách thức phức tạp, phong cách hòa nhã khiến họ mất phương hướng. Thực sự, nếu dựa dẫm quá mức vào phong cách này, nó có thể dẫn dắt cả nhóm đến thất bại. Có lẽ đó là lý do tại sao nhiều nhà lãnh đạo hòa nhã, bao gồm cả Torre, sử dụng phong cách này kết hợp chặt chẽ với phong cách quyền uy (authoritative style). Các nhà lãnh đạo quyền uy nêu rõ tầm nhìn, đặt ra tiêu chuẩn, và cho mọi người biết công</w:t>
        <w:bookmarkStart w:id="508" w:name="page08_29"/>
        <w:t> </w:t>
        <w:bookmarkEnd w:id="508"/>
        <w:t>việc của họ đang thúc đẩy các mục tiêu của nhóm như thế nào. Xen kẽ phong cách đó với cách tiếp cận quan tâm, nuôi dưỡng của nhà lãnh đạo hòa nhã, bạn sẽ có một sự kết hợp mạnh mẽ.</w:t>
      </w:r>
    </w:p>
    <w:p>
      <w:bookmarkStart w:id="509" w:name="The_democratic_style"/>
      <w:pPr>
        <w:pStyle w:val="Para 068"/>
      </w:pPr>
      <w:r>
        <w:t>Phong cách dân chủ (The democratic style)</w:t>
      </w:r>
      <w:bookmarkEnd w:id="509"/>
    </w:p>
    <w:p>
      <w:pPr>
        <w:pStyle w:val="Normal"/>
      </w:pPr>
      <w:r>
        <w:t xml:space="preserve">Sơ Mary điều hành một hệ thống trường Công giáo trong một khu vực đô thị lớn. Một trong những trường—trường tư duy nhất trong một khu phố nghèo khó—đã thua lỗ nhiều năm, và tổng giáo phận (archdiocese) không còn đủ khả năng để duy trì hoạt động của nó. Khi Sơ Mary cuối cùng nhận được lệnh đóng cửa, bà không chỉ đơn giản khóa cửa. Bà đã triệu tập một cuộc họp của tất cả giáo viên và nhân viên tại trường và giải thích cho họ chi tiết về cuộc khủng hoảng tài chính—lần</w:t>
        <w:bookmarkStart w:id="510" w:name="page08_30"/>
        <w:t> </w:t>
        <w:bookmarkEnd w:id="510"/>
        <w:t>đầu tiên những người làm việc tại trường được tham gia vào khía cạnh kinh doanh của tổ chức. Bà hỏi ý kiến của họ về cách giữ trường mở cửa và cách xử lý việc đóng cửa nếu điều đó xảy ra. Sơ Mary dành phần lớn thời gian trong cuộc họp chỉ để lắng nghe.</w:t>
      </w:r>
    </w:p>
    <w:p>
      <w:pPr>
        <w:pStyle w:val="Normal"/>
      </w:pPr>
      <w:r>
        <w:t>Bà cũng làm như vậy tại các cuộc họp sau đó dành cho phụ huynh và cộng đồng, trong một chuỗi các cuộc họp liên tiếp với giáo viên và nhân viên của trường. Sau hai tháng họp, sự đồng thuận trở nên rõ ràng: trường phải đóng cửa. Một kế hoạch đã được lập để chuyển học sinh sang các trường khác trong hệ thống Công giáo.</w:t>
      </w:r>
    </w:p>
    <w:p>
      <w:pPr>
        <w:pStyle w:val="Normal"/>
      </w:pPr>
      <w:r>
        <w:t xml:space="preserve">Kết quả cuối cùng không khác gì so với việc Sister Mary tiến hành đóng cửa</w:t>
        <w:bookmarkStart w:id="511" w:name="page08_31"/>
        <w:t> tr</w:t>
        <w:bookmarkEnd w:id="511"/>
        <w:t>ường ngay ngày bà được yêu cầu. Nhưng bằng cách cho phép các bên liên quan của trường cùng nhau đạt quyết định, Sister Mary không gặp phải bất kỳ phản ứng dữ dội nào mà lẽ ra sẽ xảy ra. Mọi người tiếc nuối việc mất trường, nhưng họ hiểu rằng điều đó là tất yếu. Gần như không ai phản đối.</w:t>
      </w:r>
    </w:p>
    <w:p>
      <w:pPr>
        <w:pStyle w:val="Normal"/>
      </w:pPr>
      <w:r>
        <w:t>Hãy so sánh với trải nghiệm của một linh mục trong nghiên cứu của chúng tôi, người đứng đầu một trường Công giáo khác. Ông cũng được lệnh phải đóng cửa trường. Và ông đã làm—bằng mệnh lệnh. Kết quả thật thảm họa: phụ huynh nộp đơn kiện, giáo viên và phụ huynh biểu tình, và các tờ báo địa phương đăng xã luận tấn công quyết định của ông. Phải mất một năm để giải quyết các tranh chấp trước khi ông cuối cùng có thể tiến hành đóng cửa trường.</w:t>
      </w:r>
    </w:p>
    <w:p>
      <w:pPr>
        <w:pStyle w:val="Normal"/>
      </w:pPr>
      <w:r>
        <w:bookmarkStart w:id="512" w:name="page08_32"/>
        <w:t>Sister</w:t>
        <w:bookmarkEnd w:id="512"/>
        <w:t> Mary là ví dụ điển hình cho phong cách dân chủ (democratic style) trong hành động—và những lợi ích của nó. Bằng cách dành thời gian để thu thập ý kiến và sự ủng hộ của mọi người, nhà lãnh đạo xây dựng được niềm tin, sự tôn trọng và cam kết. Bằng cách để chính nhân viên có tiếng nói trong các quyết định ảnh hưởng đến mục tiêu và cách họ làm việc, nhà lãnh đạo dân chủ thúc đẩy sự linh hoạt và trách nhiệm. Và bằng cách lắng nghe những mối quan tâm của nhân viên, nhà lãnh đạo dân chủ biết cần làm gì để giữ tinh thần làm việc cao. Cuối cùng, vì họ có tiếng nói trong việc đặt ra mục tiêu và tiêu chuẩn đánh giá thành công, những người hoạt động trong hệ thống dân chủ có xu hướng rất thực tế về những gì có thể và không thể đạt được.</w:t>
      </w:r>
    </w:p>
    <w:p>
      <w:pPr>
        <w:pStyle w:val="Normal"/>
      </w:pPr>
      <w:r>
        <w:t xml:space="preserve">Tuy nhiên, phong cách dân chủ có những nhược điểm, đó là lý do vì sao tác động của nó lên</w:t>
        <w:bookmarkStart w:id="513" w:name="page08_33"/>
        <w:t> </w:t>
        <w:bookmarkEnd w:id="513"/>
        <w:t>bầu không khí làm việc không cao bằng một số phong cách khác. Một trong những hậu quả gây khó chịu nhất có thể là các cuộc họp không hồi kết, nơi các ý tưởng được cân nhắc, sự đồng thuận vẫn khó đạt được, và kết quả duy nhất thấy được là lên lịch thêm các cuộc họp. Một số nhà lãnh đạo dân chủ dùng phong cách này để trì hoãn các quyết định quan trọng, hy vọng rằng việc bàn bạc kỹ lưỡng cuối cùng sẽ mang lại một hiểu biết sáng suốt. Trên thực tế, nhân viên của họ cuối cùng lại cảm thấy bối rối và thiếu người lãnh đạo. Cách tiếp cận như vậy thậm chí có thể làm gia tăng xung đột.</w:t>
      </w:r>
    </w:p>
    <w:p>
      <w:pPr>
        <w:pStyle w:val="Normal"/>
      </w:pPr>
      <w:r>
        <w:t xml:space="preserve">Khi nào phong cách này phát huy hiệu quả nhất? Cách tiếp cận này là lý tưởng khi nhà lãnh đạo không chắc chắn về hướng đi tốt nhất và cần ý tưởng cùng sự hướng dẫn từ những nhân viên có năng lực. Và ngay cả khi nhà lãnh đạo có một tầm nhìn</w:t>
        <w:bookmarkStart w:id="514" w:name="page08_34"/>
        <w:t> </w:t>
        <w:bookmarkEnd w:id="514"/>
        <w:t>mạnh mẽ, phong cách dân chủ cũng hoạt động tốt để tạo ra những ý tưởng mới nhằm thực hiện tầm nhìn đó.</w:t>
      </w:r>
    </w:p>
    <w:p>
      <w:pPr>
        <w:pStyle w:val="Normal"/>
      </w:pPr>
      <w:r>
        <w:t xml:space="preserve">Phong cách dân chủ, tất nhiên, sẽ kém hợp lý hơn nhiều khi nhân viên không đủ năng lực hoặc hiểu biết để đưa ra lời khuyên đúng đắn. Và gần như hiển nhiên rằng xây dựng sự đồng thuận là sai lầm trong thời điểm khủng hoảng. Lấy ví dụ về một CEO có công ty máy tính bị đe dọa nghiêm trọng bởi những thay đổi trên thị trường. Ông luôn tìm kiếm sự đồng thuận về những việc cần làm. Khi đối thủ cạnh tranh giành mất khách hàng và nhu cầu của khách hàng thay đổi, ông vẫn tiếp tục bổ nhiệm các ủy ban để xem xét tình hình. Khi thị trường có sự thay đổi đột ngột do một công nghệ mới, CEO đó như đứng đơ ra. Hội đồng quản trị đã</w:t>
        <w:bookmarkStart w:id="515" w:name="page08_35"/>
        <w:t> </w:t>
        <w:bookmarkEnd w:id="515"/>
        <w:t>thay thế ông trước khi ông kịp bổ nhiệm thêm một lực lượng đặc nhiệm nào khác để xem xét tình hình. CEO mới, dù thi thoảng vẫn sử dụng phong cách dân chủ và hòa đồng, nhưng chủ yếu dựa vào phong cách quyền uy, đặc biệt là trong những tháng đầu tiên.</w:t>
      </w:r>
    </w:p>
    <w:p>
      <w:bookmarkStart w:id="516" w:name="The_pacesetting_style"/>
      <w:pPr>
        <w:pStyle w:val="Para 068"/>
      </w:pPr>
      <w:r>
        <w:t>Phong cách tạo tốc độ (pacesetting style)</w:t>
      </w:r>
      <w:bookmarkEnd w:id="516"/>
    </w:p>
    <w:p>
      <w:pPr>
        <w:pStyle w:val="Normal"/>
      </w:pPr>
      <w:r>
        <w:t xml:space="preserve">Giống như phong cách cưỡng bức (coercive style), phong cách tạo tốc độ (pacesetting style) cũng có vị trí của nó trong vốn kỹ năng của nhà lãnh đạo, nhưng nó nên được sử dụng một cách có chừng mực. Đó không phải là điều chúng tôi kỳ vọng khám phá ra. Suy cho cùng, những dấu hiệu đặc trưng của phong cách tạo tốc độ nghe có vẻ đáng ngưỡng mộ. Nhà lãnh đạo đặt ra những tiêu chuẩn hiệu suất cực kỳ cao và tự mình làm gương. Ông ta ám ảnh với việc làm mọi thứ tốt hơn và nhanh hơn, và đòi hỏi điều tương tự từ tất cả mọi người xung</w:t>
        <w:bookmarkStart w:id="517" w:name="page08_36"/>
        <w:t> qu</w:t>
        <w:bookmarkEnd w:id="517"/>
        <w:t>anh. Ông ta nhanh chóng chỉ ra những nhân viên kém hiệu quả và yêu cầu họ làm tốt hơn. Nếu họ không vượt lên đáp ứng yêu cầu, ông ta sẽ thay thế họ bằng những người có thể đáp ứng. Bạn có thể nghĩ rằng cách tiếp cận như vậy sẽ cải thiện kết quả, nhưng thực tế không phải vậy.</w:t>
      </w:r>
    </w:p>
    <w:p>
      <w:pPr>
        <w:pStyle w:val="Normal"/>
      </w:pPr>
      <w:r>
        <w:t xml:space="preserve">Trên thực tế, phong cách tạo tốc độ phá hủy môi trường làm việc. Nhiều nhân viên cảm thấy choáng ngợp trước những đòi hỏi về sự xuất sắc của người dẫn dắt, và tinh thần của họ tuột dốc. Các nguyên tắc làm việc có thể rất rõ ràng trong đầu nhà lãnh đạo, nhưng cô ấy không nêu chúng ra một cách minh bạch; cô ấy kỳ vọng mọi người tự biết phải làm gì và thậm chí nghĩ rằng: “Nếu tôi phải nói cho bạn biết, thì bạn là người không phù hợp với công việc này.” Công việc không còn là chuyện cố gắng hết sức trên một con đường rõ ràng mà giống như việc phải đoán định xem nhà lãnh đạo muốn gì. Đồng thời, mọi người thường</w:t>
        <w:bookmarkStart w:id="518" w:name="page08_37"/>
        <w:t> </w:t>
        <w:bookmarkEnd w:id="518"/>
        <w:t>cảm thấy người dẫn dắt không tin tưởng họ làm việc theo cách riêng hoặc chủ động sáng tạo. Sự linh hoạt và tinh thần trách nhiệm tan biến; công việc trở nên tập trung quá mức vào nhiệm vụ và bị rập khuôn đến mức nhàm chán.</w:t>
      </w:r>
    </w:p>
    <w:p>
      <w:pPr>
        <w:pStyle w:val="Normal"/>
      </w:pPr>
      <w:r>
        <w:t>Về phần thưởng, người dẫn dắt theo phong cách tạo tốc độ hoặc là không đưa ra phản hồi nào về việc mọi người đang làm việc ra sao, hoặc nhảy vào làm thay khi anh ta nghĩ họ đang chậm trễ. Và nếu vị lãnh đạo đó ra đi, mọi người sẽ cảm thấy mất phương hướng – họ quá quen với việc “chuyên gia” đặt ra các quy tắc. Cuối cùng, sự cam kết suy giảm dưới chế độ của một nhà lãnh đạo tạo tốc độ, bởi vì mọi người không cảm nhận được những nỗ lực cá nhân của họ gắn kết với bức tranh tổng thể như thế nào.</w:t>
      </w:r>
    </w:p>
    <w:p>
      <w:pPr>
        <w:pStyle w:val="Normal"/>
      </w:pPr>
      <w:r>
        <w:t xml:space="preserve">Để lấy một ví dụ về phong cách tạo tốc độ, hãy xem trường hợp của Sam, một nhà hóa sinh làm việc trong</w:t>
        <w:bookmarkStart w:id="519" w:name="page08_38"/>
        <w:t> </w:t>
        <w:bookmarkEnd w:id="519"/>
        <w:t>bộ phận Nghiên cứu và Phát triển (R&amp;D) tại một công ty dược phẩm lớn. Chuyên môn tuyệt vời của Sam đã giúp anh sớm trở thành một ngôi sao: anh là người mà mọi người đều tìm đến khi cần giúp đỡ. Chẳng bao lâu sau, anh được thăng chức làm trưởng nhóm phát triển một sản phẩm mới. Các nhà khoa học khác trong nhóm đều có năng lực và tinh thần tự giác cao như Sam; vai trò trưởng nhóm của anh trở thành việc anh tự làm gương về cách thực hiện các công trình khoa học đẳng cấp nhất dưới áp lực thời hạn khủng khiếp, và luôn sẵn sàng tham gia khi cần. Nhóm của anh đã hoàn thành nhiệm vụ trong thời gian kỷ lục.</w:t>
      </w:r>
    </w:p>
    <w:p>
      <w:pPr>
        <w:pStyle w:val="Normal"/>
      </w:pPr>
      <w:r>
        <w:t xml:space="preserve">Nhưng rồi một nhiệm vụ mới đến: Sam được giao phụ trách mảng nghiên cứu và phát triển (R&amp;D) cho toàn bộ phân khu của mình. Khi nhiệm vụ mở rộng và anh phải trình bày tầm nhìn, điều phối các dự án, ủy quyền trách nhiệm và giúp phát triển người</w:t>
        <w:bookmarkStart w:id="520" w:name="page08_39"/>
        <w:t> </w:t>
        <w:bookmarkEnd w:id="520"/>
        <w:t>khác, Sam bắt đầu trượt dốc. Không tin tưởng rằng cấp dưới của mình có năng lực như anh, anh trở thành một người quản lý vi mô (micromanager), ám ảnh với chi tiết và làm thay công việc của người khác khi hiệu suất của họ chững lại. Thay vì tin tưởng họ sẽ tiến bộ qua sự hướng dẫn và đào tạo, Sam thấy mình phải làm việc đêm và cuối tuần sau khi nhảy vào thay thế cho người đứng đầu một nhóm nghiên cứu đang chật vật. Cuối cùng, đến sự nhẹ nhõm của Sam, sếp trực tiếp của anh đề nghị anh quay lại công việc cũ là trưởng nhóm phát triển sản phẩm.</w:t>
      </w:r>
    </w:p>
    <w:p>
      <w:pPr>
        <w:pStyle w:val="Normal"/>
      </w:pPr>
      <w:r>
        <w:t xml:space="preserve">Mặc dù Sam đã vấp ngã, nhưng phong cách tạo nhịp độ (pacesetting) không phải lúc nào cũng là thảm họa. Cách tiếp cận này hiệu quả khi tất cả nhân viên đều tự giác, có năng lực cao và cần ít sự chỉ đạo hoặc điều phối—ví dụ, nó có thể hiệu quả với các</w:t>
        <w:bookmarkStart w:id="521" w:name="page08_40"/>
        <w:t> </w:t>
        <w:bookmarkEnd w:id="521"/>
        <w:t>nhà lãnh đạo của những chuyên gia lành nghề và tự giác, như nhóm R&amp;D hoặc nhóm pháp lý. Và, khi có một đội ngũ tài năng để dẫn dắt, phong cách tạo nhịp độ sẽ đạt được đúng mục tiêu: hoàn thành công việc đúng thời hạn hoặc thậm chí sớm hơn. Tuy nhiên, giống như bất kỳ phong cách lãnh đạo nào, phong cách tạo nhịp độ không bao giờ nên được sử dụng một mình.</w:t>
      </w:r>
    </w:p>
    <w:p>
      <w:bookmarkStart w:id="522" w:name="The_coaching_style"/>
      <w:pPr>
        <w:pStyle w:val="Para 068"/>
      </w:pPr>
      <w:r>
        <w:t>Phong cách huấn luyện</w:t>
      </w:r>
      <w:bookmarkEnd w:id="522"/>
    </w:p>
    <w:p>
      <w:pPr>
        <w:pStyle w:val="Normal"/>
      </w:pPr>
      <w:r>
        <w:t xml:space="preserve">Một đơn vị sản phẩm tại một công ty máy tính toàn cầu đã chứng kiến doanh số lao dốc từ mức gấp đôi đối thủ cạnh tranh xuống chỉ còn một nửa. Vì vậy, Lawrence, chủ tịch mảng sản xuất, quyết định đóng cửa đơn vị này và điều chuyển nhân sự cũng như sản phẩm. Khi nghe tin này, James, người đứng đầu đơn vị đang hấp hối, quyết định</w:t>
        <w:bookmarkStart w:id="523" w:name="page08_41"/>
        <w:t> </w:t>
        <w:bookmarkEnd w:id="523"/>
        <w:t>vượt cấp lên thẳng CEO để nói lên quan điểm của mình.</w:t>
      </w:r>
    </w:p>
    <w:p>
      <w:pPr>
        <w:pStyle w:val="Normal"/>
      </w:pPr>
      <w:r>
        <w:t>Lawrence đã làm gì? Thay vì nổi giận với James, ông ngồi xuống với nhân viên trực tiếp ngỗ nghịch của mình và trao đổi không chỉ về quyết định đóng cửa bộ phận mà còn về tương lai của James. Ông giải thích cho James biết việc chuyển sang một bộ phận khác sẽ giúp anh phát triển những kỹ năng mới như thế nào. Nó sẽ khiến anh trở thành nhà lãnh đạo giỏi hơn và dạy anh thêm về hoạt động kinh doanh của công ty.</w:t>
      </w:r>
    </w:p>
    <w:p>
      <w:pPr>
        <w:pStyle w:val="Normal"/>
      </w:pPr>
      <w:r>
        <w:t xml:space="preserve">Lawrence hành động giống một nhà cố vấn hơn là một ông chủ truyền thống. Ông lắng nghe những lo lắng và hy vọng của James, và chia sẻ những điều của riêng mình. Ông nói rằng ông tin James đã trở nên trì trệ trong công việc hiện tại; dù sao thì đó cũng là nơi duy nhất anh ấy làm việc</w:t>
        <w:bookmarkStart w:id="524" w:name="page08_42"/>
        <w:t> </w:t>
        <w:bookmarkEnd w:id="524"/>
        <w:t>trong công ty. Ông dự đoán rằng James sẽ tỏa sáng trong một vai trò mới.</w:t>
      </w:r>
    </w:p>
    <w:p>
      <w:pPr>
        <w:pStyle w:val="Normal"/>
      </w:pPr>
      <w:r>
        <w:t xml:space="preserve">Cuộc trò chuyện sau đó chuyển sang hướng thực tế. James vẫn chưa có cuộc gặp với CEO—cuộc gặp mà anh đã bồng bột yêu cầu khi nghe tin bộ phận của mình bị đóng cửa. Biết điều này—và cũng biết rằng CEO kiên định ủng hộ việc đóng cửa—Lawrence đã dành thời gian hướng dẫn James cách trình bày quan điểm trong cuộc gặp đó. “Cậu không thường có cơ hội gặp CEO đâu,” ông nói, “hãy chắc chắn rằng cậu gây ấn tượng với ông ấy bằng sự chín chắn của mình.” Ông khuyên James không nên kể lể chuyện cá nhân mà nên tập trung vào đơn vị kinh doanh: “Nếu ông ấy nghĩ cậu đến vì vinh quang của bản thân, ông ấy sẽ tống cậu ra ngoài còn nhanh</w:t>
        <w:bookmarkStart w:id="525" w:name="page08_43"/>
        <w:t> </w:t>
        <w:bookmarkEnd w:id="525"/>
        <w:t>hơn lúc cậu bước vào.” Và ông khuyến khích anh viết ra ý tưởng của mình; CEO luôn đánh giá cao điều đó.</w:t>
      </w:r>
    </w:p>
    <w:p>
      <w:pPr>
        <w:pStyle w:val="Normal"/>
      </w:pPr>
      <w:r>
        <w:t>Lý do Lawrence chọn cách huấn luyện thay vì khiển trách? “James là một người tốt, rất tài năng và đầy triển vọng,” vị giám đốc điều hành giải thích với chúng tôi, “và tôi không muốn điều này làm hỏng sự nghiệp của cậu ấy. Tôi muốn cậu ấy ở lại công ty, tôi muốn cậu ấy vượt qua, tôi muốn cậu ấy học hỏi, tôi muốn cậu ấy được hưởng lợi và phát triển. Chỉ vì cậu ấy phạm sai lầm không có nghĩa là cậu ấy tệ.”</w:t>
      </w:r>
    </w:p>
    <w:p>
      <w:pPr>
        <w:pStyle w:val="Normal"/>
      </w:pPr>
      <w:r>
        <w:t xml:space="preserve">Hành động của Lawrence minh họa phong cách huấn luyện một cách xuất sắc. Các nhà lãnh đạo theo phong cách huấn luyện giúp nhân viên xác định những điểm mạnh và điểm yếu riêng của họ, đồng thời gắn chúng với nguyện vọng cá nhân và nghề nghiệp. Họ khuyến khích nhân viên thiết lập</w:t>
        <w:bookmarkStart w:id="526" w:name="page08_44"/>
        <w:t> c</w:t>
        <w:bookmarkEnd w:id="526"/>
        <w:t>ác mục tiêu phát triển dài hạn và giúp họ hình dung ra kế hoạch để đạt được chúng. Họ đạt được thỏa thuận với nhân viên về vai trò và trách nhiệm của họ trong việc thực hiện các kế hoạch phát triển, đồng thời đưa ra nhiều chỉ dẫn và phản hồi. Các nhà lãnh đạo theo phong cách huấn luyện rất giỏi ủy quyền; họ giao cho nhân viên những nhiệm vụ đầy thử thách, ngay cả khi điều đó có nghĩa là các nhiệm vụ sẽ không được hoàn thành nhanh chóng. Nói cách khác, những nhà lãnh đạo này sẵn sàng chấp nhận thất bại ngắn hạn nếu nó thúc đẩy việc học hỏi lâu dài.</w:t>
      </w:r>
    </w:p>
    <w:p>
      <w:pPr>
        <w:pStyle w:val="Normal"/>
      </w:pPr>
      <w:r>
        <w:t xml:space="preserve">Trong sáu phong cách, nghiên cứu của chúng tôi phát hiện ra rằng phong cách huấn luyện được sử dụng ít nhất. Nhiều nhà lãnh đạo nói với chúng tôi rằng họ không có thời gian trong nền kinh tế áp lực cao này để làm công việc chậm chạp và tẻ nhạt là dạy dỗ mọi người và giúp</w:t>
        <w:bookmarkStart w:id="527" w:name="page08_45"/>
        <w:t> </w:t>
        <w:bookmarkEnd w:id="527"/>
        <w:t>họ phát triển. Nhưng sau buổi đầu tiên, nó tốn rất ít hoặc không tốn thêm thời gian. Những nhà lãnh đạo phớt lờ phong cách này đang bỏ lỡ một công cụ mạnh mẽ: tác động của nó đến bầu không khí làm việc và hiệu suất là rõ ràng tích cực.</w:t>
      </w:r>
    </w:p>
    <w:p>
      <w:pPr>
        <w:pStyle w:val="Normal"/>
      </w:pPr>
      <w:r>
        <w:t xml:space="preserve">Phải thừa nhận rằng, có một nghịch lý trong tác động tích cực của việc huấn luyện đối với hiệu quả kinh doanh, bởi vì huấn luyện tập trung chủ yếu vào sự phát triển cá nhân, chứ không phải vào các nhiệm vụ trước mắt liên quan đến công việc. Dù vậy, huấn luyện vẫn cải thiện kết quả. Lý do là: nó đòi hỏi sự đối thoại liên tục, và sự đối thoại đó có cách thúc đẩy mọi yếu tố của bầu không khí làm việc. Hãy lấy sự linh hoạt làm ví dụ. Khi một nhân viên biết rằng sếp của mình đang quan sát và quan tâm đến những gì mình làm, anh ta cảm thấy tự do để thử nghiệm. Rốt cuộc, anh ta chắc chắn sẽ nhận</w:t>
        <w:bookmarkStart w:id="528" w:name="page08_46"/>
        <w:t> </w:t>
        <w:bookmarkEnd w:id="528"/>
        <w:t>được phản hồi nhanh chóng và mang tính xây dựng. Tương tự, sự đối thoại liên tục của việc huấn luyện đảm bảo rằng mọi người biết họ được kỳ vọng điều gì và công việc của họ khớp với tầm nhìn hoặc chiến lược lớn hơn như thế nào. Điều đó ảnh hưởng đến trách nhiệm và sự rõ ràng. Đối với cam kết, huấn luyện cũng giúp ích ở đây, bởi vì thông điệp ngầm của phong cách này là: “Tôi tin bạn, tôi đầu tư vào bạn và tôi mong đợi những nỗ lực tốt nhất của bạn.” Nhân viên thường đáp lại thử thách đó bằng cả trái tim, khối óc và tâm hồn.</w:t>
      </w:r>
    </w:p>
    <w:p>
      <w:pPr>
        <w:pStyle w:val="Normal"/>
      </w:pPr>
      <w:r>
        <w:t xml:space="preserve">Phong cách huấn luyện hoạt động hiệu quả trong nhiều tình huống kinh doanh, nhưng nó có lẽ hiệu quả nhất khi những người nhận được sự huấn luyện sẵn sàng đón nhận. Ví dụ, phong cách huấn luyện đặc biệt hiệu quả khi nhân viên đã nhận thức được điểm yếu của mình và muốn cải thiện hiệu suất làm việc. Tương tự, phong cách</w:t>
        <w:bookmarkStart w:id="529" w:name="page08_47"/>
        <w:t> n</w:t>
        <w:bookmarkEnd w:id="529"/>
        <w:t>ày cũng hiệu quả khi nhân viên nhận ra rằng việc trau dồi những khả năng mới có thể giúp họ thăng tiến. Tóm lại, nó hoạt động tốt nhất với những nhân viên có mong muốn được huấn luyện.</w:t>
      </w:r>
    </w:p>
    <w:p>
      <w:pPr>
        <w:pStyle w:val="Normal"/>
      </w:pPr>
      <w:r>
        <w:t xml:space="preserve">Ngược lại, phong cách huấn luyện (coaching) ít có ý nghĩa khi nhân viên, vì bất kỳ lý do gì, không muốn học hỏi hoặc thay đổi cách làm việc. Và nó thất bại nếu người lãnh đạo thiếu chuyên môn để hỗ trợ nhân viên tiến bộ. Thực tế là nhiều nhà quản lý không quen thuộc hoặc đơn giản là kém trong việc huấn luyện, đặc biệt khi phải đưa ra phản hồi về hiệu quả công việc một cách liên tục nhằm tạo động lực thay vì gây sợ hãi hay thờ ơ. Một số công ty đã nhận ra tác động tích cực của phong cách này và đang cố gắng biến nó thành năng lực cốt lõi. Tại một số công ty, một phần đáng kể tiền thưởng năm được gắn với</w:t>
        <w:bookmarkStart w:id="530" w:name="page08_48"/>
        <w:t> </w:t>
        <w:bookmarkEnd w:id="530"/>
        <w:t>việc phát triển các nhân viên trực tiếp của nhà quản lý. Nhưng nhiều tổ chức vẫn chưa tận dụng đầy đủ phong cách lãnh đạo này. Mặc dù phong cách huấn luyện có thể không trực tiếp nhấn mạnh đến "kết quả kinh doanh", nhưng nó vẫn mang lại kết quả đó.</w:t>
      </w:r>
    </w:p>
    <w:p>
      <w:bookmarkStart w:id="531" w:name="LEADERS_NEED_MANY_STYLES"/>
      <w:pPr>
        <w:pStyle w:val="Para 029"/>
      </w:pPr>
      <w:r>
        <w:t>NHÀ LÃNH ĐẠO CẦN NHIỀU PHONG CÁCH</w:t>
      </w:r>
      <w:bookmarkEnd w:id="531"/>
    </w:p>
    <w:p>
      <w:pPr>
        <w:pStyle w:val="Normal"/>
      </w:pPr>
      <w:r>
        <w:t xml:space="preserve">Nhiều nghiên cứu, bao gồm cả nghiên cứu này, đã chỉ ra rằng càng có nhiều phong cách lãnh đạo, hiệu quả càng cao. Những nhà lãnh đạo thành thạo bốn phong cách trở lên—đặc biệt là phong cách độc đoán (authoritative), dân chủ (democratic), gắn kết (affiliative) và huấn luyện (coaching)—thường có môi trường làm việc và kết quả kinh doanh tốt nhất. Và những nhà lãnh đạo hiệu quả nhất linh hoạt chuyển đổi giữa các phong cách lãnh đạo</w:t>
        <w:bookmarkStart w:id="532" w:name="page08_49"/>
        <w:t> </w:t>
        <w:bookmarkEnd w:id="532"/>
        <w:t>khi cần thiết. Mặc dù điều đó nghe có vẻ khó khăn, chúng tôi đã chứng kiến điều này thường xuyên hơn bạn tưởng—cả ở các tập đoàn lớn lẫn những công ty khởi nghiệp nhỏ, từ những lão làng dày dạn kinh nghiệm có thể giải thích chính xác cách họ lãnh đạo và lý do, cũng như từ những doanh nhân cho rằng họ lãnh đạo bằng trực giác.</w:t>
      </w:r>
    </w:p>
    <w:p>
      <w:pPr>
        <w:pStyle w:val="Normal"/>
      </w:pPr>
      <w:r>
        <w:t xml:space="preserve">Những nhà lãnh đạo như vậy không máy móc áp dụng phong cách của mình theo một danh sách tình huống định sẵn—họ linh hoạt hơn nhiều. Họ cực kỳ nhạy cảm với tác động của mình đối với người khác và điều chỉnh phong cách một cách mượt mà để đạt kết quả tốt nhất. Đó là những nhà lãnh đạo có thể, chỉ trong vài phút đầu trò chuyện, nhận ra rằng một nhân viên tài năng nhưng làm việc kém hiệu quả đang mất tinh thần vì một người quản lý thiếu cảm thông, kiểu "làm theo những gì tôi bảo" và</w:t>
        <w:bookmarkStart w:id="533" w:name="page08_50"/>
        <w:t> </w:t>
        <w:bookmarkEnd w:id="533"/>
        <w:t>cần được truyền cảm hứng bằng cách nhắc lại lý do công việc của cô ấy quan trọng. Hoặc nhà lãnh đạo đó có thể chọn cách tái tạo năng lượng cho nhân viên bằng cách hỏi về ước mơ và khát vọng của cô ấy, và tìm cách làm cho công việc của cô ấy thử thách hơn. Hoặc cuộc trò chuyện ban đầu đó có thể cho thấy nhân viên này cần một tối hậu thư: tiến bộ hơn hoặc rời đi.</w:t>
      </w:r>
    </w:p>
    <w:p>
      <w:pPr>
        <w:pStyle w:val="Normal"/>
      </w:pPr>
      <w:r>
        <w:t xml:space="preserve">Để minh họa cho sự linh hoạt trong lãnh đạo, hãy xem trường hợp của Joan, tổng giám đốc một bộ phận lớn tại một công ty thực phẩm và đồ uống toàn cầu. Joan được bổ nhiệm vào vị trí này khi bộ phận đang rơi vào khủng hoảng trầm trọng. Bộ phận đã không đạt chỉ tiêu lợi nhuận trong sáu năm; riêng năm gần nhất, họ đã thiếu hụt 50 triệu đô la. Tinh thần của đội ngũ quản lý cấp cao vô cùng tồi tệ; sự</w:t>
        <w:bookmarkStart w:id="534" w:name="page08_51"/>
        <w:t> </w:t>
        <w:bookmarkEnd w:id="534"/>
        <w:t>ngờ vực và oán giận lan tràn. Chỉ đạo từ cấp trên dành cho Joan rất rõ ràng: cứu vãn tình hình của bộ phận này.</w:t>
      </w:r>
    </w:p>
    <w:p>
      <w:pPr>
        <w:pStyle w:val="Normal"/>
      </w:pPr>
      <w:r>
        <w:t xml:space="preserve">Joan đã làm được điều đó với sự linh hoạt hiếm có trong việc chuyển đổi giữa các phong cách lãnh đạo. Ngay từ đầu, cô nhận ra mình có một khoảng thời gian ngắn để thể hiện khả năng lãnh đạo hiệu quả và thiết lập mối quan hệ cùng sự tin tưởng. Cô cũng biết rằng mình cần nhanh chóng được cập nhật về những gì đang trục trặc, vì vậy nhiệm vụ đầu tiên của cô là lắng nghe những người chủ chốt. Trong tuần đầu tiên làm việc, cô đã có các buổi gặp gỡ ăn trưa và ăn tối với từng thành viên trong đội ngũ quản lý. Joan tìm cách hiểu quan điểm của từng người về tình hình hiện tại. Nhưng trọng tâm của cô không quá tập trung vào việc tìm hiểu cách mỗi người chẩn đoán</w:t>
        <w:bookmarkStart w:id="535" w:name="page08_52"/>
        <w:t> </w:t>
        <w:bookmarkEnd w:id="535"/>
        <w:t>vấn đề, mà là hiểu rõ từng quản lý như một con người. Ở đây Joan đã sử dụng phong cách gắn kết (affiliative style): cô tìm hiểu về cuộc sống, ước mơ và khát vọng của họ.</w:t>
      </w:r>
    </w:p>
    <w:p>
      <w:pPr>
        <w:pStyle w:val="Normal"/>
      </w:pPr>
      <w:r>
        <w:t>Cô cũng đảm nhận vai trò huấn luyện (coaching), tìm cách giúp các thành viên trong nhóm đạt được điều họ mong muốn trong sự nghiệp. Ví dụ, một quản lý từng nhận được phản hồi rằng anh ta là một thành viên kém hợp tác trong nhóm đã tâm sự với cô về những lo lắng của mình. Anh nghĩ mình là một thành viên tốt, nhưng anh bị ám ảnh bởi những lời phàn nàn dai dẳng. Nhận thấy anh là một giám đốc tài năng và là tài sản quý giá của công ty, Joan đã thỏa thuận với anh rằng cô sẽ chỉ ra (một cách riêng tư) khi hành động của anh làm tổn hại đến mục tiêu được coi là một người biết làm việc nhóm.</w:t>
      </w:r>
    </w:p>
    <w:p>
      <w:pPr>
        <w:pStyle w:val="Normal"/>
      </w:pPr>
      <w:r>
        <w:bookmarkStart w:id="536" w:name="page08_53"/>
        <w:t>Cô</w:t>
        <w:bookmarkEnd w:id="536"/>
        <w:t> tiếp nối các cuộc trò chuyện riêng bằng một buổi họp ngoài trời kéo dài ba ngày. Mục tiêu của cô ở đây là xây dựng tinh thần đồng đội (team building), để mọi người cùng làm chủ mọi giải pháp được đưa ra cho các vấn đề kinh doanh. Tư thế ban đầu của cô tại buổi họp ngoài trời là một nhà lãnh đạo dân chủ. Cô khuyến khích mọi người tự do bày tỏ sự bực bội và phàn nàn của họ.</w:t>
      </w:r>
    </w:p>
    <w:p>
      <w:pPr>
        <w:pStyle w:val="Normal"/>
      </w:pPr>
      <w:r>
        <w:t>Ngày hôm sau, Joan hướng nhóm tập trung vào các giải pháp: mỗi người đưa ra ba đề xuất cụ thể về những việc cần làm. Khi Joan nhóm lại các gợi ý, một sự đồng thuận tự nhiên đã nảy sinh về các ưu tiên cho doanh nghiệp, chẳng hạn như cắt giảm chi phí. Khi nhóm đưa ra các kế hoạch hành động cụ thể, Joan đã nhận được sự cam kết và đồng thuận mà cô tìm kiếm.</w:t>
      </w:r>
    </w:p>
    <w:p>
      <w:pPr>
        <w:pStyle w:val="Normal"/>
      </w:pPr>
      <w:r>
        <w:bookmarkStart w:id="537" w:name="page08_54"/>
        <w:t>Với</w:t>
        <w:bookmarkEnd w:id="537"/>
        <w:t> tầm nhìn đó đã được thiết lập, Joan chuyển sang phong cách quyền uy (authoritative), giao trách nhiệm cho từng bước tiếp theo cho các giám đốc cụ thể và yêu cầu họ chịu trách nhiệm hoàn thành. Ví dụ, bộ phận này trước đây đã giảm giá sản phẩm mà không tăng doanh số. Một giải pháp rõ ràng là tăng giá, nhưng Phó chủ tịch kinh doanh trước đây đã do dự và để vấn đề trở nên trầm trọng hơn. Vị Phó chủ tịch kinh doanh mới bây giờ có trách nhiệm điều chỉnh mức giá để khắc phục vấn đề.</w:t>
      </w:r>
    </w:p>
    <w:p>
      <w:pPr>
        <w:pStyle w:val="Normal"/>
      </w:pPr>
      <w:r>
        <w:t xml:space="preserve">Trong những tháng tiếp theo, lập trường chính của Joan là phong cách quyền uy. Cô liên tục trình bày tầm nhìn mới của nhóm theo cách nhắc nhở mỗi thành viên về vai trò quan trọng của họ trong việc đạt được</w:t>
        <w:bookmarkStart w:id="538" w:name="page08_55"/>
        <w:t> c</w:t>
        <w:bookmarkEnd w:id="538"/>
        <w:t>ác mục tiêu này. Và, đặc biệt trong vài tuần đầu thực hiện kế hoạch, Joan cảm thấy rằng sự khẩn cấp của cuộc khủng hoảng kinh doanh biện minh cho việc thỉnh thoảng chuyển sang phong cách cưỡng chế (coercive) nếu có ai đó không hoàn thành trách nhiệm của mình. Như cô đã nói: "Tôi phải nghiêm khắc trong việc theo dõi và đảm bảo mọi việc diễn ra. Sẽ cần kỷ luật và sự tập trung."</w:t>
      </w:r>
    </w:p>
    <w:p>
      <w:pPr>
        <w:pStyle w:val="Normal"/>
      </w:pPr>
      <w:r>
        <w:t>Kết quả ư? Mọi khía cạnh của bầu không khí làm việc đều được cải thiện. Mọi người đang đổi mới. Họ nói về tầm nhìn của bộ phận và tự hào về cam kết với các mục tiêu mới rõ ràng. Bằng chứng rõ ràng nhất cho phong cách lãnh đạo linh hoạt của Joan được thể hiện qua con số: chỉ sau bảy tháng, bộ phận của cô đã vượt chỉ tiêu lợi nhuận năm là 5 triệu đô la.</w:t>
      </w:r>
    </w:p>
    <w:p>
      <w:bookmarkStart w:id="539" w:name="EXPANDING_YOUR_REPERTORY"/>
      <w:pPr>
        <w:pStyle w:val="Para 029"/>
      </w:pPr>
      <w:r>
        <w:bookmarkStart w:id="540" w:name="page08_56"/>
        <w:t/>
        <w:bookmarkEnd w:id="540"/>
        <w:t>MỞ RỘNG VỐN PHONG CÁCH LÃNH ĐẠO CỦA BẠN</w:t>
      </w:r>
      <w:bookmarkEnd w:id="539"/>
    </w:p>
    <w:p>
      <w:pPr>
        <w:pStyle w:val="Normal"/>
      </w:pPr>
      <w:r>
        <w:t>Tất nhiên, rất ít nhà lãnh đạo có đủ cả sáu phong cách trong vốn của mình, và càng ít người biết khi nào và làm thế nào để sử dụng chúng. Thực tế, khi chúng tôi mang những phát hiện của nghiên cứu này đến với nhiều tổ chức, phản hồi phổ biến nhất là: “Nhưng tôi chỉ có hai trong số đó!” và “Tôi không thể dùng hết tất cả các phong cách đó. Điều đó sẽ không tự nhiên.”</w:t>
      </w:r>
    </w:p>
    <w:p>
      <w:pPr>
        <w:pStyle w:val="Normal"/>
      </w:pPr>
      <w:r>
        <w:t xml:space="preserve">Những cảm xúc như vậy là dễ hiểu, và trong một số trường hợp, giải pháp tương đối đơn giản. Nhà lãnh đạo có thể xây dựng một đội ngũ với những thành viên sử dụng các phong cách mà họ còn thiếu. Hãy xem trường hợp của một Phó Chủ tịch sản xuất. Cô đã điều hành thành công một hệ thống nhà máy toàn cầu chủ yếu bằng phong cách gắn kết (affiliative style). Cô liên tục đi công tác, gặp gỡ các quản lý nhà máy, lắng nghe những mối</w:t>
        <w:bookmarkStart w:id="541" w:name="page08_57"/>
        <w:t> </w:t>
        <w:bookmarkEnd w:id="541"/>
        <w:t>quan tâm cấp bách của họ và cho họ biết cô quan tâm đến họ nhiều đến nhường nào với tư cách cá nhân. Cô giao chiến lược của bộ phận—hiệu quả tối đa—cho một cánh tay phải đáng tin cậy, một người có hiểu biết sâu sắc về công nghệ, và giao các tiêu chuẩn hiệu suất cho một đồng nghiệp giỏi cách tiếp cận uy quyền (authoritative approach). Cô cũng có một người theo phong cách tạo nhịp độ (pacesetter) trong đội, người luôn đồng hành cùng cô đến thăm các nhà máy.</w:t>
      </w:r>
    </w:p>
    <w:p>
      <w:pPr>
        <w:pStyle w:val="Normal"/>
      </w:pPr>
      <w:r>
        <w:t>Một cách tiếp cận khác, và là cách tôi muốn khuyên hơn, là để các nhà lãnh đạo tự mở rộng vốn phong cách của chính mình. Để làm được điều đó, trước tiên họ phải hiểu những năng lực trí tuệ cảm xúc (emotional intelligence competencies) nào làm nền tảng cho các phong cách lãnh đạo mà họ đang thiếu. Sau đó, họ có thể kiên trì nỗ lực nâng cao mức độ các năng lực này.</w:t>
      </w:r>
    </w:p>
    <w:p>
      <w:pPr>
        <w:pStyle w:val="Normal"/>
      </w:pPr>
      <w:r>
        <w:bookmarkStart w:id="542" w:name="page08_58"/>
        <w:t>Chẳng</w:t>
        <w:bookmarkEnd w:id="542"/>
        <w:t> hạn, một nhà lãnh đạo theo phong cách gắn kết có thế mạnh ở ba năng lực trí tuệ cảm xúc: sự đồng cảm, xây dựng mối quan hệ và giao tiếp. Sự đồng cảm—cảm nhận được người khác đang cảm thấy gì trong thời điểm đó—giúp nhà lãnh đạo phản hồi nhân viên một cách tương hợp với cảm xúc của người đó, từ đó tạo dựng sự kết nối. Nhà lãnh đạo gắn kết cũng thể hiện sự tự nhiên trong việc thiết lập các mối quan hệ mới, hiểu đối phương như một cá nhân và vun đắp sự gắn bó. Cuối cùng, nhà lãnh đạo gắn kết xuất sắc làm chủ nghệ thuật giao tiếp giữa các cá nhân, đặc biệt là nói đúng điều cần nói hoặc thực hiện cử chỉ biểu trưng khéo léo vào đúng thời điểm.</w:t>
      </w:r>
    </w:p>
    <w:p>
      <w:pPr>
        <w:pStyle w:val="Normal"/>
      </w:pPr>
      <w:r>
        <w:bookmarkStart w:id="543" w:name="page08_59"/>
        <w:t>Vì</w:t>
        <w:bookmarkEnd w:id="543"/>
        <w:t> vậy, nếu bạn chủ yếu là nhà lãnh đạo theo phong cách tạo nhịp độ (pacesetting leader) và muốn sử dụng phong cách gắn kết thường xuyên hơn, bạn cần nâng cao sự đồng cảm và, có thể, cả kỹ năng xây dựng mối quan hệ hoặc giao tiếp hiệu quả. Một ví dụ khác, một nhà lãnh đạo theo phong cách uy quyền (authoritative leader) muốn thêm phong cách dân chủ vào vốn phong cách của mình có thể cần rèn luyện các năng lực hợp tác và giao tiếp. Lời khuyên về việc bổ sung năng lực như vậy có vẻ đơn giản—'Hãy tự thay đổi bản thân'—nhưng nâng cao trí tuệ cảm xúc hoàn toàn có thể thực hiện được qua luyện tập. (Để biết thêm cách cải thiện trí tuệ cảm xúc, hãy xem phần bên lề</w:t>
      </w:r>
      <w:hyperlink w:anchor="Growing_Your_Emotional_Intellige">
        <w:r>
          <w:rPr>
            <w:rStyle w:val="Text2"/>
          </w:rPr>
          <w:t> “Nuôi dưỡng trí tuệ cảm xúc của</w:t>
        </w:r>
      </w:hyperlink>
      <w:r>
        <w:t> bạn”.)</w:t>
      </w:r>
    </w:p>
    <w:p>
      <w:bookmarkStart w:id="544" w:name="MORE_SCIENCE__LESS_ART"/>
      <w:pPr>
        <w:pStyle w:val="Para 029"/>
      </w:pPr>
      <w:r>
        <w:bookmarkStart w:id="545" w:name="page08_60"/>
        <w:t/>
        <w:bookmarkEnd w:id="545"/>
        <w:t>Thêm khoa học, bớt nghệ thuật</w:t>
      </w:r>
      <w:bookmarkEnd w:id="544"/>
    </w:p>
    <w:p>
      <w:pPr>
        <w:pStyle w:val="Normal"/>
      </w:pPr>
      <w:r>
        <w:t>Giống như việc làm cha mẹ, lãnh đạo sẽ không bao giờ là một khoa học chính xác. Nhưng nó cũng không nên là một điều bí ẩn hoàn toàn đối với những người thực hành nó. Trong những năm gần đây, nghiên cứu đã giúp các bậc cha mẹ hiểu được các yếu tố di truyền, tâm lý và hành vi ảnh hưởng đến “hiệu quả công việc” của họ. Với nghiên cứu mới của chúng tôi, các nhà lãnh đạo cũng có thể có được bức tranh rõ ràng hơn về những gì cần thiết để lãnh đạo hiệu quả. Và có lẽ quan trọng không kém, họ có thể thấy cách họ có thể làm được điều đó.</w:t>
      </w:r>
    </w:p>
    <w:p>
      <w:pPr>
        <w:pStyle w:val="Normal"/>
      </w:pPr>
      <w:r>
        <w:t xml:space="preserve">Môi trường kinh doanh liên tục biến đổi, và nhà lãnh đạo phải ứng phó cho phù hợp. Giờ này sang giờ khác, ngày này qua ngày khác, tuần này qua tuần khác, các nhà điều hành phải vận dụng các phong cách lãnh đạo như một dân chuyên—dùng đúng</w:t>
        <w:bookmarkStart w:id="546" w:name="page08_61"/>
        <w:t> </w:t>
        <w:bookmarkEnd w:id="546"/>
        <w:t>phong cách vào đúng thời điểm và đúng mức độ. Kết quả chính là phần thưởng.</w:t>
      </w:r>
    </w:p>
    <w:p>
      <w:bookmarkStart w:id="547" w:name="NOTE"/>
      <w:pPr>
        <w:pStyle w:val="Para 029"/>
      </w:pPr>
      <w:r>
        <w:t>GHI CHÚ</w:t>
      </w:r>
      <w:bookmarkEnd w:id="547"/>
    </w:p>
    <w:p>
      <w:pPr>
        <w:pStyle w:val="Normal"/>
      </w:pPr>
      <w:r>
        <w:t>Daniel Goleman tư vấn cho Hay/McBer về phát triển khả năng lãnh đạo.</w:t>
      </w:r>
    </w:p>
    <w:p>
      <w:bookmarkStart w:id="548" w:name="Getting_Molecular__The_Impact_of"/>
      <w:pPr>
        <w:pStyle w:val="Para 155"/>
      </w:pPr>
      <w:r>
        <w:bookmarkStart w:id="549" w:name="page08_62"/>
        <w:t>Đi</w:t>
        <w:bookmarkEnd w:id="549"/>
        <w:t> sâu phân tích: Ảnh hưởng của phong cách lãnh đạo đến các yếu tố tạo nên bầu không khí làm việc</w:t>
      </w:r>
      <w:bookmarkEnd w:id="548"/>
    </w:p>
    <w:p>
      <w:pPr>
        <w:pStyle w:val="Para 156"/>
      </w:pPr>
      <w:r>
        <w:t>Nghiên cứu của chúng tôi đã điều tra cách mỗi phong cách lãnh đạo ảnh hưởng đến sáu yếu tố của bầu không khí làm việc (climate). Các con số dưới đây cho thấy mối tương quan giữa từng phong cách lãnh đạo và từng khía cạnh của bầu không khí. Ví dụ, nếu xem xét yếu tố linh hoạt, chúng ta thấy phong cách cưỡng chế có tương quan –.28 trong khi phong cách dân chủ có tương quan .28, mạnh ngang nhau nhưng ngược chiều. Tập trung vào phong cách lãnh đạo uy quyền, chúng ta thấy nó có tương quan .54 với phần thưởng—rất tích cực—và tương quan .21 với trách nhiệm—tích cực nhưng không mạnh. Nói cách khác, tương quan của phong cách này với phần thưởng cao hơn gấp hai lần so với trách nhiệm.</w:t>
      </w:r>
    </w:p>
    <w:p>
      <w:pPr>
        <w:pStyle w:val="Para 201"/>
      </w:pPr>
      <w:r>
        <w:t>Theo dữ liệu, phong cách lãnh đạo uy quyền có tác động tích cực nhất đến bầu không khí làm việc, nhưng ba phong cách khác—gắn kết (affiliative), dân chủ, và huấn luyện (coaching)—bám sát ngay sau. Dù vậy, nghiên cứu chỉ ra rằng không nên chỉ dựa duy nhất vào một phong cách nào, và tất cả đều có tác dụng ít nhất trong ngắn hạn.</w:t>
      </w:r>
    </w:p>
    <w:p>
      <w:pPr>
        <w:pStyle w:val="Para 202"/>
      </w:pPr>
      <w:r>
        <w:bookmarkStart w:id="550" w:name="page08_63"/>
        <w:t/>
        <w:bookmarkEnd w:id="550"/>
        <w:drawing>
          <wp:inline>
            <wp:extent cx="1219200" cy="965200"/>
            <wp:effectExtent l="0" r="0" t="0" b="0"/>
            <wp:docPr id="26" name="tab.jpg" descr="image"/>
            <wp:cNvGraphicFramePr>
              <a:graphicFrameLocks noChangeAspect="1"/>
            </wp:cNvGraphicFramePr>
            <a:graphic>
              <a:graphicData uri="http://schemas.openxmlformats.org/drawingml/2006/picture">
                <pic:pic>
                  <pic:nvPicPr>
                    <pic:cNvPr id="0" name="tab.jpg" descr="image"/>
                    <pic:cNvPicPr/>
                  </pic:nvPicPr>
                  <pic:blipFill>
                    <a:blip r:embed="rId15"/>
                    <a:stretch>
                      <a:fillRect/>
                    </a:stretch>
                  </pic:blipFill>
                  <pic:spPr>
                    <a:xfrm>
                      <a:off x="0" y="0"/>
                      <a:ext cx="1219200" cy="965200"/>
                    </a:xfrm>
                    <a:prstGeom prst="rect">
                      <a:avLst/>
                    </a:prstGeom>
                  </pic:spPr>
                </pic:pic>
              </a:graphicData>
            </a:graphic>
          </wp:inline>
        </w:drawing>
      </w:r>
    </w:p>
    <w:p>
      <w:bookmarkStart w:id="551" w:name="The_Six_Leadership_Styles_at_a_G"/>
      <w:pPr>
        <w:pStyle w:val="Para 155"/>
      </w:pPr>
      <w:r>
        <w:bookmarkStart w:id="552" w:name="page08_64"/>
        <w:t/>
        <w:bookmarkEnd w:id="552"/>
        <w:t>Tổng quan về sáu phong cách lãnh đạo</w:t>
      </w:r>
      <w:bookmarkEnd w:id="551"/>
    </w:p>
    <w:p>
      <w:pPr>
        <w:pStyle w:val="Para 156"/>
      </w:pPr>
      <w:r>
        <w:t>Nghiên cứu của chúng tôi phát hiện rằng các nhà lãnh đạo sử dụng sáu phong cách, mỗi phong cách xuất phát từ những thành phần khác nhau của trí tuệ cảm xúc. Dưới đây là tóm tắt về các phong cách, nguồn gốc của chúng, thời điểm chúng phát huy hiệu quả nhất, và tác động của chúng đến bầu không khí làm việc của tổ chức và từ đó đến hiệu suất của tổ</w:t>
      </w:r>
      <w:r>
        <w:rPr>
          <w:rStyle w:val="Text0"/>
        </w:rPr>
        <w:t> chức.</w:t>
      </w:r>
    </w:p>
    <w:tbl>
      <w:tblPr>
        <w:tblW w:type="pct" w:w="5000"/>
      </w:tblPr>
      <w:tr>
        <w:tc>
          <w:tcPr>
            <w:tcW w:type="auto" w:w="0"/>
            <w:tcBorders>
              <w:bottom w:val="single" w:sz="2" w:color="auto"/>
            </w:tcBorders>
            <w:tcMar>
              <w:top w:type="dxa" w:w="320"/>
              <w:right w:type="dxa" w:w="320"/>
              <w:bottom w:type="dxa" w:w="160"/>
            </w:tcMar>
            <w:vAlign w:val="top"/>
          </w:tcPr>
          <w:p>
            <w:pPr>
              <w:pStyle w:val="22 Block"/>
            </w:pPr>
          </w:p>
        </w:tc>
        <w:tc>
          <w:tcPr>
            <w:tcW w:type="auto" w:w="0"/>
            <w:tcBorders>
              <w:bottom w:val="single" w:sz="2" w:color="auto"/>
            </w:tcBorders>
            <w:tcMar>
              <w:top w:type="dxa" w:w="320"/>
              <w:right w:type="dxa" w:w="320"/>
              <w:bottom w:type="dxa" w:w="160"/>
            </w:tcMar>
            <w:vAlign w:val="top"/>
          </w:tcPr>
          <w:p>
            <w:pPr>
              <w:pStyle w:val="Para 015"/>
            </w:pPr>
            <w:r>
              <w:t xml:space="preserve">Cưỡng chế</w:t>
              <w:br w:clear="none"/>
            </w:r>
          </w:p>
        </w:tc>
        <w:tc>
          <w:tcPr>
            <w:tcW w:type="auto" w:w="0"/>
            <w:tcBorders>
              <w:bottom w:val="single" w:sz="2" w:color="auto"/>
            </w:tcBorders>
            <w:tcMar>
              <w:top w:type="dxa" w:w="320"/>
              <w:right w:type="dxa" w:w="320"/>
              <w:bottom w:type="dxa" w:w="160"/>
            </w:tcMar>
            <w:vAlign w:val="top"/>
          </w:tcPr>
          <w:p>
            <w:pPr>
              <w:pStyle w:val="Para 015"/>
            </w:pPr>
            <w:r>
              <w:t xml:space="preserve">Uy quyền</w:t>
              <w:br w:clear="none"/>
            </w:r>
          </w:p>
        </w:tc>
      </w:tr>
      <w:tr>
        <w:tc>
          <w:tcPr>
            <w:tcW w:type="auto" w:w="0"/>
            <w:tcBorders>
              <w:top w:val="single" w:sz="2" w:color="auto"/>
            </w:tcBorders>
            <w:tcMar>
              <w:top w:type="dxa" w:w="160"/>
              <w:right w:type="dxa" w:w="320"/>
              <w:bottom w:type="dxa" w:w="160"/>
            </w:tcMar>
            <w:vAlign w:val="top"/>
          </w:tcPr>
          <w:p>
            <w:pPr>
              <w:pStyle w:val="Para 015"/>
            </w:pPr>
            <w:r>
              <w:t xml:space="preserve">Phương thức hoạt động của nhà lãnh đạo</w:t>
              <w:br w:clear="none"/>
            </w:r>
          </w:p>
        </w:tc>
        <w:tc>
          <w:tcPr>
            <w:tcW w:type="auto" w:w="0"/>
            <w:tcBorders>
              <w:top w:val="single" w:sz="2" w:color="auto"/>
            </w:tcBorders>
            <w:tcMar>
              <w:top w:type="dxa" w:w="160"/>
              <w:right w:type="dxa" w:w="320"/>
              <w:bottom w:type="dxa" w:w="160"/>
            </w:tcMar>
            <w:vAlign w:val="top"/>
          </w:tcPr>
          <w:p>
            <w:pPr>
              <w:pStyle w:val="Para 004"/>
            </w:pPr>
            <w:r>
              <w:t xml:space="preserve">Đòi hỏi sự tuân thủ ngay lập tức</w:t>
              <w:br w:clear="none"/>
            </w:r>
          </w:p>
        </w:tc>
        <w:tc>
          <w:tcPr>
            <w:tcW w:type="auto" w:w="0"/>
            <w:tcBorders>
              <w:top w:val="single" w:sz="2" w:color="auto"/>
            </w:tcBorders>
            <w:tcMar>
              <w:top w:type="dxa" w:w="160"/>
              <w:right w:type="dxa" w:w="320"/>
              <w:bottom w:type="dxa" w:w="160"/>
            </w:tcMar>
            <w:vAlign w:val="top"/>
          </w:tcPr>
          <w:p>
            <w:pPr>
              <w:pStyle w:val="Para 004"/>
            </w:pPr>
            <w:r>
              <w:t xml:space="preserve">Huy động mọi người hướng tới một tầm nhìn</w:t>
              <w:br w:clear="none"/>
            </w:r>
          </w:p>
        </w:tc>
      </w:tr>
      <w:tr>
        <w:tc>
          <w:tcPr>
            <w:tcW w:type="auto" w:w="0"/>
            <w:tcMar>
              <w:top w:type="dxa" w:w="160"/>
              <w:right w:type="dxa" w:w="320"/>
              <w:bottom w:type="dxa" w:w="160"/>
            </w:tcMar>
            <w:vAlign w:val="top"/>
          </w:tcPr>
          <w:p>
            <w:pPr>
              <w:pStyle w:val="Para 015"/>
            </w:pPr>
            <w:r>
              <w:t xml:space="preserve">Phong cách trong một câu</w:t>
              <w:br w:clear="none"/>
            </w:r>
          </w:p>
        </w:tc>
        <w:tc>
          <w:tcPr>
            <w:tcW w:type="auto" w:w="0"/>
            <w:tcMar>
              <w:top w:type="dxa" w:w="160"/>
              <w:right w:type="dxa" w:w="320"/>
              <w:bottom w:type="dxa" w:w="160"/>
            </w:tcMar>
            <w:vAlign w:val="top"/>
          </w:tcPr>
          <w:p>
            <w:pPr>
              <w:pStyle w:val="Para 004"/>
            </w:pPr>
            <w:r>
              <w:t xml:space="preserve">“Làm những gì tôi bảo.”</w:t>
              <w:br w:clear="none"/>
            </w:r>
          </w:p>
        </w:tc>
        <w:tc>
          <w:tcPr>
            <w:tcW w:type="auto" w:w="0"/>
            <w:tcMar>
              <w:top w:type="dxa" w:w="160"/>
              <w:right w:type="dxa" w:w="320"/>
              <w:bottom w:type="dxa" w:w="160"/>
            </w:tcMar>
            <w:vAlign w:val="top"/>
          </w:tcPr>
          <w:p>
            <w:pPr>
              <w:pStyle w:val="Para 004"/>
            </w:pPr>
            <w:r>
              <w:t xml:space="preserve">“Đi theo tôi.”</w:t>
              <w:br w:clear="none"/>
            </w:r>
          </w:p>
        </w:tc>
      </w:tr>
      <w:tr>
        <w:tc>
          <w:tcPr>
            <w:tcW w:type="auto" w:w="0"/>
            <w:tcMar>
              <w:top w:type="dxa" w:w="160"/>
              <w:right w:type="dxa" w:w="320"/>
              <w:bottom w:type="dxa" w:w="160"/>
            </w:tcMar>
            <w:vAlign w:val="top"/>
          </w:tcPr>
          <w:p>
            <w:pPr>
              <w:pStyle w:val="Para 015"/>
            </w:pPr>
            <w:r>
              <w:t xml:space="preserve">Các năng lực trí tuệ cảm xúc nền tảng</w:t>
              <w:br w:clear="none"/>
            </w:r>
          </w:p>
        </w:tc>
        <w:tc>
          <w:tcPr>
            <w:tcW w:type="auto" w:w="0"/>
            <w:tcMar>
              <w:top w:type="dxa" w:w="160"/>
              <w:right w:type="dxa" w:w="320"/>
              <w:bottom w:type="dxa" w:w="160"/>
            </w:tcMar>
            <w:vAlign w:val="top"/>
          </w:tcPr>
          <w:p>
            <w:pPr>
              <w:pStyle w:val="Para 004"/>
            </w:pPr>
            <w:r>
              <w:t xml:space="preserve">Khát vọng đạt thành tích, chủ động, tự kiểm soát</w:t>
              <w:br w:clear="none"/>
            </w:r>
          </w:p>
        </w:tc>
        <w:tc>
          <w:tcPr>
            <w:tcW w:type="auto" w:w="0"/>
            <w:tcMar>
              <w:top w:type="dxa" w:w="160"/>
              <w:right w:type="dxa" w:w="320"/>
              <w:bottom w:type="dxa" w:w="160"/>
            </w:tcMar>
            <w:vAlign w:val="top"/>
          </w:tcPr>
          <w:p>
            <w:pPr>
              <w:pStyle w:val="Para 004"/>
            </w:pPr>
            <w:r>
              <w:t xml:space="preserve">Tự tin, đồng cảm, khả năng xúc tác cho sự thay đổi</w:t>
              <w:br w:clear="none"/>
            </w:r>
          </w:p>
        </w:tc>
      </w:tr>
      <w:tr>
        <w:tc>
          <w:tcPr>
            <w:tcW w:type="auto" w:w="0"/>
            <w:tcMar>
              <w:top w:type="dxa" w:w="160"/>
              <w:right w:type="dxa" w:w="320"/>
              <w:bottom w:type="dxa" w:w="160"/>
            </w:tcMar>
            <w:vAlign w:val="top"/>
          </w:tcPr>
          <w:p>
            <w:pPr>
              <w:pStyle w:val="Para 015"/>
            </w:pPr>
            <w:r>
              <w:t xml:space="preserve">Thời điểm phong cách này phát huy hiệu quả nhất</w:t>
              <w:br w:clear="none"/>
            </w:r>
          </w:p>
        </w:tc>
        <w:tc>
          <w:tcPr>
            <w:tcW w:type="auto" w:w="0"/>
            <w:tcMar>
              <w:top w:type="dxa" w:w="160"/>
              <w:right w:type="dxa" w:w="320"/>
              <w:bottom w:type="dxa" w:w="160"/>
            </w:tcMar>
            <w:vAlign w:val="top"/>
          </w:tcPr>
          <w:p>
            <w:pPr>
              <w:pStyle w:val="Para 004"/>
            </w:pPr>
            <w:r>
              <w:t xml:space="preserve">Trong khủng hoảng, để khởi động sự chuyển biến, hoặc với những nhân viên có vấn đề</w:t>
              <w:br w:clear="none"/>
            </w:r>
          </w:p>
        </w:tc>
        <w:tc>
          <w:tcPr>
            <w:tcW w:type="auto" w:w="0"/>
            <w:tcMar>
              <w:top w:type="dxa" w:w="160"/>
              <w:right w:type="dxa" w:w="320"/>
              <w:bottom w:type="dxa" w:w="160"/>
            </w:tcMar>
            <w:vAlign w:val="top"/>
          </w:tcPr>
          <w:p>
            <w:pPr>
              <w:pStyle w:val="Para 004"/>
            </w:pPr>
            <w:r>
              <w:t xml:space="preserve">Khi những thay đổi đòi hỏi một tầm nhìn mới, hoặc khi cần một hướng đi rõ ràng</w:t>
              <w:br w:clear="none"/>
            </w:r>
          </w:p>
        </w:tc>
      </w:tr>
      <w:tr>
        <w:tc>
          <w:tcPr>
            <w:tcW w:type="auto" w:w="0"/>
            <w:tcBorders>
              <w:bottom w:val="single" w:sz="2" w:color="auto"/>
            </w:tcBorders>
            <w:tcMar>
              <w:top w:type="dxa" w:w="160"/>
              <w:right w:type="dxa" w:w="320"/>
              <w:bottom w:type="dxa" w:w="160"/>
            </w:tcMar>
            <w:vAlign w:val="top"/>
          </w:tcPr>
          <w:p>
            <w:pPr>
              <w:pStyle w:val="Para 015"/>
            </w:pPr>
            <w:r>
              <w:t xml:space="preserve">Tác động tổng thể đến bầu không khí</w:t>
              <w:br w:clear="none"/>
            </w:r>
          </w:p>
        </w:tc>
        <w:tc>
          <w:tcPr>
            <w:tcW w:type="auto" w:w="0"/>
            <w:tcBorders>
              <w:bottom w:val="single" w:sz="2" w:color="auto"/>
            </w:tcBorders>
            <w:tcMar>
              <w:top w:type="dxa" w:w="160"/>
              <w:right w:type="dxa" w:w="320"/>
              <w:bottom w:type="dxa" w:w="160"/>
            </w:tcMar>
            <w:vAlign w:val="top"/>
          </w:tcPr>
          <w:p>
            <w:pPr>
              <w:pStyle w:val="Para 004"/>
            </w:pPr>
            <w:r>
              <w:t xml:space="preserve">Tiêu cực</w:t>
              <w:br w:clear="none"/>
            </w:r>
          </w:p>
        </w:tc>
        <w:tc>
          <w:tcPr>
            <w:tcW w:type="auto" w:w="0"/>
            <w:tcBorders>
              <w:bottom w:val="single" w:sz="2" w:color="auto"/>
            </w:tcBorders>
            <w:tcMar>
              <w:top w:type="dxa" w:w="160"/>
              <w:right w:type="dxa" w:w="320"/>
              <w:bottom w:type="dxa" w:w="160"/>
            </w:tcMar>
            <w:vAlign w:val="top"/>
          </w:tcPr>
          <w:p>
            <w:pPr>
              <w:pStyle w:val="Para 004"/>
            </w:pPr>
            <w:r>
              <w:t xml:space="preserve">Tích cực mạnh mẽ nhất</w:t>
              <w:br w:clear="none"/>
            </w:r>
          </w:p>
        </w:tc>
      </w:tr>
    </w:tbl>
    <w:tbl>
      <w:tblPr>
        <w:tblW w:type="pct" w:w="5000"/>
      </w:tblPr>
      <w:tr>
        <w:tc>
          <w:tcPr>
            <w:tcW w:type="auto" w:w="0"/>
            <w:tcBorders>
              <w:bottom w:val="single" w:sz="2" w:color="auto"/>
            </w:tcBorders>
            <w:tcMar>
              <w:top w:type="dxa" w:w="320"/>
              <w:right w:type="dxa" w:w="320"/>
              <w:bottom w:type="dxa" w:w="160"/>
            </w:tcMar>
            <w:vAlign w:val="top"/>
          </w:tcPr>
          <w:p>
            <w:pPr>
              <w:pStyle w:val="22 Block"/>
            </w:pPr>
          </w:p>
        </w:tc>
        <w:tc>
          <w:tcPr>
            <w:tcW w:type="auto" w:w="0"/>
            <w:tcBorders>
              <w:bottom w:val="single" w:sz="2" w:color="auto"/>
            </w:tcBorders>
            <w:tcMar>
              <w:top w:type="dxa" w:w="320"/>
              <w:right w:type="dxa" w:w="320"/>
              <w:bottom w:type="dxa" w:w="160"/>
            </w:tcMar>
            <w:vAlign w:val="top"/>
          </w:tcPr>
          <w:p>
            <w:pPr>
              <w:pStyle w:val="Para 015"/>
            </w:pPr>
            <w:r>
              <w:t xml:space="preserve">Gắn kết (Affiliative)</w:t>
              <w:br w:clear="none"/>
            </w:r>
          </w:p>
        </w:tc>
        <w:tc>
          <w:tcPr>
            <w:tcW w:type="auto" w:w="0"/>
            <w:tcBorders>
              <w:bottom w:val="single" w:sz="2" w:color="auto"/>
            </w:tcBorders>
            <w:tcMar>
              <w:top w:type="dxa" w:w="320"/>
              <w:right w:type="dxa" w:w="320"/>
              <w:bottom w:type="dxa" w:w="160"/>
            </w:tcMar>
            <w:vAlign w:val="top"/>
          </w:tcPr>
          <w:p>
            <w:pPr>
              <w:pStyle w:val="Para 015"/>
            </w:pPr>
            <w:r>
              <w:t xml:space="preserve">Dân chủ (Democratic)</w:t>
              <w:br w:clear="none"/>
            </w:r>
          </w:p>
        </w:tc>
      </w:tr>
      <w:tr>
        <w:tc>
          <w:tcPr>
            <w:tcW w:type="auto" w:w="0"/>
            <w:tcBorders>
              <w:top w:val="single" w:sz="2" w:color="auto"/>
            </w:tcBorders>
            <w:tcMar>
              <w:top w:type="dxa" w:w="160"/>
              <w:right w:type="dxa" w:w="320"/>
              <w:bottom w:type="dxa" w:w="160"/>
            </w:tcMar>
            <w:vAlign w:val="top"/>
          </w:tcPr>
          <w:p>
            <w:pPr>
              <w:pStyle w:val="Para 015"/>
            </w:pPr>
            <w:r>
              <w:t xml:space="preserve">Cách thức làm việc của nhà lãnh đạo</w:t>
              <w:br w:clear="none"/>
            </w:r>
          </w:p>
        </w:tc>
        <w:tc>
          <w:tcPr>
            <w:tcW w:type="auto" w:w="0"/>
            <w:tcBorders>
              <w:top w:val="single" w:sz="2" w:color="auto"/>
            </w:tcBorders>
            <w:tcMar>
              <w:top w:type="dxa" w:w="160"/>
              <w:right w:type="dxa" w:w="320"/>
              <w:bottom w:type="dxa" w:w="160"/>
            </w:tcMar>
            <w:vAlign w:val="top"/>
          </w:tcPr>
          <w:p>
            <w:pPr>
              <w:pStyle w:val="Para 004"/>
            </w:pPr>
            <w:r>
              <w:t xml:space="preserve">Tạo sự hòa hợp và gắn kết cảm xúc</w:t>
              <w:br w:clear="none"/>
            </w:r>
          </w:p>
        </w:tc>
        <w:tc>
          <w:tcPr>
            <w:tcW w:type="auto" w:w="0"/>
            <w:tcBorders>
              <w:top w:val="single" w:sz="2" w:color="auto"/>
            </w:tcBorders>
            <w:tcMar>
              <w:top w:type="dxa" w:w="160"/>
              <w:right w:type="dxa" w:w="320"/>
              <w:bottom w:type="dxa" w:w="160"/>
            </w:tcMar>
            <w:vAlign w:val="top"/>
          </w:tcPr>
          <w:p>
            <w:pPr>
              <w:pStyle w:val="Para 004"/>
            </w:pPr>
            <w:r>
              <w:t xml:space="preserve">Xây dựng sự đồng thuận thông qua tham gia</w:t>
              <w:br w:clear="none"/>
            </w:r>
          </w:p>
        </w:tc>
      </w:tr>
      <w:tr>
        <w:tc>
          <w:tcPr>
            <w:tcW w:type="auto" w:w="0"/>
            <w:tcMar>
              <w:top w:type="dxa" w:w="160"/>
              <w:right w:type="dxa" w:w="320"/>
              <w:bottom w:type="dxa" w:w="160"/>
            </w:tcMar>
            <w:vAlign w:val="top"/>
          </w:tcPr>
          <w:p>
            <w:pPr>
              <w:pStyle w:val="Para 015"/>
            </w:pPr>
            <w:r>
              <w:t xml:space="preserve">Cụm từ mô tả phong cách</w:t>
              <w:br w:clear="none"/>
            </w:r>
          </w:p>
        </w:tc>
        <w:tc>
          <w:tcPr>
            <w:tcW w:type="auto" w:w="0"/>
            <w:tcMar>
              <w:top w:type="dxa" w:w="160"/>
              <w:right w:type="dxa" w:w="320"/>
              <w:bottom w:type="dxa" w:w="160"/>
            </w:tcMar>
            <w:vAlign w:val="top"/>
          </w:tcPr>
          <w:p>
            <w:pPr>
              <w:pStyle w:val="Para 004"/>
            </w:pPr>
            <w:r>
              <w:t xml:space="preserve">“Mọi người là trên hết.”</w:t>
              <w:br w:clear="none"/>
            </w:r>
          </w:p>
        </w:tc>
        <w:tc>
          <w:tcPr>
            <w:tcW w:type="auto" w:w="0"/>
            <w:tcMar>
              <w:top w:type="dxa" w:w="160"/>
              <w:right w:type="dxa" w:w="320"/>
              <w:bottom w:type="dxa" w:w="160"/>
            </w:tcMar>
            <w:vAlign w:val="top"/>
          </w:tcPr>
          <w:p>
            <w:pPr>
              <w:pStyle w:val="Para 004"/>
            </w:pPr>
            <w:r>
              <w:t xml:space="preserve">“Bạn nghĩ sao?”</w:t>
              <w:br w:clear="none"/>
            </w:r>
          </w:p>
        </w:tc>
      </w:tr>
      <w:tr>
        <w:tc>
          <w:tcPr>
            <w:tcW w:type="auto" w:w="0"/>
            <w:tcMar>
              <w:top w:type="dxa" w:w="160"/>
              <w:right w:type="dxa" w:w="320"/>
              <w:bottom w:type="dxa" w:w="160"/>
            </w:tcMar>
            <w:vAlign w:val="top"/>
          </w:tcPr>
          <w:p>
            <w:pPr>
              <w:pStyle w:val="Para 015"/>
            </w:pPr>
            <w:r>
              <w:t xml:space="preserve">Năng lực trí tuệ cảm xúc nền tảng</w:t>
              <w:br w:clear="none"/>
            </w:r>
          </w:p>
        </w:tc>
        <w:tc>
          <w:tcPr>
            <w:tcW w:type="auto" w:w="0"/>
            <w:tcMar>
              <w:top w:type="dxa" w:w="160"/>
              <w:right w:type="dxa" w:w="320"/>
              <w:bottom w:type="dxa" w:w="160"/>
            </w:tcMar>
            <w:vAlign w:val="top"/>
          </w:tcPr>
          <w:p>
            <w:pPr>
              <w:pStyle w:val="Para 004"/>
            </w:pPr>
            <w:r>
              <w:t xml:space="preserve">Đồng cảm, xây dựng quan hệ, giao tiếp</w:t>
              <w:br w:clear="none"/>
            </w:r>
          </w:p>
        </w:tc>
        <w:tc>
          <w:tcPr>
            <w:tcW w:type="auto" w:w="0"/>
            <w:tcMar>
              <w:top w:type="dxa" w:w="160"/>
              <w:right w:type="dxa" w:w="320"/>
              <w:bottom w:type="dxa" w:w="160"/>
            </w:tcMar>
            <w:vAlign w:val="top"/>
          </w:tcPr>
          <w:p>
            <w:pPr>
              <w:pStyle w:val="Para 004"/>
            </w:pPr>
            <w:r>
              <w:t xml:space="preserve">Hợp tác, lãnh đạo nhóm, giao tiếp</w:t>
              <w:br w:clear="none"/>
            </w:r>
          </w:p>
        </w:tc>
      </w:tr>
      <w:tr>
        <w:tc>
          <w:tcPr>
            <w:tcW w:type="auto" w:w="0"/>
            <w:tcMar>
              <w:top w:type="dxa" w:w="160"/>
              <w:right w:type="dxa" w:w="320"/>
              <w:bottom w:type="dxa" w:w="160"/>
            </w:tcMar>
            <w:vAlign w:val="top"/>
          </w:tcPr>
          <w:p>
            <w:pPr>
              <w:pStyle w:val="Para 015"/>
            </w:pPr>
            <w:r>
              <w:t xml:space="preserve">Khi phong cách này phát huy hiệu quả nhất</w:t>
              <w:br w:clear="none"/>
            </w:r>
          </w:p>
        </w:tc>
        <w:tc>
          <w:tcPr>
            <w:tcW w:type="auto" w:w="0"/>
            <w:tcMar>
              <w:top w:type="dxa" w:w="160"/>
              <w:right w:type="dxa" w:w="320"/>
              <w:bottom w:type="dxa" w:w="160"/>
            </w:tcMar>
            <w:vAlign w:val="top"/>
          </w:tcPr>
          <w:p>
            <w:pPr>
              <w:pStyle w:val="Para 004"/>
            </w:pPr>
            <w:r>
              <w:t xml:space="preserve">Để hàn gắn rạn nứt trong nhóm hoặc tạo động lực cho mọi người trong hoàn cảnh căng thẳng</w:t>
              <w:br w:clear="none"/>
            </w:r>
          </w:p>
        </w:tc>
        <w:tc>
          <w:tcPr>
            <w:tcW w:type="auto" w:w="0"/>
            <w:tcMar>
              <w:top w:type="dxa" w:w="160"/>
              <w:right w:type="dxa" w:w="320"/>
              <w:bottom w:type="dxa" w:w="160"/>
            </w:tcMar>
            <w:vAlign w:val="top"/>
          </w:tcPr>
          <w:p>
            <w:pPr>
              <w:pStyle w:val="Para 004"/>
            </w:pPr>
            <w:r>
              <w:t xml:space="preserve">Để tạo sự ủng hộ hoặc đồng thuận, hoặc thu thập ý kiến từ những nhân viên giỏi</w:t>
              <w:br w:clear="none"/>
            </w:r>
          </w:p>
        </w:tc>
      </w:tr>
      <w:tr>
        <w:tc>
          <w:tcPr>
            <w:tcW w:type="auto" w:w="0"/>
            <w:tcBorders>
              <w:bottom w:val="single" w:sz="2" w:color="auto"/>
            </w:tcBorders>
            <w:tcMar>
              <w:top w:type="dxa" w:w="160"/>
              <w:right w:type="dxa" w:w="320"/>
              <w:bottom w:type="dxa" w:w="160"/>
            </w:tcMar>
            <w:vAlign w:val="top"/>
          </w:tcPr>
          <w:p>
            <w:pPr>
              <w:pStyle w:val="Para 015"/>
            </w:pPr>
            <w:r>
              <w:t xml:space="preserve">Tác động tổng thể đến bầu không khí</w:t>
              <w:br w:clear="none"/>
            </w:r>
          </w:p>
        </w:tc>
        <w:tc>
          <w:tcPr>
            <w:tcW w:type="auto" w:w="0"/>
            <w:tcBorders>
              <w:bottom w:val="single" w:sz="2" w:color="auto"/>
            </w:tcBorders>
            <w:tcMar>
              <w:top w:type="dxa" w:w="160"/>
              <w:right w:type="dxa" w:w="320"/>
              <w:bottom w:type="dxa" w:w="160"/>
            </w:tcMar>
            <w:vAlign w:val="top"/>
          </w:tcPr>
          <w:p>
            <w:pPr>
              <w:pStyle w:val="Para 004"/>
            </w:pPr>
            <w:r>
              <w:t xml:space="preserve">Tích cực</w:t>
              <w:br w:clear="none"/>
            </w:r>
          </w:p>
        </w:tc>
        <w:tc>
          <w:tcPr>
            <w:tcW w:type="auto" w:w="0"/>
            <w:tcBorders>
              <w:bottom w:val="single" w:sz="2" w:color="auto"/>
            </w:tcBorders>
            <w:tcMar>
              <w:top w:type="dxa" w:w="160"/>
              <w:right w:type="dxa" w:w="320"/>
              <w:bottom w:type="dxa" w:w="160"/>
            </w:tcMar>
            <w:vAlign w:val="top"/>
          </w:tcPr>
          <w:p>
            <w:pPr>
              <w:pStyle w:val="Para 004"/>
            </w:pPr>
            <w:r>
              <w:t xml:space="preserve">Tích cực</w:t>
              <w:br w:clear="none"/>
            </w:r>
          </w:p>
        </w:tc>
      </w:tr>
    </w:tbl>
    <w:tbl>
      <w:tblPr>
        <w:tblW w:type="pct" w:w="5000"/>
      </w:tblPr>
      <w:tr>
        <w:tc>
          <w:tcPr>
            <w:tcW w:type="auto" w:w="0"/>
            <w:tcBorders>
              <w:bottom w:val="single" w:sz="2" w:color="auto"/>
            </w:tcBorders>
            <w:tcMar>
              <w:top w:type="dxa" w:w="320"/>
              <w:right w:type="dxa" w:w="320"/>
              <w:bottom w:type="dxa" w:w="160"/>
            </w:tcMar>
            <w:vAlign w:val="top"/>
          </w:tcPr>
          <w:p>
            <w:pPr>
              <w:pStyle w:val="22 Block"/>
            </w:pPr>
          </w:p>
        </w:tc>
        <w:tc>
          <w:tcPr>
            <w:tcW w:type="auto" w:w="0"/>
            <w:tcBorders>
              <w:bottom w:val="single" w:sz="2" w:color="auto"/>
            </w:tcBorders>
            <w:tcMar>
              <w:top w:type="dxa" w:w="320"/>
              <w:right w:type="dxa" w:w="320"/>
              <w:bottom w:type="dxa" w:w="160"/>
            </w:tcMar>
            <w:vAlign w:val="top"/>
          </w:tcPr>
          <w:p>
            <w:pPr>
              <w:pStyle w:val="Para 015"/>
            </w:pPr>
            <w:r>
              <w:t xml:space="preserve">Tạo nhịp độ (Pacesetting)</w:t>
              <w:br w:clear="none"/>
            </w:r>
          </w:p>
        </w:tc>
        <w:tc>
          <w:tcPr>
            <w:tcW w:type="auto" w:w="0"/>
            <w:tcBorders>
              <w:bottom w:val="single" w:sz="2" w:color="auto"/>
            </w:tcBorders>
            <w:tcMar>
              <w:top w:type="dxa" w:w="320"/>
              <w:right w:type="dxa" w:w="320"/>
              <w:bottom w:type="dxa" w:w="160"/>
            </w:tcMar>
            <w:vAlign w:val="top"/>
          </w:tcPr>
          <w:p>
            <w:pPr>
              <w:pStyle w:val="Para 015"/>
            </w:pPr>
            <w:r>
              <w:t xml:space="preserve">Huấn luyện (Coaching)</w:t>
              <w:br w:clear="none"/>
            </w:r>
          </w:p>
        </w:tc>
      </w:tr>
      <w:tr>
        <w:tc>
          <w:tcPr>
            <w:tcW w:type="auto" w:w="0"/>
            <w:tcBorders>
              <w:top w:val="single" w:sz="2" w:color="auto"/>
            </w:tcBorders>
            <w:tcMar>
              <w:top w:type="dxa" w:w="160"/>
              <w:right w:type="dxa" w:w="320"/>
              <w:bottom w:type="dxa" w:w="160"/>
            </w:tcMar>
            <w:vAlign w:val="top"/>
          </w:tcPr>
          <w:p>
            <w:pPr>
              <w:pStyle w:val="Para 015"/>
            </w:pPr>
            <w:r>
              <w:t xml:space="preserve">Cách thức làm việc của nhà lãnh đạo</w:t>
              <w:br w:clear="none"/>
            </w:r>
          </w:p>
        </w:tc>
        <w:tc>
          <w:tcPr>
            <w:tcW w:type="auto" w:w="0"/>
            <w:tcBorders>
              <w:top w:val="single" w:sz="2" w:color="auto"/>
            </w:tcBorders>
            <w:tcMar>
              <w:top w:type="dxa" w:w="160"/>
              <w:right w:type="dxa" w:w="320"/>
              <w:bottom w:type="dxa" w:w="160"/>
            </w:tcMar>
            <w:vAlign w:val="top"/>
          </w:tcPr>
          <w:p>
            <w:pPr>
              <w:pStyle w:val="Para 004"/>
            </w:pPr>
            <w:r>
              <w:t xml:space="preserve">Đặt ra các tiêu chuẩn cao về hiệu suất làm việc</w:t>
              <w:br w:clear="none"/>
            </w:r>
          </w:p>
        </w:tc>
        <w:tc>
          <w:tcPr>
            <w:tcW w:type="auto" w:w="0"/>
            <w:tcBorders>
              <w:top w:val="single" w:sz="2" w:color="auto"/>
            </w:tcBorders>
            <w:tcMar>
              <w:top w:type="dxa" w:w="160"/>
              <w:right w:type="dxa" w:w="320"/>
              <w:bottom w:type="dxa" w:w="160"/>
            </w:tcMar>
            <w:vAlign w:val="top"/>
          </w:tcPr>
          <w:p>
            <w:pPr>
              <w:pStyle w:val="Para 004"/>
            </w:pPr>
            <w:r>
              <w:t xml:space="preserve">Phát triển nhân viên cho tương lai</w:t>
              <w:br w:clear="none"/>
            </w:r>
          </w:p>
        </w:tc>
      </w:tr>
      <w:tr>
        <w:tc>
          <w:tcPr>
            <w:tcW w:type="auto" w:w="0"/>
            <w:tcMar>
              <w:top w:type="dxa" w:w="160"/>
              <w:right w:type="dxa" w:w="320"/>
              <w:bottom w:type="dxa" w:w="160"/>
            </w:tcMar>
            <w:vAlign w:val="top"/>
          </w:tcPr>
          <w:p>
            <w:pPr>
              <w:pStyle w:val="Para 015"/>
            </w:pPr>
            <w:r>
              <w:t xml:space="preserve">Cụm từ mô tả phong cách</w:t>
              <w:br w:clear="none"/>
            </w:r>
          </w:p>
        </w:tc>
        <w:tc>
          <w:tcPr>
            <w:tcW w:type="auto" w:w="0"/>
            <w:tcMar>
              <w:top w:type="dxa" w:w="160"/>
              <w:right w:type="dxa" w:w="320"/>
              <w:bottom w:type="dxa" w:w="160"/>
            </w:tcMar>
            <w:vAlign w:val="top"/>
          </w:tcPr>
          <w:p>
            <w:pPr>
              <w:pStyle w:val="Para 004"/>
            </w:pPr>
            <w:r>
              <w:t xml:space="preserve">“Làm như tôi, ngay bây giờ.”</w:t>
              <w:br w:clear="none"/>
            </w:r>
          </w:p>
        </w:tc>
        <w:tc>
          <w:tcPr>
            <w:tcW w:type="auto" w:w="0"/>
            <w:tcMar>
              <w:top w:type="dxa" w:w="160"/>
              <w:right w:type="dxa" w:w="320"/>
              <w:bottom w:type="dxa" w:w="160"/>
            </w:tcMar>
            <w:vAlign w:val="top"/>
          </w:tcPr>
          <w:p>
            <w:pPr>
              <w:pStyle w:val="Para 004"/>
            </w:pPr>
            <w:r>
              <w:t xml:space="preserve">“Thử cách này đi.”</w:t>
              <w:br w:clear="none"/>
            </w:r>
          </w:p>
        </w:tc>
      </w:tr>
      <w:tr>
        <w:tc>
          <w:tcPr>
            <w:tcW w:type="auto" w:w="0"/>
            <w:tcMar>
              <w:top w:type="dxa" w:w="160"/>
              <w:right w:type="dxa" w:w="320"/>
              <w:bottom w:type="dxa" w:w="160"/>
            </w:tcMar>
            <w:vAlign w:val="top"/>
          </w:tcPr>
          <w:p>
            <w:pPr>
              <w:pStyle w:val="Para 015"/>
            </w:pPr>
            <w:r>
              <w:t xml:space="preserve">Năng lực trí tuệ cảm xúc nền tảng</w:t>
              <w:br w:clear="none"/>
            </w:r>
          </w:p>
        </w:tc>
        <w:tc>
          <w:tcPr>
            <w:tcW w:type="auto" w:w="0"/>
            <w:tcMar>
              <w:top w:type="dxa" w:w="160"/>
              <w:right w:type="dxa" w:w="320"/>
              <w:bottom w:type="dxa" w:w="160"/>
            </w:tcMar>
            <w:vAlign w:val="top"/>
          </w:tcPr>
          <w:p>
            <w:pPr>
              <w:pStyle w:val="Para 004"/>
            </w:pPr>
            <w:r>
              <w:t xml:space="preserve">Tận tâm, khát vọng thành công, chủ động</w:t>
              <w:br w:clear="none"/>
            </w:r>
          </w:p>
        </w:tc>
        <w:tc>
          <w:tcPr>
            <w:tcW w:type="auto" w:w="0"/>
            <w:tcMar>
              <w:top w:type="dxa" w:w="160"/>
              <w:right w:type="dxa" w:w="320"/>
              <w:bottom w:type="dxa" w:w="160"/>
            </w:tcMar>
            <w:vAlign w:val="top"/>
          </w:tcPr>
          <w:p>
            <w:pPr>
              <w:pStyle w:val="Para 004"/>
            </w:pPr>
            <w:r>
              <w:t xml:space="preserve">Phát triển người khác, đồng cảm, tự nhận thức</w:t>
              <w:br w:clear="none"/>
            </w:r>
          </w:p>
        </w:tc>
      </w:tr>
      <w:tr>
        <w:tc>
          <w:tcPr>
            <w:tcW w:type="auto" w:w="0"/>
            <w:tcMar>
              <w:top w:type="dxa" w:w="160"/>
              <w:right w:type="dxa" w:w="320"/>
              <w:bottom w:type="dxa" w:w="160"/>
            </w:tcMar>
            <w:vAlign w:val="top"/>
          </w:tcPr>
          <w:p>
            <w:pPr>
              <w:pStyle w:val="Para 015"/>
            </w:pPr>
            <w:r>
              <w:t xml:space="preserve">Khi phong cách này phát huy tác dụng tốt nhất</w:t>
              <w:br w:clear="none"/>
            </w:r>
          </w:p>
        </w:tc>
        <w:tc>
          <w:tcPr>
            <w:tcW w:type="auto" w:w="0"/>
            <w:tcMar>
              <w:top w:type="dxa" w:w="160"/>
              <w:right w:type="dxa" w:w="320"/>
              <w:bottom w:type="dxa" w:w="160"/>
            </w:tcMar>
            <w:vAlign w:val="top"/>
          </w:tcPr>
          <w:p>
            <w:pPr>
              <w:pStyle w:val="Para 004"/>
            </w:pPr>
            <w:r>
              <w:t xml:space="preserve">Để đạt được kết quả nhanh chóng từ một đội ngũ có động lực cao và năng lực tốt</w:t>
              <w:br w:clear="none"/>
            </w:r>
          </w:p>
        </w:tc>
        <w:tc>
          <w:tcPr>
            <w:tcW w:type="auto" w:w="0"/>
            <w:tcMar>
              <w:top w:type="dxa" w:w="160"/>
              <w:right w:type="dxa" w:w="320"/>
              <w:bottom w:type="dxa" w:w="160"/>
            </w:tcMar>
            <w:vAlign w:val="top"/>
          </w:tcPr>
          <w:p>
            <w:pPr>
              <w:pStyle w:val="Para 004"/>
            </w:pPr>
            <w:r>
              <w:t xml:space="preserve">Để giúp nhân viên cải thiện hiệu suất hoặc phát triển thế mạnh dài hạn</w:t>
              <w:br w:clear="none"/>
            </w:r>
          </w:p>
        </w:tc>
      </w:tr>
      <w:tr>
        <w:tc>
          <w:tcPr>
            <w:tcW w:type="auto" w:w="0"/>
            <w:tcBorders>
              <w:bottom w:val="single" w:sz="2" w:color="auto"/>
            </w:tcBorders>
            <w:tcMar>
              <w:top w:type="dxa" w:w="160"/>
              <w:right w:type="dxa" w:w="320"/>
              <w:bottom w:type="dxa" w:w="160"/>
            </w:tcMar>
            <w:vAlign w:val="top"/>
          </w:tcPr>
          <w:p>
            <w:pPr>
              <w:pStyle w:val="Para 015"/>
            </w:pPr>
            <w:r>
              <w:t xml:space="preserve">Tác động tổng thể đến bầu không khí làm việc</w:t>
              <w:br w:clear="none"/>
            </w:r>
          </w:p>
        </w:tc>
        <w:tc>
          <w:tcPr>
            <w:tcW w:type="auto" w:w="0"/>
            <w:tcBorders>
              <w:bottom w:val="single" w:sz="2" w:color="auto"/>
            </w:tcBorders>
            <w:tcMar>
              <w:top w:type="dxa" w:w="160"/>
              <w:right w:type="dxa" w:w="320"/>
              <w:bottom w:type="dxa" w:w="160"/>
            </w:tcMar>
            <w:vAlign w:val="top"/>
          </w:tcPr>
          <w:p>
            <w:pPr>
              <w:pStyle w:val="Para 004"/>
            </w:pPr>
            <w:r>
              <w:t xml:space="preserve">Tiêu cực</w:t>
              <w:br w:clear="none"/>
            </w:r>
          </w:p>
        </w:tc>
        <w:tc>
          <w:tcPr>
            <w:tcW w:type="auto" w:w="0"/>
            <w:tcBorders>
              <w:bottom w:val="single" w:sz="2" w:color="auto"/>
            </w:tcBorders>
            <w:tcMar>
              <w:top w:type="dxa" w:w="160"/>
              <w:right w:type="dxa" w:w="320"/>
              <w:bottom w:type="dxa" w:w="160"/>
            </w:tcMar>
            <w:vAlign w:val="top"/>
          </w:tcPr>
          <w:p>
            <w:pPr>
              <w:pStyle w:val="Para 004"/>
            </w:pPr>
            <w:r>
              <w:t xml:space="preserve">Tích cực</w:t>
              <w:br w:clear="none"/>
            </w:r>
          </w:p>
        </w:tc>
      </w:tr>
    </w:tbl>
    <w:p>
      <w:bookmarkStart w:id="553" w:name="Emotional_Intelligence__A_Primer"/>
      <w:pPr>
        <w:pStyle w:val="Para 157"/>
      </w:pPr>
      <w:r>
        <w:bookmarkStart w:id="554" w:name="page08_67"/>
        <w:t/>
        <w:bookmarkEnd w:id="554"/>
        <w:t>Trí tuệ cảm xúc: Những điều cơ bản</w:t>
      </w:r>
      <w:bookmarkEnd w:id="553"/>
    </w:p>
    <w:p>
      <w:pPr>
        <w:pStyle w:val="Para 077"/>
      </w:pPr>
      <w:r>
        <w:t>Trí tuệ cảm xúc—khả năng quản lý bản thân và các mối quan hệ một cách hiệu quả—bao gồm bốn năng lực cơ bản: tự nhận thức, tự quản lý, nhận thức xã hội và kỹ năng xã hội. Mỗi năng lực, đến lượt nó, được cấu thành từ các nhóm năng lực cụ thể. Dưới đây là danh sách các năng lực và các đặc điểm tương ứng của chúng.</w:t>
      </w:r>
    </w:p>
    <w:p>
      <w:bookmarkStart w:id="555" w:name="Self_Awareness"/>
      <w:pPr>
        <w:pStyle w:val="Para 102"/>
      </w:pPr>
      <w:r>
        <w:t>Tự nhận thức</w:t>
      </w:r>
      <w:bookmarkEnd w:id="555"/>
    </w:p>
    <w:p>
      <w:pPr>
        <w:numPr>
          <w:ilvl w:val="0"/>
          <w:numId w:val="15"/>
        </w:numPr>
        <w:pStyle w:val="Para 017"/>
      </w:pPr>
      <w:r>
        <w:rPr>
          <w:rStyle w:val="Text0"/>
        </w:rPr>
        <w:t>Nhận thức cảm xúc của bản</w:t>
      </w:r>
      <w:r>
        <w:t xml:space="preserve"> thân: khả năng đọc hiểu cảm xúc của chính mình cũng như nhận ra tác động của chúng đến hiệu suất công việc, các mối quan hệ và những điều tương tự.</w:t>
      </w:r>
    </w:p>
    <w:p>
      <w:pPr>
        <w:numPr>
          <w:ilvl w:val="0"/>
          <w:numId w:val="15"/>
        </w:numPr>
        <w:pStyle w:val="Para 017"/>
      </w:pPr>
      <w:r>
        <w:bookmarkStart w:id="556" w:name="page08_68"/>
        <w:t>Tự</w:t>
        <w:bookmarkEnd w:id="556"/>
      </w:r>
      <w:r>
        <w:rPr>
          <w:rStyle w:val="Text0"/>
        </w:rPr>
        <w:t> đánh giá chính xác:</w:t>
      </w:r>
      <w:r>
        <w:t xml:space="preserve"> đánh giá thực tế về điểm mạnh và hạn chế của bạn.</w:t>
      </w:r>
    </w:p>
    <w:p>
      <w:pPr>
        <w:numPr>
          <w:ilvl w:val="0"/>
          <w:numId w:val="15"/>
        </w:numPr>
        <w:pStyle w:val="Para 017"/>
      </w:pPr>
      <w:r>
        <w:rPr>
          <w:rStyle w:val="Text0"/>
        </w:rPr>
        <w:t>Tự tin: cảm nhận</w:t>
      </w:r>
      <w:r>
        <w:t xml:space="preserve"> mạnh mẽ và tích cực về giá trị bản thân.</w:t>
      </w:r>
    </w:p>
    <w:p>
      <w:bookmarkStart w:id="557" w:name="Self_Management"/>
      <w:pPr>
        <w:pStyle w:val="Para 102"/>
      </w:pPr>
      <w:r>
        <w:t>Tự quản lý</w:t>
      </w:r>
      <w:bookmarkEnd w:id="557"/>
    </w:p>
    <w:p>
      <w:pPr>
        <w:numPr>
          <w:ilvl w:val="0"/>
          <w:numId w:val="16"/>
        </w:numPr>
        <w:pStyle w:val="Para 017"/>
      </w:pPr>
      <w:r>
        <w:rPr>
          <w:rStyle w:val="Text0"/>
        </w:rPr>
        <w:t>Tự kiểm</w:t>
      </w:r>
      <w:r>
        <w:t xml:space="preserve"> soát: khả năng kiểm soát những cảm xúc và xung động gây rối.</w:t>
      </w:r>
    </w:p>
    <w:p>
      <w:pPr>
        <w:numPr>
          <w:ilvl w:val="0"/>
          <w:numId w:val="16"/>
        </w:numPr>
        <w:pStyle w:val="Para 017"/>
      </w:pPr>
      <w:r>
        <w:rPr>
          <w:rStyle w:val="Text0"/>
        </w:rPr>
        <w:t>Đáng tin cậy:</w:t>
      </w:r>
      <w:r>
        <w:t xml:space="preserve"> thể hiện nhất quán sự trung thực và chính trực.</w:t>
      </w:r>
    </w:p>
    <w:p>
      <w:pPr>
        <w:numPr>
          <w:ilvl w:val="0"/>
          <w:numId w:val="16"/>
        </w:numPr>
        <w:pStyle w:val="Para 017"/>
      </w:pPr>
      <w:r>
        <w:rPr>
          <w:rStyle w:val="Text0"/>
        </w:rPr>
        <w:t>Tận tâm: khả</w:t>
      </w:r>
      <w:r>
        <w:t xml:space="preserve"> năng quản lý bản thân và trách nhiệm của mình.</w:t>
      </w:r>
    </w:p>
    <w:p>
      <w:pPr>
        <w:numPr>
          <w:ilvl w:val="0"/>
          <w:numId w:val="16"/>
        </w:numPr>
        <w:pStyle w:val="Para 017"/>
      </w:pPr>
      <w:r>
        <w:bookmarkStart w:id="558" w:name="page08_69"/>
        <w:t/>
        <w:bookmarkEnd w:id="558"/>
      </w:r>
      <w:r>
        <w:rPr>
          <w:rStyle w:val="Text0"/>
        </w:rPr>
        <w:t>Thích ứng: kỹ</w:t>
      </w:r>
      <w:r>
        <w:t xml:space="preserve"> năng điều chỉnh theo những tình huống thay đổi và vượt qua trở ngại.</w:t>
      </w:r>
    </w:p>
    <w:p>
      <w:pPr>
        <w:numPr>
          <w:ilvl w:val="0"/>
          <w:numId w:val="16"/>
        </w:numPr>
        <w:pStyle w:val="Para 017"/>
      </w:pPr>
      <w:r>
        <w:rPr>
          <w:rStyle w:val="Text0"/>
        </w:rPr>
        <w:t>Định hướng thành tựu:</w:t>
      </w:r>
      <w:r>
        <w:t xml:space="preserve"> động lực để đạt được tiêu chuẩn xuất sắc nội tại.</w:t>
      </w:r>
    </w:p>
    <w:p>
      <w:pPr>
        <w:numPr>
          <w:ilvl w:val="0"/>
          <w:numId w:val="16"/>
        </w:numPr>
        <w:pStyle w:val="Para 017"/>
      </w:pPr>
      <w:r>
        <w:rPr>
          <w:rStyle w:val="Text0"/>
        </w:rPr>
        <w:t>Chủ động:</w:t>
      </w:r>
      <w:r>
        <w:t xml:space="preserve"> sự sẵn sàng nắm bắt cơ hội.</w:t>
      </w:r>
    </w:p>
    <w:p>
      <w:bookmarkStart w:id="559" w:name="Social_Awareness"/>
      <w:pPr>
        <w:pStyle w:val="Para 102"/>
      </w:pPr>
      <w:r>
        <w:t>Nhận thức xã hội</w:t>
      </w:r>
      <w:bookmarkEnd w:id="559"/>
    </w:p>
    <w:p>
      <w:pPr>
        <w:numPr>
          <w:ilvl w:val="0"/>
          <w:numId w:val="17"/>
        </w:numPr>
        <w:pStyle w:val="Para 017"/>
      </w:pPr>
      <w:r>
        <w:rPr>
          <w:rStyle w:val="Text0"/>
        </w:rPr>
        <w:t>Đồng cảm:</w:t>
      </w:r>
      <w:r>
        <w:t xml:space="preserve"> kỹ năng cảm nhận cảm xúc của người khác, hiểu quan điểm của họ và quan tâm tích cực đến những mối bận tâm của họ.</w:t>
      </w:r>
    </w:p>
    <w:p>
      <w:pPr>
        <w:numPr>
          <w:ilvl w:val="0"/>
          <w:numId w:val="17"/>
        </w:numPr>
        <w:pStyle w:val="Para 017"/>
      </w:pPr>
      <w:r>
        <w:rPr>
          <w:rStyle w:val="Text0"/>
        </w:rPr>
        <w:t>Nhận thức tổ chức: khả năng</w:t>
      </w:r>
      <w:r>
        <w:t xml:space="preserve"> nắm bắt các luồng chảy của đời sống tổ chức, xây dựng</w:t>
        <w:bookmarkStart w:id="560" w:name="page08_70"/>
        <w:t> </w:t>
        <w:bookmarkEnd w:id="560"/>
        <w:t>mạng lưới ra quyết định và điều hướng chính trị nội bộ.</w:t>
      </w:r>
    </w:p>
    <w:p>
      <w:pPr>
        <w:numPr>
          <w:ilvl w:val="0"/>
          <w:numId w:val="17"/>
        </w:numPr>
        <w:pStyle w:val="Para 017"/>
      </w:pPr>
      <w:r>
        <w:rPr>
          <w:rStyle w:val="Text0"/>
        </w:rPr>
        <w:t>Định hướng dịch vụ:</w:t>
      </w:r>
      <w:r>
        <w:t xml:space="preserve"> khả năng nhận biết và đáp ứng nhu cầu của khách hàng.</w:t>
      </w:r>
    </w:p>
    <w:p>
      <w:bookmarkStart w:id="561" w:name="Social_Skill"/>
      <w:pPr>
        <w:pStyle w:val="Para 102"/>
      </w:pPr>
      <w:r>
        <w:t>Kỹ năng xã hội</w:t>
      </w:r>
      <w:bookmarkEnd w:id="561"/>
    </w:p>
    <w:p>
      <w:pPr>
        <w:numPr>
          <w:ilvl w:val="0"/>
          <w:numId w:val="18"/>
        </w:numPr>
        <w:pStyle w:val="Para 017"/>
      </w:pPr>
      <w:r>
        <w:rPr>
          <w:rStyle w:val="Text0"/>
        </w:rPr>
        <w:t>Lãnh đạo tầm nhìn:</w:t>
      </w:r>
      <w:r>
        <w:t xml:space="preserve"> khả năng nắm quyền và truyền cảm hứng bằng một tầm nhìn hấp dẫn.</w:t>
      </w:r>
    </w:p>
    <w:p>
      <w:pPr>
        <w:numPr>
          <w:ilvl w:val="0"/>
          <w:numId w:val="18"/>
        </w:numPr>
        <w:pStyle w:val="Para 017"/>
      </w:pPr>
      <w:r>
        <w:rPr>
          <w:rStyle w:val="Text0"/>
        </w:rPr>
        <w:t>Ảnh hưởng:</w:t>
      </w:r>
      <w:r>
        <w:t xml:space="preserve"> khả năng sử dụng nhiều chiến thuật thuyết phục khác nhau.</w:t>
      </w:r>
    </w:p>
    <w:p>
      <w:pPr>
        <w:numPr>
          <w:ilvl w:val="0"/>
          <w:numId w:val="18"/>
        </w:numPr>
        <w:pStyle w:val="Para 017"/>
      </w:pPr>
      <w:r>
        <w:rPr>
          <w:rStyle w:val="Text0"/>
        </w:rPr>
        <w:t>Phát triển người</w:t>
      </w:r>
      <w:r>
        <w:t xml:space="preserve"> khác: thiên hướng củng cố khả năng của người khác thông qua phản hồi và hướng dẫn.</w:t>
      </w:r>
    </w:p>
    <w:p>
      <w:pPr>
        <w:numPr>
          <w:ilvl w:val="0"/>
          <w:numId w:val="18"/>
        </w:numPr>
        <w:pStyle w:val="Para 017"/>
      </w:pPr>
      <w:r>
        <w:bookmarkStart w:id="562" w:name="page08_71"/>
        <w:t>Giao</w:t>
        <w:bookmarkEnd w:id="562"/>
      </w:r>
      <w:r>
        <w:rPr>
          <w:rStyle w:val="Text0"/>
        </w:rPr>
        <w:t> tiếp: kỹ</w:t>
      </w:r>
      <w:r>
        <w:t xml:space="preserve"> năng lắng nghe và truyền tải những thông điệp rõ ràng, thuyết phục và phù hợp.</w:t>
      </w:r>
    </w:p>
    <w:p>
      <w:pPr>
        <w:numPr>
          <w:ilvl w:val="0"/>
          <w:numId w:val="18"/>
        </w:numPr>
        <w:pStyle w:val="Para 017"/>
      </w:pPr>
      <w:r>
        <w:rPr>
          <w:rStyle w:val="Text0"/>
        </w:rPr>
        <w:t>Chất xúc tác cho thay</w:t>
      </w:r>
      <w:r>
        <w:t xml:space="preserve"> đổi: sự thành thạo trong việc khởi xướng ý tưởng mới và dẫn dắt mọi người theo hướng mới.</w:t>
      </w:r>
    </w:p>
    <w:p>
      <w:pPr>
        <w:numPr>
          <w:ilvl w:val="0"/>
          <w:numId w:val="18"/>
        </w:numPr>
        <w:pStyle w:val="Para 017"/>
      </w:pPr>
      <w:r>
        <w:rPr>
          <w:rStyle w:val="Text0"/>
        </w:rPr>
        <w:t>Quản lý xung đột:</w:t>
      </w:r>
      <w:r>
        <w:t xml:space="preserve"> khả năng làm dịu bất đồng và dàn xếp các giải pháp.</w:t>
      </w:r>
    </w:p>
    <w:p>
      <w:pPr>
        <w:numPr>
          <w:ilvl w:val="0"/>
          <w:numId w:val="18"/>
        </w:numPr>
        <w:pStyle w:val="Para 017"/>
      </w:pPr>
      <w:r>
        <w:rPr>
          <w:rStyle w:val="Text0"/>
        </w:rPr>
        <w:t>Xây dựng mối quan</w:t>
      </w:r>
      <w:r>
        <w:t xml:space="preserve"> hệ: sự thành thạo trong việc vun đắp và duy trì mạng lưới quan hệ.</w:t>
      </w:r>
    </w:p>
    <w:p>
      <w:pPr>
        <w:numPr>
          <w:ilvl w:val="0"/>
          <w:numId w:val="18"/>
        </w:numPr>
        <w:pStyle w:val="Para 017"/>
      </w:pPr>
      <w:r>
        <w:rPr>
          <w:rStyle w:val="Text0"/>
        </w:rPr>
        <w:t>Làm việc nhóm và hợp tác:</w:t>
      </w:r>
      <w:r>
        <w:t xml:space="preserve"> năng lực thúc đẩy sự hợp tác và xây dựng đội ngũ.</w:t>
      </w:r>
    </w:p>
    <w:p>
      <w:bookmarkStart w:id="563" w:name="Growing_Your_Emotional_Intellige"/>
      <w:pPr>
        <w:pStyle w:val="Para 157"/>
      </w:pPr>
      <w:r>
        <w:bookmarkStart w:id="564" w:name="page08_72"/>
        <w:t/>
        <w:bookmarkEnd w:id="564"/>
        <w:t>Phát triển Trí tuệ Cảm xúc của Bạn</w:t>
      </w:r>
      <w:bookmarkEnd w:id="563"/>
    </w:p>
    <w:p>
      <w:pPr>
        <w:pStyle w:val="Para 077"/>
      </w:pPr>
      <w:r>
        <w:t>Không giống như IQ, chủ yếu mang tính di truyền—thay đổi rất ít từ thời thơ ấu—các kỹ năng của trí tuệ cảm xúc có thể được học ở bất kỳ độ tuổi nào. Tuy nhiên, điều đó không dễ dàng. Phát triển trí tuệ cảm xúc đòi hỏi sự luyện tập và cam kết. Nhưng lợi ích mang lại hoàn toàn xứng đáng với công sức đầu tư.</w:t>
      </w:r>
    </w:p>
    <w:p>
      <w:pPr>
        <w:pStyle w:val="Para 056"/>
      </w:pPr>
      <w:r>
        <w:t xml:space="preserve">Hãy xem trường hợp của một giám đốc tiếp thị tại một bộ phận của một công ty thực phẩm toàn cầu. Jack, tạm gọi là vậy, là một người điển hình luôn đặt ra nhịp độ: tràn đầy năng lượng, luôn cố gắng tìm cách tốt hơn để hoàn thành công việc, và quá nôn nóng muốn nhảy vào và tiếp quản khi ai đó có vẻ sắp trễ hạn. Tệ hơn, Jack dễ nổi nóng với bất kỳ ai không</w:t>
        <w:bookmarkStart w:id="565" w:name="page08_73"/>
        <w:t> </w:t>
        <w:bookmarkEnd w:id="565"/>
        <w:t>đạt tiêu chuẩn của anh, nổi cơn thịnh nộ nếu một người chỉ cần đi chệch khỏi thứ tự hoàn thành công việc mà Jack cho là tốt nhất.</w:t>
      </w:r>
    </w:p>
    <w:p>
      <w:pPr>
        <w:pStyle w:val="Para 056"/>
      </w:pPr>
      <w:r>
        <w:t>Phong cách lãnh đạo của Jack có tác động tiêu cực có thể đoán trước đối với môi trường làm việc và kết quả kinh doanh. Sau hai năm hoạt động trì trệ, sếp của Jack đề nghị anh tìm một người huấn luyện (coach). Jack không hài lòng nhưng nhận ra công việc của mình đang gặp nguy hiểm nên đã làm theo.</w:t>
      </w:r>
    </w:p>
    <w:p>
      <w:pPr>
        <w:pStyle w:val="Para 056"/>
      </w:pPr>
      <w:r>
        <w:t xml:space="preserve">Vị huấn luyện viên, một chuyên gia trong việc dạy mọi người cách tăng cường trí tuệ cảm xúc, bắt đầu bằng việc đánh giá Jack theo góc nhìn 360 độ. Chẩn đoán từ nhiều quan điểm là điều cần thiết trong việc cải thiện trí tuệ cảm xúc vì những người cần giúp đỡ nhất thường có điểm mù. Thực tế, nghiên cứu của chúng tôi cho thấy các nhà lãnh đạo có thành tích cao nhất thường đánh giá quá cao điểm mạnh của họ ở,</w:t>
        <w:bookmarkStart w:id="566" w:name="page08_74"/>
        <w:t> </w:t>
        <w:bookmarkEnd w:id="566"/>
        <w:t>tối đa, một khả năng trí tuệ cảm xúc, trong khi những người làm việc kém lại đánh giá quá cao bản thân ở bốn khả năng trở lên. Jack không đến mức như vậy, nhưng anh ấy tự đánh giá mình tốt đẹp hơn so với đánh giá của các nhân viên trực tiếp, những người đặc biệt cho anh điểm thấp về khả năng tự kiểm soát cảm xúc và sự đồng cảm.</w:t>
      </w:r>
    </w:p>
    <w:p>
      <w:pPr>
        <w:pStyle w:val="Para 056"/>
      </w:pPr>
      <w:r>
        <w:t xml:space="preserve">Ban đầu, Jack gặp chút khó khăn khi chấp nhận các dữ liệu phản hồi. Nhưng khi huấn luyện viên cho anh thấy những điểm yếu đó liên quan thế nào đến việc anh không thể thể hiện các phong cách lãnh đạo dựa trên những năng lực này—đặc biệt là phong cách độc đoán, phong cách gắn kết và phong cách huấn luyện—Jack nhận ra rằng anh cần phải cải thiện nếu muốn thăng tiến trong công ty. Tạo ra mối liên kết như vậy là điều cần thiết. Lý do: cải thiện trí</w:t>
        <w:bookmarkStart w:id="567" w:name="page08_75"/>
        <w:t> </w:t>
        <w:bookmarkEnd w:id="567"/>
        <w:t>tuệ cảm xúc không thể thực hiện trong một ngày cuối tuần hay trong buổi hội thảo—mà cần sự luyện tập chăm chỉ trong công việc, kéo dài vài tháng. Nếu mọi người không thấy giá trị của sự thay đổi, họ sẽ không nỗ lực.</w:t>
      </w:r>
    </w:p>
    <w:p>
      <w:pPr>
        <w:pStyle w:val="Para 056"/>
      </w:pPr>
      <w:r>
        <w:t xml:space="preserve">Khi Jack đã xác định rõ các lĩnh vực cần cải thiện và cam kết nỗ lực, anh ấy và huấn luyện viên đã xây dựng một kế hoạch để biến công việc hàng ngày của anh thành một phòng thí nghiệm học tập. Ví dụ, Jack nhận ra rằng anh ấy có sự đồng cảm khi mọi thứ bình yên, nhưng trong khủng hoảng, anh ấy bỏ ngoài tai người khác. Xu hướng này cản trở khả năng lắng nghe những gì mọi người đang nói với anh ấy vào đúng những thời điểm anh ấy cần làm điều đó nhất. Kế hoạch của Jack yêu cầu anh ấy tập trung vào hành vi của mình trong những tình huống khó khăn. Ngay khi cảm thấy</w:t>
        <w:bookmarkStart w:id="568" w:name="page08_76"/>
        <w:t> </w:t>
        <w:bookmarkEnd w:id="568"/>
        <w:t>căng thẳng, nhiệm vụ của anh là lùi lại ngay lập tức, để người kia nói, rồi đặt các câu hỏi làm rõ. Mấu chốt là không hành xử phán xét hay thù địch khi bị áp lực.</w:t>
      </w:r>
    </w:p>
    <w:p>
      <w:pPr>
        <w:pStyle w:val="Para 056"/>
      </w:pPr>
      <w:r>
        <w:t>Sự thay đổi không đến dễ dàng, nhưng nhờ luyện tập, Jack học được cách xoa dịu cơn nổi giận của mình bằng cách trò chuyện thay vì buông lời mắng mỏ. Dù không phải lúc nào cũng đồng ý với họ, ít nhất anh đã cho mọi người cơ hội trình bày quan điểm. Đồng thời, Jack cũng tập phản hồi tích cực hơn cho cấp dưới trực tiếp và nhắc họ rằng công việc của họ góp phần vào sứ mệnh của nhóm. Và anh kiềm chế không quản lý vi mô họ.</w:t>
      </w:r>
    </w:p>
    <w:p>
      <w:pPr>
        <w:pStyle w:val="Para 056"/>
      </w:pPr>
      <w:r>
        <w:t xml:space="preserve">Jack gặp huấn luyện viên của anh mỗi tuần hoặc hai tuần một lần để rà soát tiến độ</w:t>
        <w:bookmarkStart w:id="569" w:name="page08_77"/>
        <w:t> </w:t>
        <w:bookmarkEnd w:id="569"/>
        <w:t>và xin lời khuyên cho các vấn đề cụ thể. Chẳng hạn, thỉnh thoảng Jack lại thấy mình rơi vào lối mòn cũ—ngắt lời, nhảy vào giành việc, và nổi khùng. Ngay sau đó, anh ấy liền hối hận. Vì vậy, anh và huấn luyện viên cùng mổ xẻ những lần tái phát đó để tìm ra nguyên nhân kích hoạt thói quen cũ và điều cần làm vào lần tương tự sau. Các biện pháp 'phòng ngừa tái phát' như thế giúp tạo miễn dịch cho con người khỏi những lần vấp ngã sau này hoặc tránh bỏ cuộc. Trong sáu tháng, Jack tiến bộ thực sự. Sổ ghi chép của anh cho thấy số lần bùng phát giảm từ một hoặc nhiều lần mỗi ngày lúc đầu xuống chỉ còn một hoặc hai lần mỗi tháng. Bầu không khí trong nhóm cải thiện rõ rệt, và chỉ số của phòng ban bắt đầu nhích lên.</w:t>
      </w:r>
    </w:p>
    <w:p>
      <w:pPr>
        <w:pStyle w:val="Para 056"/>
      </w:pPr>
      <w:r>
        <w:bookmarkStart w:id="570" w:name="page08_78"/>
        <w:t>Vì</w:t>
        <w:bookmarkEnd w:id="570"/>
        <w:t xml:space="preserve"> sao cải thiện năng lực trí tuệ cảm xúc lại mất một vài tháng chứ không phải vài ngày? Vì các trung tâm cảm xúc của não bộ, không chỉ tân vỏ não (neocortex), tham gia vào quá trình này. Tân vỏ não, bộ não tư duy giúp học các kỹ năng kỹ thuật và khả năng nhận thức thuần túy, tiếp thu kiến thức rất nhanh, nhưng não cảm xúc thì không. Để làm chủ một hành vi mới, các trung tâm cảm xúc cần sự lặp lại và rèn luyện. Do đó, nâng cao trí tuệ cảm xúc giống như thay đổi thói quen vậy. Các mạch não mang thói quen lãnh đạo phải 'học để bỏ' những lối mòn cũ và thay thế bằng lối mòn mới. Một chuỗi hành vi được lặp lại càng thường xuyên, các mạch não bên dưới càng mạnh. Đến một lúc nào đó, các đường dẫn thần kinh</w:t>
        <w:bookmarkStart w:id="571" w:name="page08_79"/>
        <w:t> </w:t>
        <w:bookmarkEnd w:id="571"/>
        <w:t>mới trở thành mặc định của bộ não. Khi điều đó xảy ra, Jack có thể thực hiện các bước lãnh đạo một cách dễ dàng, sử dụng những phong cách phù hợp với anh—và với cả công</w:t>
        <w:bookmarkStart w:id="572" w:name="page08_80"/>
        <w:t> ty.</w:t>
        <w:bookmarkEnd w:id="572"/>
      </w:r>
    </w:p>
    <w:p>
      <w:bookmarkStart w:id="573" w:name="Top_of_08_06_About_the_author_xh"/>
      <w:bookmarkStart w:id="574" w:name="ABOUT_THE_AUTHOR_Daniel_Goleman"/>
      <w:pPr>
        <w:pStyle w:val="Para 153"/>
        <w:pageBreakBefore w:val="on"/>
      </w:pPr>
      <w:r>
        <w:bookmarkStart w:id="575" w:name="page08_81"/>
        <w:t/>
        <w:bookmarkEnd w:id="575"/>
        <w:t>VỀ TÁC GIẢ</w:t>
      </w:r>
      <w:bookmarkEnd w:id="573"/>
      <w:bookmarkEnd w:id="574"/>
    </w:p>
    <w:p>
      <w:pPr>
        <w:pStyle w:val="Para 048"/>
      </w:pPr>
      <w:r>
        <w:rPr>
          <w:rStyle w:val="Text0"/>
        </w:rPr>
        <w:t>Daniel Goleman</w:t>
      </w:r>
      <w:r>
        <w:t xml:space="preserve"> là đồng giám đốc của Consortium for Research on Emotional Intelligence in Organizations tại Đại học Rutgers, đồng tác giả của cuốn</w:t>
      </w:r>
      <w:r>
        <w:rPr>
          <w:rStyle w:val="Text0"/>
        </w:rPr>
        <w:t> Primal Leadership: Leading with Emotional Intelligence</w:t>
      </w:r>
      <w:r>
        <w:t xml:space="preserve"> (Harvard Business Review Press, 2013), và tác giả của cuốn</w:t>
      </w:r>
      <w:r>
        <w:rPr>
          <w:rStyle w:val="Text0"/>
        </w:rPr>
        <w:t> The Brain and Emotional Intelligence: New Insights and Leadership: Selected Writings (More</w:t>
      </w:r>
      <w:r>
        <w:t xml:space="preserve"> Than Sound, 2011). Cuốn sách mới nhất của ông</w:t>
      </w:r>
      <w:r>
        <w:rPr>
          <w:rStyle w:val="Text0"/>
        </w:rPr>
        <w:t> là A Force For Good: The Dalai Lama's Vision for Our World</w:t>
      </w:r>
      <w:r>
        <w:t xml:space="preserve"> (Bantam,</w:t>
        <w:bookmarkStart w:id="576" w:name="page08_82"/>
        <w:t> 2015).</w:t>
        <w:bookmarkEnd w:id="576"/>
      </w:r>
    </w:p>
    <w:p>
      <w:bookmarkStart w:id="577" w:name="sbo_rt_content_8"/>
      <w:bookmarkStart w:id="578" w:name="a10"/>
      <w:bookmarkStart w:id="579" w:name="Top_of_10_01_cover_xhtml"/>
      <w:pPr>
        <w:pStyle w:val="Para 074"/>
        <w:pageBreakBefore w:val="on"/>
      </w:pPr>
      <w:r>
        <w:drawing>
          <wp:anchor distL="0" distR="0" distT="0" distB="0" simplePos="0" relativeHeight="1" behindDoc="0" locked="0" layoutInCell="1" allowOverlap="1">
            <wp:simplePos x="0" y="0"/>
            <wp:positionH relativeFrom="margin">
              <wp:align>left</wp:align>
            </wp:positionH>
            <wp:positionV relativeFrom="line">
              <wp:align>top</wp:align>
            </wp:positionV>
            <wp:extent cx="5384800" cy="8229600"/>
            <wp:effectExtent l="0" r="0" t="0" b="0"/>
            <wp:wrapTopAndBottom/>
            <wp:docPr id="27" name="10chap_cover.jpg" descr="cover"/>
            <wp:cNvGraphicFramePr>
              <a:graphicFrameLocks noChangeAspect="1"/>
            </wp:cNvGraphicFramePr>
            <a:graphic>
              <a:graphicData uri="http://schemas.openxmlformats.org/drawingml/2006/picture">
                <pic:pic>
                  <pic:nvPicPr>
                    <pic:cNvPr id="0" name="10chap_cover.jpg" descr="cover"/>
                    <pic:cNvPicPr/>
                  </pic:nvPicPr>
                  <pic:blipFill>
                    <a:blip r:embed="rId16"/>
                    <a:stretch>
                      <a:fillRect/>
                    </a:stretch>
                  </pic:blipFill>
                  <pic:spPr>
                    <a:xfrm>
                      <a:off x="0" y="0"/>
                      <a:ext cx="5384800" cy="8229600"/>
                    </a:xfrm>
                    <a:prstGeom prst="rect">
                      <a:avLst/>
                    </a:prstGeom>
                  </pic:spPr>
                </pic:pic>
              </a:graphicData>
            </a:graphic>
          </wp:anchor>
        </w:drawing>
      </w:r>
      <w:bookmarkEnd w:id="577"/>
      <w:bookmarkEnd w:id="578"/>
      <w:bookmarkEnd w:id="579"/>
    </w:p>
    <w:p>
      <w:bookmarkStart w:id="580" w:name="Article_Summary_Idea_in_Brief_Ma_1"/>
      <w:bookmarkStart w:id="581" w:name="Top_of_08_07_Summary_xhtml"/>
      <w:pPr>
        <w:pStyle w:val="Para 066"/>
        <w:pageBreakBefore w:val="on"/>
      </w:pPr>
      <w:r>
        <w:bookmarkStart w:id="582" w:name="page08_83"/>
        <w:t/>
        <w:bookmarkEnd w:id="582"/>
        <w:t>Tóm tắt bài viết</w:t>
      </w:r>
      <w:bookmarkEnd w:id="580"/>
      <w:bookmarkEnd w:id="581"/>
    </w:p>
    <w:p>
      <w:pPr>
        <w:pStyle w:val="Para 158"/>
      </w:pPr>
      <w:r>
        <w:t>Ý tưởng chính</w:t>
      </w:r>
    </w:p>
    <w:p>
      <w:pPr>
        <w:pStyle w:val="Para 021"/>
      </w:pPr>
      <w:r>
        <w:t>Nhiều nhà quản lý lầm tưởng rằng phong cách lãnh đạo là do tính cách quyết định chứ không phải là lựa chọn chiến lược. Thay vì chọn một phong cách hợp với tính khí của mình, họ nên tự hỏi phong cách nào đáp ứng tốt nhất đòi hỏi của một tình huống cụ thể.</w:t>
      </w:r>
    </w:p>
    <w:p>
      <w:pPr>
        <w:pStyle w:val="Para 203"/>
      </w:pPr>
      <w:r>
        <w:t xml:space="preserve">Nghiên cứu đã chỉ ra rằng các nhà lãnh đạo thành công nhất có thế mạnh ở các năng lực trí tuệ cảm xúc (emotional intelligence) sau: tự nhận thức</w:t>
      </w:r>
      <w:r>
        <w:rPr>
          <w:rStyle w:val="Text1"/>
        </w:rPr>
        <w:t> (self-awareness), tự điều chỉnh (self-regulation), động lực</w:t>
      </w:r>
      <w:r>
        <w:t xml:space="preserve"> (motiv</w:t>
        <w:bookmarkStart w:id="583" w:name="page08_84"/>
        <w:t>ation),</w:t>
        <w:bookmarkEnd w:id="583"/>
      </w:r>
      <w:r>
        <w:rPr>
          <w:rStyle w:val="Text1"/>
        </w:rPr>
        <w:t> đồng</w:t>
      </w:r>
      <w:r>
        <w:t> cảm (empathy), và kỹ năng xã hội (social skill). Có sáu phong cách lãnh đạo cơ bản; mỗi phong cách sử dụng các thành phần chính của trí tuệ cảm xúc theo những cách kết hợp khác nhau. Các nhà lãnh đạo giỏi nhất không chỉ biết một phong cách lãnh đạo—họ thành thạo nhiều phong cách và có sự linh hoạt để chuyển đổi giữa các phong cách tùy theo tình huống.</w:t>
      </w:r>
    </w:p>
    <w:p>
      <w:pPr>
        <w:pStyle w:val="Para 158"/>
      </w:pPr>
      <w:r>
        <w:t>Ý tưởng trong thực tiễn</w:t>
      </w:r>
    </w:p>
    <w:p>
      <w:pPr>
        <w:pStyle w:val="Para 021"/>
      </w:pPr>
      <w:r>
        <w:t xml:space="preserve">Các nhà quản lý thường không nhận thức được môi trường tổ chức (organizational climate) có thể ảnh hưởng sâu sắc đến kết quả tài chính như thế nào. Nó có thể chiếm gần một phần ba hiệu quả tài chính. Đến lượt mình, môi trường tổ chức chịu ảnh hưởng bởi phong cách lãnh đạo—cách các nhà quản lý tạo động lực cho nhân viên cấp dưới trực tiếp, thu thập và sử dụng thông tin, đưa ra quyết định, quản lý các sáng kiến thay đổi, và xử lý khủng hoảng. Có sáu phong cách lãnh đạo cơ bản. Mỗi phong cách bắt nguồn từ các năng lực trí tuệ cảm xúc khác nhau, hoạt động tốt nhất</w:t>
        <w:bookmarkStart w:id="584" w:name="page08_85"/>
        <w:t> t</w:t>
        <w:bookmarkEnd w:id="584"/>
        <w:t>rong những tình huống cụ thể, và ảnh hưởng đến môi trường tổ chức theo những cách khác nhau.</w:t>
      </w:r>
    </w:p>
    <w:p>
      <w:pPr>
        <w:numPr>
          <w:ilvl w:val="0"/>
          <w:numId w:val="19"/>
        </w:numPr>
        <w:pStyle w:val="Para 069"/>
      </w:pPr>
      <w:r>
        <w:rPr>
          <w:rStyle w:val="Text0"/>
        </w:rPr>
        <w:t>Phong cách mệnh lệnh</w:t>
      </w:r>
      <w:r>
        <w:t xml:space="preserve"> (coercive style). Cách tiếp cận 'Làm theo những gì tôi nói' này có thể rất hiệu quả trong tình huống xoay chuyển (turnaround), thiên tai, hoặc khi làm việc với những nhân viên có vấn đề. Nhưng trong hầu hết các tình huống, lãnh đạo mệnh lệnh kìm hãm sự linh hoạt của tổ chức và làm giảm động lực của nhân viên.</w:t>
      </w:r>
    </w:p>
    <w:p>
      <w:pPr>
        <w:numPr>
          <w:ilvl w:val="0"/>
          <w:numId w:val="19"/>
        </w:numPr>
        <w:pStyle w:val="Para 069"/>
      </w:pPr>
      <w:r>
        <w:rPr>
          <w:rStyle w:val="Text0"/>
        </w:rPr>
        <w:t>Phong cách uy quyền</w:t>
      </w:r>
      <w:r>
        <w:t xml:space="preserve"> (authoritative style). Một nhà lãnh đạo uy quyền áp dụng cách tiếp cận 'Đi cùng tôi': cô ấy nêu mục tiêu tổng thể nhưng cho mọi người tự do chọn cách riêng để đạt được mục tiêu đó. Phong cách này đặc biệt hiệu quả khi doanh nghiệp đang đi lạc hướng. Nó kém hiệu quả hơn khi nhà lãnh đạo làm việc với một nhóm chuyên gia có nhiều kinh nghiệm hơn anh ta.</w:t>
      </w:r>
    </w:p>
    <w:p>
      <w:pPr>
        <w:numPr>
          <w:ilvl w:val="0"/>
          <w:numId w:val="19"/>
        </w:numPr>
        <w:pStyle w:val="Para 069"/>
      </w:pPr>
      <w:r>
        <w:bookmarkStart w:id="585" w:name="page08_86"/>
        <w:t>Phong</w:t>
        <w:bookmarkEnd w:id="585"/>
      </w:r>
      <w:r>
        <w:rPr>
          <w:rStyle w:val="Text0"/>
        </w:rPr>
        <w:t> cách gắn kết (affiliative</w:t>
      </w:r>
      <w:r>
        <w:t xml:space="preserve"> style). Dấu ấn của nhà lãnh đạo gắn kết là thái độ 'Mọi người là trên hết'. Phong cách này đặc biệt hữu ích để xây dựng sự hòa hợp trong nhóm hoặc nâng cao tinh thần. Nhưng việc chỉ tập trung vào khen ngợi có thể khiến những màn trình diễn kém không được sửa chữa. Ngoài ra, các nhà lãnh đạo gắn kết hiếm khi đưa ra lời khuyên, điều này thường khiến nhân viên rơi vào tình trạng bối rối.</w:t>
      </w:r>
    </w:p>
    <w:p>
      <w:pPr>
        <w:numPr>
          <w:ilvl w:val="0"/>
          <w:numId w:val="19"/>
        </w:numPr>
        <w:pStyle w:val="Para 069"/>
      </w:pPr>
      <w:r>
        <w:rPr>
          <w:rStyle w:val="Text0"/>
        </w:rPr>
        <w:t>Phong cách dân chủ (democratic</w:t>
      </w:r>
      <w:r>
        <w:t xml:space="preserve"> style). Tác động của phong cách này lên môi trường tổ chức không cao như bạn tưởng tượng. Bằng cách cho nhân viên tiếng nói trong các quyết định, các nhà lãnh đạo dân chủ xây dựng sự linh hoạt và trách nhiệm của tổ chức, đồng thời giúp tạo ra những ý tưởng mới. Nhưng đôi khi cái giá phải trả là những cuộc họp bất tận và những nhân viên bối rối khi cảm thấy không có người lãnh đạo.</w:t>
      </w:r>
    </w:p>
    <w:p>
      <w:pPr>
        <w:numPr>
          <w:ilvl w:val="0"/>
          <w:numId w:val="19"/>
        </w:numPr>
        <w:pStyle w:val="Para 069"/>
      </w:pPr>
      <w:r>
        <w:rPr>
          <w:rStyle w:val="Text0"/>
        </w:rPr>
        <w:t>Phong cách tạo nhịp độ</w:t>
      </w:r>
      <w:r>
        <w:t xml:space="preserve"> (pacesetting). Một nhà lãnh đạo tự đặt ra tiêu chuẩn hiệu suất cao và tự mình làm gương sẽ có tác động rất tích cực</w:t>
        <w:bookmarkStart w:id="586" w:name="page08_87"/>
        <w:t> </w:t>
        <w:bookmarkEnd w:id="586"/>
        <w:t>đến những nhân viên có động lực tự thân và năng lực cao. Nhưng những nhân viên khác thường có xu hướng cảm thấy quá tải trước yêu cầu xuất sắc của nhà lãnh đạo như vậy—và oán giận việc anh ta hay ôm đồm mọi việc.</w:t>
      </w:r>
    </w:p>
    <w:p>
      <w:pPr>
        <w:numPr>
          <w:ilvl w:val="0"/>
          <w:numId w:val="19"/>
        </w:numPr>
        <w:pStyle w:val="Para 069"/>
      </w:pPr>
      <w:r>
        <w:rPr>
          <w:rStyle w:val="Text0"/>
        </w:rPr>
        <w:t>Phong cách huấn luyện</w:t>
      </w:r>
      <w:r>
        <w:t xml:space="preserve"> (coaching). Phong cách này tập trung vào phát triển cá nhân hơn là các nhiệm vụ công việc trước mắt. Nó hiệu quả khi nhân viên đã nhận thức được điểm yếu của mình và muốn cải thiện, nhưng không hiệu quả khi họ không sẵn lòng thay đổi cách làm việc.</w:t>
      </w:r>
    </w:p>
    <w:p>
      <w:pPr>
        <w:pStyle w:val="Para 021"/>
      </w:pPr>
      <w:r>
        <w:t>Nhà lãnh đạo càng nắm vững nhiều phong cách thì càng tốt. Đặc biệt, khả năng linh hoạt chuyển đổi giữa các phong cách uy quyền (authoritative), gắn kết (affiliative), dân chủ (democratic) và huấn luyện (coaching) tùy theo tình huống sẽ tạo ra bầu không khí tổ chức tốt nhất và tối ưu hóa hiệu quả kinh doanh.</w:t>
      </w:r>
    </w:p>
    <w:p>
      <w:pPr>
        <w:pStyle w:val="Para 021"/>
      </w:pPr>
      <w:r>
        <w:t/>
      </w:r>
    </w:p>
    <w:p>
      <w:bookmarkStart w:id="587" w:name="Top_of_09_00_Cover_xhtml"/>
      <w:bookmarkStart w:id="588" w:name="a09"/>
      <w:bookmarkStart w:id="589" w:name="sbo_rt_content_9"/>
      <w:pPr>
        <w:pStyle w:val="Para 051"/>
        <w:pageBreakBefore w:val="on"/>
      </w:pPr>
      <w:r>
        <w:drawing>
          <wp:anchor distL="0" distR="0" distT="0" distB="0" simplePos="0" relativeHeight="1" behindDoc="0" locked="0" layoutInCell="1" allowOverlap="1">
            <wp:simplePos x="0" y="0"/>
            <wp:positionH relativeFrom="margin">
              <wp:align>left</wp:align>
            </wp:positionH>
            <wp:positionV relativeFrom="line">
              <wp:align>top</wp:align>
            </wp:positionV>
            <wp:extent cx="5867400" cy="8229600"/>
            <wp:effectExtent l="0" r="0" t="0" b="0"/>
            <wp:wrapTopAndBottom/>
            <wp:docPr id="28" name="9chap_cover.jpg" descr="cover"/>
            <wp:cNvGraphicFramePr>
              <a:graphicFrameLocks noChangeAspect="1"/>
            </wp:cNvGraphicFramePr>
            <a:graphic>
              <a:graphicData uri="http://schemas.openxmlformats.org/drawingml/2006/picture">
                <pic:pic>
                  <pic:nvPicPr>
                    <pic:cNvPr id="0" name="9chap_cover.jpg" descr="cover"/>
                    <pic:cNvPicPr/>
                  </pic:nvPicPr>
                  <pic:blipFill>
                    <a:blip r:embed="rId17"/>
                    <a:stretch>
                      <a:fillRect/>
                    </a:stretch>
                  </pic:blipFill>
                  <pic:spPr>
                    <a:xfrm>
                      <a:off x="0" y="0"/>
                      <a:ext cx="5867400" cy="8229600"/>
                    </a:xfrm>
                    <a:prstGeom prst="rect">
                      <a:avLst/>
                    </a:prstGeom>
                  </pic:spPr>
                </pic:pic>
              </a:graphicData>
            </a:graphic>
          </wp:anchor>
        </w:drawing>
      </w:r>
      <w:bookmarkEnd w:id="587"/>
      <w:bookmarkEnd w:id="588"/>
      <w:bookmarkEnd w:id="589"/>
    </w:p>
    <w:p>
      <w:bookmarkStart w:id="590" w:name="Harvard_Business_Review_CLASSICS_7"/>
      <w:bookmarkStart w:id="591" w:name="Top_of_09_02_Title_xhtml"/>
      <w:pPr>
        <w:pStyle w:val="Para 032"/>
        <w:pageBreakBefore w:val="on"/>
      </w:pPr>
      <w:r>
        <w:t>Harvard Business Review</w:t>
      </w:r>
      <w:bookmarkEnd w:id="590"/>
      <w:bookmarkEnd w:id="591"/>
    </w:p>
    <w:p>
      <w:pPr>
        <w:pStyle w:val="Para 033"/>
      </w:pPr>
      <w:r>
        <w:t>KINH ĐIỂN</w:t>
      </w:r>
    </w:p>
    <w:p>
      <w:pPr>
        <w:pStyle w:val="Para 036"/>
      </w:pPr>
      <w:r>
        <w:t>ĐIỀU GÌ TẠO NÊN MỘT NHÀ LÃNH ĐẠO?</w:t>
      </w:r>
    </w:p>
    <w:p>
      <w:pPr>
        <w:pStyle w:val="Para 026"/>
      </w:pPr>
      <w:r>
        <w:t>Daniel Goleman</w:t>
      </w:r>
    </w:p>
    <w:p>
      <w:pPr>
        <w:pStyle w:val="Para 012"/>
      </w:pPr>
      <w:r>
        <w:t>Harvard Business Review Press</w:t>
      </w:r>
    </w:p>
    <w:p>
      <w:pPr>
        <w:pStyle w:val="Para 012"/>
      </w:pPr>
      <w:r>
        <w:t>Boston, Massachusetts</w:t>
      </w:r>
    </w:p>
    <w:p>
      <w:bookmarkStart w:id="592" w:name="Top_of_09_03_Copyright_xhtml"/>
      <w:bookmarkStart w:id="593" w:name="HBR_Press_Quantity_Sales_Discoun_5"/>
      <w:pPr>
        <w:pStyle w:val="Para 065"/>
        <w:pageBreakBefore w:val="on"/>
      </w:pPr>
      <w:r>
        <w:rPr>
          <w:rStyle w:val="Text1"/>
        </w:rPr>
        <w:bookmarkStart w:id="594" w:name="page09_iv"/>
        <w:t/>
        <w:bookmarkEnd w:id="594"/>
      </w:r>
      <w:r>
        <w:t>Chiết khấu mua số lượng lớn của HBR Press</w:t>
      </w:r>
      <w:bookmarkEnd w:id="592"/>
      <w:bookmarkEnd w:id="593"/>
    </w:p>
    <w:p>
      <w:pPr>
        <w:pStyle w:val="Para 204"/>
      </w:pPr>
      <w:r>
        <w:t>Các ấn phẩm của Harvard Business Review Press được chiết khấu đáng kể khi mua với số lượng lớn cho quà tặng khách hàng, chương trình khuyến mãi và quà tặng kèm. Các phiên bản đặc biệt, bao gồm sách có logo công ty, bìa tùy chỉnh và thư từ công ty hoặc CEO in ở trang đầu, cũng như các trích đoạn từ sách hiện có, cũng có thể được tạo với số lượng lớn cho các nhu cầu đặc biệt.</w:t>
      </w:r>
    </w:p>
    <w:p>
      <w:pPr>
        <w:pStyle w:val="Para 093"/>
      </w:pPr>
      <w:r>
        <w:t xml:space="preserve">Để biết chi tiết và thông tin chiết khấu cho cả định dạng sách in và sách điện tử, liên hệ</w:t>
      </w:r>
      <w:r>
        <w:rPr>
          <w:rStyle w:val="Text2"/>
        </w:rPr>
        <w:t> booksales@harvardbusiness.org, điện</w:t>
      </w:r>
      <w:r>
        <w:t xml:space="preserve"> thoại</w:t>
        <w:t> 800-988-0886, hoặc</w:t>
        <w:t xml:space="preserve"> truy</w:t>
      </w:r>
      <w:hyperlink r:id="rId32">
        <w:r>
          <w:rPr>
            <w:rStyle w:val="Text2"/>
          </w:rPr>
          <w:t> cập www.hbr.org/bulksale</w:t>
        </w:r>
      </w:hyperlink>
      <w:r>
        <w:t>s.</w:t>
      </w:r>
    </w:p>
    <w:p>
      <w:pPr>
        <w:pStyle w:val="Para 006"/>
      </w:pPr>
      <w:r>
        <w:t>Bản quyền 2017 Harvard Business School Publishing Corporation.</w:t>
        <w:br w:clear="none"/>
        <w:t xml:space="preserve"> Được xuất bản lần đầu trên</w:t>
      </w:r>
      <w:r>
        <w:rPr>
          <w:rStyle w:val="Text0"/>
        </w:rPr>
        <w:t> Harvard Business Review</w:t>
      </w:r>
      <w:r>
        <w:t xml:space="preserve"> vào tháng 1 năm</w:t>
        <w:br w:clear="none"/>
        <w:t xml:space="preserve"> 2004. Tái bản #R0401H.</w:t>
        <w:br w:clear="none"/>
        <w:t xml:space="preserve"> Bảo lưu mọi quyền.</w:t>
      </w:r>
    </w:p>
    <w:p>
      <w:pPr>
        <w:pStyle w:val="Para 006"/>
      </w:pPr>
      <w:r>
        <w:t>In tại Hoa Kỳ</w:t>
      </w:r>
    </w:p>
    <w:p>
      <w:pPr>
        <w:pStyle w:val="Para 006"/>
      </w:pPr>
      <w:r>
        <w:t>10 9 8 7 6 5 4 3 2 1</w:t>
      </w:r>
    </w:p>
    <w:p>
      <w:pPr>
        <w:pStyle w:val="Para 006"/>
      </w:pPr>
      <w:r>
        <w:t xml:space="preserve">Không một phần nào của ấn phẩm này được sao chép, lưu trữ hoặc đưa vào hệ thống truy xuất, hoặc truyền tải dưới bất kỳ hình thức nào, hoặc bằng bất kỳ phương tiện nào (điện tử, cơ học, photocopy, ghi âm, hoặc cách khác) mà không có sự cho phép trước của nhà xuất bản. Yêu cầu xin phép nên được gửi tới</w:t>
      </w:r>
      <w:r>
        <w:rPr>
          <w:rStyle w:val="Text2"/>
        </w:rPr>
        <w:t> permissions@hbsp.harvard.edu,</w:t>
      </w:r>
      <w:r>
        <w:t> hoặc gửi thư tới Permissions, Harvard Business School Publishing, 60 Harvard Way, Boston, Massachusetts 02163.</w:t>
      </w:r>
    </w:p>
    <w:p>
      <w:pPr>
        <w:pStyle w:val="Para 060"/>
      </w:pPr>
      <w:r>
        <w:t>Các địa chỉ web được nhắc đến trong cuốn sách này còn hoạt động và chính xác tại thời điểm xuất bản nhưng có thể thay đổi.</w:t>
      </w:r>
    </w:p>
    <w:p>
      <w:pPr>
        <w:pStyle w:val="Para 060"/>
      </w:pPr>
      <w:r>
        <w:t>Dữ liệu Biên mục trong Xuất bản (Cataloging-in-Publication) sẽ được cung cấp sau.</w:t>
      </w:r>
    </w:p>
    <w:p>
      <w:pPr>
        <w:pStyle w:val="Para 006"/>
      </w:pPr>
      <w:r>
        <w:t>ISBN: 978-1-63369-260-2</w:t>
      </w:r>
    </w:p>
    <w:p>
      <w:pPr>
        <w:pStyle w:val="Para 010"/>
      </w:pPr>
      <w:r>
        <w:t>eISBN: 978-1-63369-261-9</w:t>
      </w:r>
    </w:p>
    <w:p>
      <w:pPr>
        <w:pStyle w:val="Para 006"/>
      </w:pPr>
      <w:r>
        <w:t>Loại giấy sử dụng trong ấn phẩm này đáp ứng các yêu cầu của Tiêu chuẩn Quốc gia Hoa Kỳ về Độ bền của Giấy cho Ấn phẩm và Tài liệu trong Thư viện và Lưu trữ Z39.48-1992.</w:t>
      </w:r>
    </w:p>
    <w:p>
      <w:bookmarkStart w:id="595" w:name="THE_HARVARD_BUSINESS_REVIEW_CLAS_9"/>
      <w:bookmarkStart w:id="596" w:name="Top_of_09_04_Dedication_xhtml"/>
      <w:pPr>
        <w:pStyle w:val="Para 052"/>
        <w:pageBreakBefore w:val="on"/>
      </w:pPr>
      <w:r>
        <w:bookmarkStart w:id="597" w:name="page09_v"/>
        <w:t/>
        <w:bookmarkEnd w:id="597"/>
        <w:t>BỘ SÁCH KINH ĐIỂN HARVARD BUSINESS REVIEW</w:t>
      </w:r>
      <w:bookmarkEnd w:id="595"/>
      <w:bookmarkEnd w:id="596"/>
    </w:p>
    <w:p>
      <w:pPr>
        <w:pStyle w:val="Para 048"/>
      </w:pPr>
      <w:r>
        <w:t xml:space="preserve">Từ năm 1922,</w:t>
      </w:r>
      <w:r>
        <w:rPr>
          <w:rStyle w:val="Text0"/>
        </w:rPr>
        <w:t> Harvard Business Review đã</w:t>
      </w:r>
      <w:r>
        <w:t xml:space="preserve"> là nguồn ý tưởng đột phá hàng đầu trong thực tiễn quản lý—nhiều ý tưởng trong số đó vẫn còn vang vọng và ảnh hưởng đến chúng ta ngày nay. Bộ sách HBR Classics hiện mang đến cho bạn cơ hội để biến những tác phẩm nền tảng này thành một phần của thư viện quản lý lâu dài của bạn. Mỗi tập sách chứa đựng một ý tưởng mang tính cách mạng đã định hình các phương pháp thực hành tốt nhất và truyền cảm hứng cho vô số nhà quản lý trên khắp thế giới—và sẽ thay đổi cách bạn nhìn nhận về giới kinh doanh ngày</w:t>
        <w:bookmarkStart w:id="598" w:name="page09_vi"/>
        <w:t> nay.</w:t>
        <w:bookmarkEnd w:id="598"/>
        <w:bookmarkStart w:id="599" w:name="page09_vii"/>
        <w:t/>
        <w:bookmarkEnd w:id="599"/>
        <w:bookmarkStart w:id="600" w:name="page09_viii"/>
        <w:t/>
        <w:bookmarkEnd w:id="600"/>
      </w:r>
    </w:p>
    <w:p>
      <w:bookmarkStart w:id="601" w:name="Top_of_09_05_Chapter1_xhtml"/>
      <w:bookmarkStart w:id="602" w:name="Every_businessperson_knows_a_sto"/>
      <w:pPr>
        <w:pStyle w:val="Para 154"/>
        <w:pageBreakBefore w:val="on"/>
      </w:pPr>
      <w:r>
        <w:bookmarkStart w:id="603" w:name="page09_1"/>
        <w:t>Mọi</w:t>
        <w:bookmarkEnd w:id="603"/>
        <w:t> doanh nhân đều biết câu chuyện về một nhà điều hành rất thông minh, rất có năng lực được thăng chức lên vị trí lãnh đạo nhưng rồi lại thất bại trong công việc. Họ cũng biết câu chuyện về một người có khả năng trí tuệ và kỹ năng kỹ thuật vững chắc—nhưng không xuất chúng—cũng được thăng lên vị trí tương tự và sau đó lại thành công vang dội.</w:t>
      </w:r>
      <w:bookmarkEnd w:id="601"/>
      <w:bookmarkEnd w:id="602"/>
    </w:p>
    <w:p>
      <w:pPr>
        <w:pStyle w:val="Normal"/>
      </w:pPr>
      <w:r>
        <w:t xml:space="preserve">Những giai thoại như vậy củng cố niềm tin phổ biến rằng việc nhận diện những cá nhân có</w:t>
        <w:bookmarkStart w:id="604" w:name="page09_2"/>
        <w:t> </w:t>
        <w:bookmarkEnd w:id="604"/>
        <w:t>'tố chất' để trở thành lãnh đạo là một nghệ thuật hơn là khoa học. Suy cho cùng, phong cách cá nhân của các nhà lãnh đạo xuất sắc rất đa dạng: Có người kín đáo và phân tích; có người lại hô vang cương lĩnh của mình từ đỉnh núi. Và điều quan trọng không kém, các tình huống khác nhau đòi hỏi các kiểu lãnh đạo khác nhau. Hầu hết các vụ sáp nhập cần một nhà đàm phán tinh tế ở vị trí điều hành, trong khi nhiều cuộc cải tổ đòi hỏi một quyền lực mạnh mẽ hơn.</w:t>
      </w:r>
    </w:p>
    <w:p>
      <w:pPr>
        <w:pStyle w:val="Normal"/>
      </w:pPr>
      <w:r>
        <w:t xml:space="preserve">Tuy nhiên, tôi nhận thấy rằng các nhà lãnh đạo hiệu quả nhất đều giống nhau ở một điểm quan trọng: Họ đều có mức độ cao về thứ mà ngày nay được gọi là trí tuệ cảm xúc</w:t>
      </w:r>
      <w:r>
        <w:rPr>
          <w:rStyle w:val="Text0"/>
        </w:rPr>
        <w:t> (emotional intelligence). Không</w:t>
      </w:r>
      <w:r>
        <w:t xml:space="preserve"> phải IQ và kỹ năng kỹ thuật là không liên quan. Chúng có vai trò quan trọng, nhưng chủ yếu là 'năng lực ngưỡng' (threshold capabilities); nghĩa là chúng là những yêu cầu</w:t>
        <w:bookmarkStart w:id="605" w:name="page09_3"/>
        <w:t> </w:t>
        <w:bookmarkEnd w:id="605"/>
        <w:t>tối thiểu cho các vị trí điều hành. Nhưng nghiên cứu của tôi, cùng với các nghiên cứu khác gần đây, cho thấy rõ ràng rằng trí tuệ cảm xúc là điều kiện tiên quyết (sine qua non) của sự lãnh đạo. Nếu thiếu nó, một người có thể có sự đào tạo tốt nhất thế giới, một đầu óc phân tích sắc sảo, và nguồn cung vô tận những ý tưởng thông minh, nhưng vẫn sẽ không thể trở thành một nhà lãnh đạo vĩ đại.</w:t>
      </w:r>
    </w:p>
    <w:p>
      <w:pPr>
        <w:pStyle w:val="Normal"/>
      </w:pPr>
      <w:r>
        <w:t xml:space="preserve">Trong năm qua, tôi và các đồng nghiệp đã tập trung nghiên cứu cách trí tuệ cảm xúc vận hành trong công việc. Chúng tôi đã xem xét mối quan hệ giữa trí tuệ cảm xúc và hiệu quả công việc, đặc biệt ở các nhà lãnh đạo. Và chúng tôi đã quan sát cách trí tuệ cảm xúc thể hiện trong môi trường làm việc. Làm thế nào để bạn nhận biết một người có trí tuệ cảm xúc cao, và làm thế nào để bạn nhận ra nó ở chính</w:t>
        <w:bookmarkStart w:id="606" w:name="page09_4"/>
        <w:t> </w:t>
        <w:bookmarkEnd w:id="606"/>
        <w:t>mình? Trong các trang tiếp theo, chúng ta sẽ khám phá những câu hỏi này, lần lượt xem xét từng thành phần của trí tuệ cảm xúc—tự nhận thức (self-awareness), tự điều chỉnh (self-regulation), động lực (motivation), sự đồng cảm (empathy) và kỹ năng xã hội (social skill).</w:t>
      </w:r>
    </w:p>
    <w:p>
      <w:bookmarkStart w:id="607" w:name="EVALUATING_EMOTIONAL_INTELLIGENC"/>
      <w:pPr>
        <w:pStyle w:val="Para 040"/>
      </w:pPr>
      <w:r>
        <w:t>ĐÁNH GIÁ TRÍ TUỆ CẢM XÚC</w:t>
      </w:r>
      <w:bookmarkEnd w:id="607"/>
    </w:p>
    <w:p>
      <w:pPr>
        <w:pStyle w:val="Normal"/>
      </w:pPr>
      <w:r>
        <w:t xml:space="preserve">Ngày nay, hầu hết các công ty lớn đều thuê các nhà tâm lý học được đào tạo để phát triển cái gọi là 'mô hình năng lực' (competency models), nhằm hỗ trợ họ xác định, đào tạo và thăng chức cho những ngôi sao tiềm năng trên bầu trời lãnh đạo. Các nhà tâm lý học cũng đã phát triển các mô hình tương tự cho các vị trí cấp</w:t>
        <w:bookmarkStart w:id="608" w:name="page09_5"/>
        <w:t> </w:t>
        <w:bookmarkEnd w:id="608"/>
        <w:t>thấp hơn. Và trong những năm gần đây, tôi đã phân tích các mô hình năng lực từ 188 công ty, hầu hết đều là các công ty lớn và toàn cầu, bao gồm cả Lucent Technologies, British Airways và Credit Suisse.</w:t>
      </w:r>
    </w:p>
    <w:p>
      <w:pPr>
        <w:pStyle w:val="Normal"/>
      </w:pPr>
      <w:r>
        <w:t>Khi thực hiện công việc này, mục tiêu của tôi là xác định những năng lực cá nhân nào đã thúc đẩy hiệu suất vượt trội trong các tổ chức này, và chúng thúc đẩy ở mức độ nào. Tôi đã nhóm các năng lực thành ba loại: kỹ năng kỹ thuật thuần túy như kế toán và hoạch định kinh doanh; khả năng nhận thức như tư duy phân tích; và các năng lực thể hiện trí tuệ cảm xúc, chẳng hạn như khả năng làm việc với người khác và hiệu quả trong việc dẫn dắt thay đổi.</w:t>
      </w:r>
    </w:p>
    <w:p>
      <w:pPr>
        <w:pStyle w:val="Normal"/>
      </w:pPr>
      <w:r>
        <w:bookmarkStart w:id="609" w:name="page09_6"/>
        <w:t>Để</w:t>
        <w:bookmarkEnd w:id="609"/>
        <w:t> xây dựng một số mô hình năng lực, các nhà tâm lý học đã hỏi các quản lý cấp cao tại các công ty nhằm xác định những năng lực đặc trưng cho các nhà lãnh đạo xuất sắc nhất của tổ chức. Để tạo ra các mô hình khác, các nhà tâm lý học đã sử dụng các tiêu chí khách quan, chẳng hạn như lợi nhuận của một bộ phận, để phân biệt những người hoàn thành xuất sắc ở cấp cao trong tổ chức với những người ở mức trung bình. Những cá nhân đó sau đó được phỏng vấn và kiểm tra kỹ lưỡng, và các năng lực của họ được so sánh. Quá trình này dẫn đến việc tạo ra các danh sách các yếu tố tạo nên các nhà lãnh đạo hiệu quả cao. Các danh sách có độ dài từ 7 đến 15 mục và bao gồm các yếu tố như sự chủ động và tầm nhìn chiến lược.</w:t>
      </w:r>
    </w:p>
    <w:p>
      <w:pPr>
        <w:pStyle w:val="Normal"/>
      </w:pPr>
      <w:r>
        <w:bookmarkStart w:id="610" w:name="page09_7"/>
        <w:t>Khi</w:t>
        <w:bookmarkEnd w:id="610"/>
        <w:t> tôi phân tích tất cả dữ liệu này, tôi đã tìm thấy những kết quả đáng kinh ngạc. Chắc chắn, trí tuệ là một yếu tố thúc đẩy hiệu suất vượt trội. Các kỹ năng nhận thức như tư duy bao quát và tầm nhìn dài hạn đặc biệt quan trọng. Nhưng khi tôi tính toán tỷ lệ giữa kỹ năng kỹ thuật, chỉ số IQ và trí tuệ cảm xúc như những yếu tố tạo nên hiệu suất xuất sắc, trí tuệ cảm xúc hóa ra lại quan trọng gấp đôi so với các yếu tố khác đối với công việc ở mọi cấp độ.</w:t>
      </w:r>
    </w:p>
    <w:p>
      <w:pPr>
        <w:pStyle w:val="Normal"/>
      </w:pPr>
      <w:r>
        <w:t xml:space="preserve">Hơn nữa, phân tích của tôi cho thấy trí tuệ cảm xúc đóng vai trò ngày càng quan trọng ở các cấp cao nhất của công ty, nơi mà sự khác biệt về kỹ năng kỹ thuật có tầm quan trọng không đáng kể. Nói cách khác, vị trí của một người được</w:t>
        <w:bookmarkStart w:id="611" w:name="page09_8"/>
        <w:t> x</w:t>
        <w:bookmarkEnd w:id="611"/>
        <w:t>em là xuất sắc càng cao, thì các năng lực trí tuệ cảm xúc càng là yếu tố quyết định sự hiệu quả của họ. Khi tôi so sánh những người xuất sắc với những người trung bình ở các vị trí lãnh đạo cấp cao, gần 90% sự khác biệt trong hồ sơ năng lực của họ có thể giải thích bằng các yếu tố trí tuệ cảm xúc thay vì khả năng nhận thức.</w:t>
      </w:r>
    </w:p>
    <w:p>
      <w:pPr>
        <w:pStyle w:val="Normal"/>
      </w:pPr>
      <w:r>
        <w:t xml:space="preserve">Các nhà nghiên cứu khác đã xác nhận rằng trí tuệ cảm xúc không chỉ phân biệt các nhà lãnh đạo xuất sắc mà còn có thể liên quan đến hiệu quả công việc cao. Phát hiện của cố David McClelland, nhà nghiên cứu nổi tiếng về hành vi con người và tổ chức, là một ví dụ điển hình. Trong một nghiên cứu năm 1996 tại một công ty thực phẩm và đồ uống toàn cầu, McClelland nhận thấy rằng khi các quản</w:t>
        <w:bookmarkStart w:id="612" w:name="page09_9"/>
        <w:t> </w:t>
        <w:bookmarkEnd w:id="612"/>
        <w:t>lý cấp cao có một số lượng đủ lớn các năng lực trí tuệ cảm xúc, các bộ phận của họ đã vượt mục tiêu lợi nhuận hàng năm 20%. Trong khi đó, các lãnh đạo bộ phận không có số lượng đủ lớn đó lại hoạt động kém hơn gần như cùng một mức. Điều thú vị là, phát hiện của McClelland đúng ở cả các bộ phận tại Mỹ lẫn các bộ phận ở châu Á và châu Âu.</w:t>
      </w:r>
    </w:p>
    <w:p>
      <w:pPr>
        <w:pStyle w:val="Normal"/>
      </w:pPr>
      <w:r>
        <w:t>Tóm lại, những con số đang bắt đầu kể cho chúng ta một câu chuyện thuyết phục về mối liên hệ giữa thành công của công ty và trí tuệ cảm xúc của các nhà lãnh đạo. Và quan trọng không kém, nghiên cứu cũng đang chứng minh rằng con người có thể, nếu có cách tiếp cận đúng, phát triển trí tuệ cảm xúc của mình. (Xem phần bên lề “Trí tuệ cảm xúc có thể học được không?”)</w:t>
      </w:r>
    </w:p>
    <w:p>
      <w:bookmarkStart w:id="613" w:name="Can_Emotional_Intelligence_Be_Le"/>
      <w:pPr>
        <w:pStyle w:val="Para 115"/>
      </w:pPr>
      <w:r>
        <w:bookmarkStart w:id="614" w:name="page09_10"/>
        <w:t/>
        <w:bookmarkEnd w:id="614"/>
        <w:t>Trí tuệ cảm xúc có thể học được không?</w:t>
      </w:r>
      <w:bookmarkEnd w:id="613"/>
    </w:p>
    <w:p>
      <w:pPr>
        <w:pStyle w:val="Para 247"/>
      </w:pPr>
      <w:r>
        <w:t/>
      </w:r>
    </w:p>
    <w:p>
      <w:pPr>
        <w:pStyle w:val="Normal"/>
      </w:pPr>
      <w:r>
        <w:t>Từ lâu, người ta đã tranh luận liệu các nhà lãnh đạo là bẩm sinh hay được rèn luyện. Cuộc tranh luận về trí tuệ cảm xúc cũng tương tự. Ví dụ, con người sinh ra đã có sự đồng cảm ở mức độ nhất định, hay họ có được sự đồng cảm nhờ những trải nghiệm trong cuộc sống? Câu trả lời là cả hai. Nghiên cứu khoa học chỉ ra rằng có yếu tố di truyền trong trí tuệ cảm xúc. Nghiên cứu tâm lý và phát triển cho thấy sự nuôi dưỡng cũng đóng vai trò. Tỷ lệ của mỗi yếu tố có lẽ sẽ không bao giờ biết được, nhưng nghiên cứu và thực tiễn chứng minh rõ ràng rằng trí tuệ cảm xúc có thể học được.</w:t>
      </w:r>
    </w:p>
    <w:p>
      <w:pPr>
        <w:pStyle w:val="Normal"/>
      </w:pPr>
      <w:r>
        <w:t xml:space="preserve">Một điều chắc chắn là: Trí tuệ cảm xúc tăng theo tuổi tác. Có một từ cổ điển cho hiện</w:t>
        <w:bookmarkStart w:id="615" w:name="page09_11"/>
        <w:t> t</w:t>
        <w:bookmarkEnd w:id="615"/>
        <w:t>ượng này: sự trưởng thành. Tuy nhiên, ngay cả khi trưởng thành, một số người vẫn cần được đào tạo để nâng cao trí tuệ cảm xúc của họ. Không may là, quá nhiều chương trình đào tạo nhằm xây dựng kỹ năng lãnh đạo—bao gồm cả trí tuệ cảm xúc—lại lãng phí thời gian và tiền bạc. Vấn đề đơn giản là: chúng tập trung vào sai phần của não bộ.</w:t>
      </w:r>
    </w:p>
    <w:p>
      <w:pPr>
        <w:pStyle w:val="Normal"/>
      </w:pPr>
      <w:r>
        <w:t xml:space="preserve">Trí tuệ cảm xúc chủ yếu sinh ra từ các chất dẫn truyền thần kinh (neurotransmitters) trong hệ viền (limbic system) của não, nơi kiểm soát cảm xúc, xung động và ham muốn. Nghiên cứu chỉ ra rằng hệ viền học hỏi tốt nhất thông qua động lực, thực hành kéo dài và phản hồi. So sánh với kiểu học diễn ra ở tân vỏ não (neocortex), nơi kiểm soát khả năng phân tích và kỹ thuật. Tân vỏ não tiếp thu các khái niệm và logic. Đây là phần não giúp chúng ta biết cách sử dụng máy tính hoặc</w:t>
        <w:bookmarkStart w:id="616" w:name="page09_12"/>
        <w:t> t</w:t>
        <w:bookmarkEnd w:id="616"/>
        <w:t xml:space="preserve">hực hiện cuộc gọi bán hàng bằng cách đọc sách. Không ngạc nhiên—nhưng thật sai lầm—đây cũng là phần não mà hầu hết các chương trình đào tạo nhằm nâng cao trí tuệ cảm xúc nhắm tới. Khi các chương trình này thực chất áp dụng cách tiếp cận tân vỏ não, nghiên cứu của tôi với Tổ chức Nghiên cứu Trí tuệ Cảm xúc trong Các tổ chức (Consortium for Research on Emotional Intelligence in Organizations) đã chỉ ra rằng chúng thậm chí có thể có tác động</w:t>
      </w:r>
      <w:r>
        <w:rPr>
          <w:rStyle w:val="Text0"/>
        </w:rPr>
        <w:t> tiêu cực</w:t>
      </w:r>
      <w:r>
        <w:t xml:space="preserve"> đến hiệu suất công việc của mọi người.</w:t>
      </w:r>
    </w:p>
    <w:p>
      <w:pPr>
        <w:pStyle w:val="Normal"/>
      </w:pPr>
      <w:r>
        <w:t xml:space="preserve">Để nâng cao trí tuệ cảm xúc, các tổ chức phải định hướng lại chương trình đào tạo của họ để bao gồm cả hệ viền. Họ phải giúp mọi người phá bỏ những thói quen hành vi cũ và thiết lập những thói quen mới. Điều này không chỉ đòi hỏi nhiều thời gian hơn các chương trình đào</w:t>
        <w:bookmarkStart w:id="617" w:name="page09_13"/>
        <w:t> t</w:t>
        <w:bookmarkEnd w:id="617"/>
        <w:t>ạo thông thường mà còn đòi hỏi một cách tiếp cận cá nhân hóa.</w:t>
      </w:r>
    </w:p>
    <w:p>
      <w:pPr>
        <w:pStyle w:val="Normal"/>
      </w:pPr>
      <w:r>
        <w:t xml:space="preserve">Hãy tưởng tượng một nữ điều hành được đồng nghiệp đánh giá là thiếu sự đồng cảm. Một phần của sự thiếu hụt đó thể hiện ở việc không biết lắng nghe; cô ấy ngắt lời người khác và không chú ý kỹ đến những gì họ nói. Để khắc phục vấn đề, vị điều hành này cần có động lực để thay đổi, và sau đó cô ấy cần thực hành và nhận phản hồi từ những người khác trong công ty. Một đồng nghiệp hoặc huấn luyện viên (coach) có thể được chỉ định để cho vị điều hành biết khi nào họ quan sát thấy cô ấy không lắng nghe. Sau đó, cô ấy phải xem lại sự việc và đưa ra phản hồi tốt hơn; tức là chứng minh khả năng tiếp thu những gì người khác đang nói. Và vị điều hành có thể được hướng dẫn để quan sát một số nhà</w:t>
        <w:bookmarkStart w:id="618" w:name="page09_14"/>
        <w:t> </w:t>
        <w:bookmarkEnd w:id="618"/>
        <w:t>điều hành biết lắng nghe tốt và bắt chước hành vi của họ.</w:t>
      </w:r>
    </w:p>
    <w:p>
      <w:pPr>
        <w:pStyle w:val="Normal"/>
      </w:pPr>
      <w:r>
        <w:t>Với sự kiên trì và luyện tập, một quá trình như vậy có thể mang lại kết quả lâu dài. Tôi biết một giám đốc điều hành ở Wall Street từng tìm cách cải thiện sự đồng cảm của mình—cụ thể là khả năng đọc vị phản ứng của mọi người và nhìn nhận quan điểm của họ. Trước khi bắt đầu hành trình này, các cấp dưới của vị giám đốc đó rất sợ làm việc với ông. Thậm chí có người còn giấu nhẹm tin xấu khỏi ông. Tất nhiên, ông đã sốc khi cuối cùng đối diện với sự thật này. Về nhà, ông kể lại với gia đình—nhưng họ chỉ xác nhận những gì ông nghe được ở công ty. Khi quan điểm của họ về bất kỳ chủ đề nào không trùng với ông, họ cũng sợ ông.</w:t>
      </w:r>
    </w:p>
    <w:p>
      <w:pPr>
        <w:pStyle w:val="Normal"/>
      </w:pPr>
      <w:r>
        <w:t xml:space="preserve">Nhờ sự hỗ trợ của một huấn luyện viên, vị giám đốc bắt tay vào việc nâng cao sự</w:t>
        <w:bookmarkStart w:id="619" w:name="page09_15"/>
        <w:t> đ</w:t>
        <w:bookmarkEnd w:id="619"/>
        <w:t xml:space="preserve">ồng cảm thông qua thực hành và phản hồi. Bước đầu tiên, ông đi nghỉ ở một nước ngoài nơi ông không biết ngôn ngữ địa phương. Ở đó, ông theo dõi phản ứng của mình trước những điều xa lạ và sự cởi mở của mình với những người khác biệt với ông. Khi trở về nhà, thấy mình nhỏ bé sau một tuần ở nước ngoài, vị giám đốc nhờ huấn luyện viên theo sát ông trong một phần thời gian trong ngày, vài lần mỗi tuần, để nhận xét cách ông đối xử với những người có quan điểm mới mẻ hoặc khác biệt. Đồng thời, ông chủ động dùng các tương tác trong công việc làm cơ hội để thực hành “lắng nghe” những ý tưởng khác với mình. Cuối cùng, ông cho quay video các cuộc họp và nhờ những người làm việc cùng và cho ông nhận xét về khả năng thừa nhận và thấu hiểu cảm xúc của người khác. Mất vài tháng,</w:t>
        <w:bookmarkStart w:id="620" w:name="page09_16"/>
        <w:t> </w:t>
        <w:bookmarkEnd w:id="620"/>
        <w:t>nhưng trí tuệ cảm xúc của vị giám đốc cuối cùng đã tăng lên, và sự cải thiện đó được phản ánh qua hiệu suất làm việc tổng thể của ông.</w:t>
      </w:r>
    </w:p>
    <w:p>
      <w:pPr>
        <w:pStyle w:val="Normal"/>
      </w:pPr>
      <w:r>
        <w:t>Cần nhấn mạnh rằng việc xây dựng trí tuệ cảm xúc không thể—và sẽ không—xảy ra nếu thiếu khát khao chân thành và nỗ lực phối hợp. Một buổi hội thảo ngắn ngủi sẽ không giúp ích; cũng chẳng thể mua một cuốn sách chỉ dẫn. Học cách đồng cảm—biến sự đồng cảm thành phản ứng tự nhiên với mọi người—khó hơn nhiều so với việc thành thạo phân tích hồi quy. Nhưng điều đó có thể làm được. “Không có gì vĩ đại từng đạt được mà thiếu nhiệt huyết,” Ralph Waldo Emerson viết. Nếu mục tiêu của bạn là trở thành một nhà lãnh đạo thực thụ, những lời này có thể là kim chỉ nam trong nỗ lực phát triển trí tuệ cảm xúc cao của bạn.</w:t>
      </w:r>
    </w:p>
    <w:p>
      <w:pPr>
        <w:pStyle w:val="Para 247"/>
      </w:pPr>
      <w:r>
        <w:t/>
      </w:r>
    </w:p>
    <w:p>
      <w:bookmarkStart w:id="621" w:name="SELF_AWARENESS"/>
      <w:pPr>
        <w:pStyle w:val="Para 040"/>
      </w:pPr>
      <w:r>
        <w:bookmarkStart w:id="622" w:name="page09_17"/>
        <w:t/>
        <w:bookmarkEnd w:id="622"/>
        <w:t>TỰ NHẬN THỨC</w:t>
      </w:r>
      <w:bookmarkEnd w:id="621"/>
    </w:p>
    <w:p>
      <w:pPr>
        <w:pStyle w:val="Normal"/>
      </w:pPr>
      <w:r>
        <w:t>Tự nhận thức là thành phần đầu tiên của trí tuệ cảm xúc—điều này hợp lý khi người ta nhớ rằng nhà tiên tri Delphi từng đưa ra lời khuyên “biết chính mình” từ hàng ngàn năm trước. Tự nhận thức có nghĩa là hiểu sâu sắc về cảm xúc, điểm mạnh, điểm yếu, nhu cầu và động cơ của bản thân. Những người có khả năng tự nhận thức mạnh mẽ không quá khắt khe cũng không lạc quan một cách phi thực tế. Thay vào đó, họ thành thật—với bản thân và với người khác.</w:t>
      </w:r>
    </w:p>
    <w:p>
      <w:pPr>
        <w:pStyle w:val="Normal"/>
      </w:pPr>
      <w:r>
        <w:t xml:space="preserve">Những người có mức độ tự nhận thức cao nhận biết được cảm xúc của mình ảnh hưởng đến bản thân, người khác và hiệu quả công việc như thế nào. Do đó, một người tự nhận</w:t>
        <w:bookmarkStart w:id="623" w:name="page09_18"/>
        <w:t> </w:t>
        <w:bookmarkEnd w:id="623"/>
        <w:t>thức tốt biết rằng thời hạn gấp gáp khiến mình trở nên tồi tệ nhất sẽ lên kế hoạch thời gian cẩn thận và hoàn thành công việc sớm. Một người khác có khả năng tự nhận thức cao sẽ có thể làm việc với một khách hàng khó tính. Cô ấy sẽ hiểu được tác động của khách hàng đến tâm trạng của mình và lý do sâu xa cho sự bực bội. "Những yêu cầu vặt vãnh của họ khiến chúng ta rời xa công việc thực sự cần làm," cô có thể giải thích. Và cô ấy sẽ tiến xa hơn một bước, biến sự tức giận thành điều gì đó mang tính xây dựng.</w:t>
      </w:r>
    </w:p>
    <w:p>
      <w:pPr>
        <w:pStyle w:val="Normal"/>
      </w:pPr>
      <w:r>
        <w:t xml:space="preserve">Nhận thức về bản thân còn mở rộng đến sự hiểu biết của một người về các giá trị và mục tiêu của họ. Một người có khả năng tự nhận thức cao biết mình đang đi đến đâu và tại sao; vì vậy, ví dụ, họ có thể kiên quyết từ chối một lời mời làm việc hấp dẫn về mặt tài chính nhưng không phù hợp</w:t>
        <w:bookmarkStart w:id="624" w:name="page09_19"/>
        <w:t> </w:t>
        <w:bookmarkEnd w:id="624"/>
        <w:t>với nguyên tắc hoặc mục tiêu dài hạn của mình. Một người thiếu nhận thức về bản thân thường đưa ra những quyết định gây ra sự bất ổn nội tâm bằng cách giẫm đạp lên những giá trị tiềm ẩn. "Tiền trông có vẻ tốt nên tôi đã ký hợp đồng," ai đó có thể nói sau hai năm làm việc, "nhưng công việc này quá vô nghĩa với tôi đến mức tôi luôn thấy chán." Các quyết định của người tự nhận thức khớp với các giá trị của họ; do đó, họ thường thấy công việc tràn đầy năng lượng.</w:t>
      </w:r>
    </w:p>
    <w:p>
      <w:pPr>
        <w:pStyle w:val="Normal"/>
      </w:pPr>
      <w:r>
        <w:t xml:space="preserve">Làm thế nào để nhận ra sự tự nhận thức? Trước hết, nó thể hiện ở sự thẳng thắn và khả năng đánh giá bản thân một cách thực tế. Những người có mức độ tự nhận thức cao có thể nói chính xác và cởi mở – mặc dù không nhất thiết phải bộc lộ hay thú nhận – về cảm xúc của họ và tác động của chúng</w:t>
        <w:bookmarkStart w:id="625" w:name="page09_20"/>
        <w:t> </w:t>
        <w:bookmarkEnd w:id="625"/>
        <w:t>đối với công việc. Ví dụ, một quản lý mà tôi biết đã hoài nghi về một dịch vụ mua sắm cá nhân mới mà công ty của cô ấy, một chuỗi cửa hàng bách hóa lớn, sắp giới thiệu. Không cần đội ngũ của cô ấy hay sếp thúc giục, cô ấy đã giải thích: "Tôi thấy khó mà ủng hộ việc triển khai dịch vụ này," cô thừa nhận, "vì tôi thực sự muốn điều hành dự án, nhưng tôi không được chọn. Xin hãy kiên nhẫn với tôi trong khi tôi xử lý chuyện đó." Vị quản lý đó đã thực sự xem xét cảm xúc của mình; một tuần sau, cô ấy hoàn toàn ủng hộ dự án.</w:t>
      </w:r>
    </w:p>
    <w:p>
      <w:pPr>
        <w:pStyle w:val="Normal"/>
      </w:pPr>
      <w:r>
        <w:t xml:space="preserve">Sự tự nhận thức này thường thể hiện trong quá trình tuyển dụng. Hãy yêu cầu ứng viên mô tả một lần anh ta bị cảm xúc chi phối và làm điều gì đó mà sau này hối tiếc.</w:t>
        <w:bookmarkStart w:id="626" w:name="page09_21"/>
        <w:t> </w:t>
        <w:bookmarkEnd w:id="626"/>
        <w:t>Các ứng viên tự nhận thức sẽ thẳng thắn thừa nhận thất bại – và thường kể câu chuyện của họ với nụ cười. Một trong những dấu hiệu đặc trưng của sự tự nhận thức là khiếu hài hước tự chế giễu bản thân.</w:t>
      </w:r>
    </w:p>
    <w:p>
      <w:pPr>
        <w:pStyle w:val="Normal"/>
      </w:pPr>
      <w:r>
        <w:t>Sự tự nhận thức cũng có thể được nhận diện trong các buổi đánh giá hiệu quả công việc. Những người tự nhận thức biết – và thoải mái nói về – những hạn chế và điểm mạnh của họ, và họ thường thể hiện khát khao được nghe những lời phê bình mang tính xây dựng. Ngược lại, những người có mức độ tự nhận thức thấp lại coi thông điệp rằng họ cần cải thiện như một mối đe dọa hoặc dấu hiệu của sự thất bại.</w:t>
      </w:r>
    </w:p>
    <w:p>
      <w:pPr>
        <w:pStyle w:val="Normal"/>
      </w:pPr>
      <w:r>
        <w:t xml:space="preserve">Những người tự nhận thức (self-aware) cũng có thể được nhận biết qua sự tự tin của họ. Họ nắm rõ năng lực của mình và ít có khả năng tự</w:t>
        <w:bookmarkStart w:id="627" w:name="page09_22"/>
        <w:t> </w:t>
        <w:bookmarkEnd w:id="627"/>
        <w:t>đặt mình vào thất bại, chẳng hạn như ôm đồm quá nhiều việc. Họ cũng biết khi nào cần nhờ giúp đỡ. Và những rủi ro họ chấp nhận trong công việc đều được tính toán kỹ. Họ sẽ không yêu cầu một thử thách mà họ biết mình không thể xử lý một mình. Họ sẽ phát huy thế mạnh của mình.</w:t>
      </w:r>
    </w:p>
    <w:p>
      <w:pPr>
        <w:pStyle w:val="Normal"/>
      </w:pPr>
      <w:r>
        <w:t xml:space="preserve">Hãy xem hành động của một nhân viên cấp trung được mời tham dự cuộc họp chiến lược với các giám đốc điều hành cấp cao của công ty. Mặc dù là người có chức vụ thấp nhất trong phòng, cô ấy không ngồi đó một cách lặng lẽ, lắng nghe trong sự kinh ngạc hay sợ hãi. Cô biết mình có đầu óc logic rõ ràng và kỹ năng trình bày ý tưởng một cách thuyết phục, và cô đã đưa ra những đề xuất hợp lý về chiến lược của công ty. Đồng thời, sự tự nhận thức của</w:t>
        <w:bookmarkStart w:id="628" w:name="page09_23"/>
        <w:t> </w:t>
        <w:bookmarkEnd w:id="628"/>
        <w:t>cô đã ngăn cô đi vào những lĩnh vực mà cô biết mình còn yếu.</w:t>
      </w:r>
    </w:p>
    <w:p>
      <w:pPr>
        <w:pStyle w:val="Normal"/>
      </w:pPr>
      <w:r>
        <w:t>Mặc dù giá trị của việc có những người tự nhận thức ở nơi làm việc, nghiên cứu của tôi chỉ ra rằng các giám đốc điều hành cấp cao thường không đánh giá đúng mức sự tự nhận thức khi họ tìm kiếm những nhà lãnh đạo tiềm năng. Nhiều giám đốc nhầm lẫn sự thẳng thắn về cảm xúc với “sự yếu đuối” và không dành sự tôn trọng đúng mức cho những nhân viên công khai thừa nhận khuyết điểm của mình. Những người như vậy thường bị gạt bỏ một cách vội vàng vì “không đủ cứng rắn” để lãnh đạo người khác.</w:t>
      </w:r>
    </w:p>
    <w:p>
      <w:pPr>
        <w:pStyle w:val="Normal"/>
      </w:pPr>
      <w:r>
        <w:t xml:space="preserve">Thực ra, điều ngược lại mới đúng. Thứ nhất, mọi người thường ngưỡng mộ và tôn trọng sự thẳng thắn. Hơn nữa, các nhà lãnh đạo liên tục phải đưa ra những phán đoán đòi hỏi sự đánh giá thẳng thắn</w:t>
        <w:bookmarkStart w:id="629" w:name="page09_24"/>
        <w:t> </w:t>
        <w:bookmarkEnd w:id="629"/>
        <w:t>về năng lực—của chính họ và của người khác. Liệu chúng ta có đủ chuyên môn quản lý để mua lại một đối thủ cạnh tranh? Liệu chúng ta có thể tung ra sản phẩm mới trong vòng sáu tháng? Những người đánh giá bản thân một cách trung thực—tức là những người tự nhận thức—rất phù hợp để làm điều tương tự cho tổ chức mà họ điều hành.</w:t>
      </w:r>
    </w:p>
    <w:p>
      <w:bookmarkStart w:id="630" w:name="SELF_REGULATION"/>
      <w:pPr>
        <w:pStyle w:val="Para 040"/>
      </w:pPr>
      <w:r>
        <w:t>Tự điều chỉnh (Self-Regulation)</w:t>
      </w:r>
      <w:bookmarkEnd w:id="630"/>
    </w:p>
    <w:p>
      <w:pPr>
        <w:pStyle w:val="Normal"/>
      </w:pPr>
      <w:r>
        <w:t xml:space="preserve">Các xung động sinh học chi phối cảm xúc của chúng ta. Chúng ta không thể loại bỏ chúng—nhưng chúng ta có thể làm nhiều điều để kiểm soát chúng. Tự điều chỉnh, giống như một cuộc đối thoại nội tâm liên tục, là một thành phần của trí tuệ cảm xúc (emotional intelligence) giúp chúng ta thoát khỏi việc trở</w:t>
        <w:bookmarkStart w:id="631" w:name="page09_25"/>
        <w:t> t</w:t>
        <w:bookmarkEnd w:id="631"/>
        <w:t>hành tù nhân của cảm xúc. Những người tham gia vào cuộc đối thoại như vậy cũng cảm thấy tâm trạng tồi tệ và những xung động cảm xúc như mọi người khác, nhưng họ tìm cách kiểm soát chúng và thậm chí chuyển hóa chúng theo những cách hữu ích.</w:t>
      </w:r>
    </w:p>
    <w:p>
      <w:pPr>
        <w:pStyle w:val="Normal"/>
      </w:pPr>
      <w:r>
        <w:t>Hãy tưởng tượng một giám đốc điều hành vừa chứng kiến nhóm nhân viên của mình trình bày một bản phân tích hỏng bét trước hội đồng quản trị của công ty. Trong bầu không khí u ám sau đó, vị giám đốc có thể thấy mình bị cám dỗ muốn đập bàn vì tức giận hoặc đá văng một chiếc ghế. Anh ta có thể nhảy dựng lên và hét vào mặt cả nhóm. Hoặc anh ta có thể giữ im lặng một cách nghiệt ngã, trừng mắt nhìn mọi người rồi bỏ đi.</w:t>
      </w:r>
    </w:p>
    <w:p>
      <w:pPr>
        <w:pStyle w:val="Normal"/>
      </w:pPr>
      <w:r>
        <w:t xml:space="preserve">Nhưng nếu anh ấy có tài tự điều chỉnh (self-regulation), anh ấy sẽ chọn cách tiếp cận khác. Anh ấy sẽ chọn lời nói</w:t>
        <w:bookmarkStart w:id="632" w:name="page09_26"/>
        <w:t> </w:t>
        <w:bookmarkEnd w:id="632"/>
        <w:t>cẩn thận, thừa nhận màn trình diễn kém của đội mà không vội vàng phán xét. Sau đó, anh ấy sẽ lùi lại để xem xét nguyên nhân của thất bại. Liệu có phải do bản thân họ—thiếu nỗ lực? Có yếu tố giảm nhẹ nào không? Vai trò của anh ấy trong sự cố đó là gì? Sau khi xem xét những câu hỏi này, anh ấy sẽ họp đội lại, nêu rõ hậu quả của sự việc, và bày tỏ cảm nhận của mình về nó. Sau đó, anh ấy sẽ trình bày phân tích về vấn đề và một giải pháp đã được cân nhắc kỹ lưỡng.</w:t>
      </w:r>
    </w:p>
    <w:p>
      <w:pPr>
        <w:pStyle w:val="Normal"/>
      </w:pPr>
      <w:r>
        <w:t xml:space="preserve">Tại sao tự điều chỉnh lại quan trọng với các nhà lãnh đạo đến vậy? Trước hết, những người kiểm soát được cảm xúc và xung động của mình—nghĩa là những người lý trí—có thể tạo ra một môi trường tin cậy và công bằng. Trong môi trường đó, chính trị</w:t>
        <w:bookmarkStart w:id="633" w:name="page09_27"/>
        <w:t> </w:t>
        <w:bookmarkEnd w:id="633"/>
        <w:t>công sở và xung đột nội bộ giảm mạnh, và năng suất cao. Người tài đổ xô vào tổ chức và không bị cám dỗ rời bỏ. Và sự tự điều chỉnh có hiệu ứng lan tỏa. Không ai muốn bị coi là người nóng tính khi sếp nổi tiếng với cách tiếp cận điềm tĩnh của mình. Càng ít tâm trạng xấu ở cấp trên thì càng ít tâm trạng xấu trong toàn tổ chức.</w:t>
      </w:r>
    </w:p>
    <w:p>
      <w:pPr>
        <w:pStyle w:val="Normal"/>
      </w:pPr>
      <w:r>
        <w:t xml:space="preserve">Thứ hai, tự điều chỉnh quan trọng vì lý do cạnh tranh. Ai cũng biết rằng kinh doanh ngày nay đầy rẫy sự mơ hồ và thay đổi. Các công ty thường xuyên sáp nhập và chia tách. Công nghệ biến đổi công việc với tốc độ chóng mặt. Những người làm chủ cảm xúc của mình có thể thích nghi với sự thay đổi. Khi một chương trình mới được công bố, họ không hoảng loạn; thay</w:t>
        <w:bookmarkStart w:id="634" w:name="page09_28"/>
        <w:t> </w:t>
        <w:bookmarkEnd w:id="634"/>
        <w:t>vào đó, họ tạm gác phán xét, tìm kiếm thông tin, và lắng nghe các giám đốc điều hành giải thích về chương trình mới. Khi sáng kiến được triển khai, những người này có thể đi cùng nó.</w:t>
      </w:r>
    </w:p>
    <w:p>
      <w:pPr>
        <w:pStyle w:val="Normal"/>
      </w:pPr>
      <w:r>
        <w:t xml:space="preserve">Đôi khi họ còn dẫn đầu. Hãy xem trường hợp của một nữ quản lý tại một công ty sản xuất lớn. Giống như các đồng nghiệp của mình, cô ấy đã sử dụng một phần mềm nào đó trong năm năm. Phần mềm đó chi phối cách cô thu thập và báo cáo dữ liệu, cũng như cách cô suy nghĩ về chiến lược của công ty. Một ngày nọ, các giám đốc cấp cao thông báo rằng một phần mềm mới sẽ được cài đặt, thay đổi hoàn toàn cách thông tin được thu thập và đánh giá trong tổ chức. Trong khi nhiều người trong công</w:t>
        <w:bookmarkStart w:id="635" w:name="page09_29"/>
        <w:t> </w:t>
        <w:bookmarkEnd w:id="635"/>
        <w:t>ty phàn nàn cay đắng về sự xáo trộn mà thay đổi này mang lại, nữ quản lý đã suy ngẫm về lý do của chương trình mới và bị thuyết phục về tiềm năng cải thiện hiệu suất của nó. Cô háo hức tham gia các buổi đào tạo—một số đồng nghiệp của cô từ chối làm điều đó—và cuối cùng được thăng chức lên quản lý nhiều bộ phận, một phần vì cô sử dụng công nghệ mới hiệu quả đến vậy.</w:t>
      </w:r>
    </w:p>
    <w:p>
      <w:pPr>
        <w:pStyle w:val="Normal"/>
      </w:pPr>
      <w:r>
        <w:t xml:space="preserve">Tôi muốn đẩy tầm quan trọng của tự điều chỉnh đối với khả năng lãnh đạo xa hơn nữa và chứng minh rằng nó tăng cường tính chính trực, vốn không chỉ là một đức tính cá nhân mà còn là một thế mạnh của tổ chức. Nhiều điều tồi tệ xảy ra trong công ty là do hành vi bốc đồng. Người ta hiếm khi lên kế hoạch thổi phồng lợi nhuận, khai khống</w:t>
        <w:bookmarkStart w:id="636" w:name="page09_30"/>
        <w:t> </w:t>
        <w:bookmarkEnd w:id="636"/>
        <w:t>chi phí, thụt két, hay lạm dụng quyền lực vì mục đích ích kỷ. Thay vào đó, khi cơ hội xuất hiện, những người kiểm soát xung động kém chỉ cần nói đồng ý.</w:t>
      </w:r>
    </w:p>
    <w:p>
      <w:pPr>
        <w:pStyle w:val="Normal"/>
      </w:pPr>
      <w:r>
        <w:t xml:space="preserve">Ngược lại, hãy xem xét hành vi của một giám đốc cấp cao tại một công ty thực phẩm lớn. Vị giám đốc này vô cùng trung thực trong các cuộc đàm phán với các nhà phân phối địa phương. Ông thường trình bày chi tiết cơ cấu chi phí của mình, từ đó giúp các nhà phân phối hiểu rõ về cách định giá của công ty. Cách tiếp cận này khiến ông không phải lúc nào cũng có thể mặc cả quyết liệt. Đôi khi, ông cảm thấy thôi thúc muốn tăng lợi nhuận bằng cách giấu bớt thông tin về chi phí của công ty. Nhưng ông đã chống lại sự thôi thúc đó—ông nhận ra rằng về lâu dài, việc</w:t>
        <w:bookmarkStart w:id="637" w:name="page09_31"/>
        <w:t> </w:t>
        <w:bookmarkEnd w:id="637"/>
        <w:t>chống lại nó sẽ hợp lý hơn. Khả năng tự điều chỉnh cảm xúc của ông đã mang lại những mối quan hệ bền chặt và lâu dài với các nhà phân phối, có lợi cho công ty hơn bất kỳ khoản lợi nhuận ngắn hạn nào.</w:t>
      </w:r>
    </w:p>
    <w:p>
      <w:pPr>
        <w:pStyle w:val="Normal"/>
      </w:pPr>
      <w:r>
        <w:t>Vì vậy, các dấu hiệu của sự tự điều chỉnh cảm xúc rất dễ nhận thấy: thiên hướng suy ngẫm và thấu đáo; thoải mái với sự mơ hồ và thay đổi; và sự chính trực—khả năng nói không với những thôi thúc bốc đồng.</w:t>
      </w:r>
    </w:p>
    <w:p>
      <w:pPr>
        <w:pStyle w:val="Normal"/>
      </w:pPr>
      <w:r>
        <w:t xml:space="preserve">Giống như sự tự nhận thức, tự điều chỉnh thường không được đánh giá đúng mức. Những người có thể kiểm soát cảm xúc của mình đôi khi bị xem là người lạnh lùng—những phản ứng thận trọng của họ bị coi là thiếu đam mê. Những người có tính khí nóng nảy thường được nghĩ là những nhà lãnh đạo “kinh điển”—những cơn bộc phát của họ được</w:t>
        <w:bookmarkStart w:id="638" w:name="page09_32"/>
        <w:t> </w:t>
        <w:bookmarkEnd w:id="638"/>
        <w:t>coi là dấu ấn của sức hút và quyền lực. Nhưng khi những người như vậy lên đến đỉnh cao, sự bốc đồng của họ thường chống lại chính họ. Trong nghiên cứu của tôi, những biểu hiện cực đoan của cảm xúc tiêu cực chưa bao giờ là yếu tố thúc đẩy khả năng lãnh đạo tốt.</w:t>
      </w:r>
    </w:p>
    <w:p>
      <w:bookmarkStart w:id="639" w:name="MOTIVATION"/>
      <w:pPr>
        <w:pStyle w:val="Para 040"/>
      </w:pPr>
      <w:r>
        <w:t>ĐỘNG LỰC</w:t>
      </w:r>
      <w:bookmarkEnd w:id="639"/>
    </w:p>
    <w:p>
      <w:pPr>
        <w:pStyle w:val="Normal"/>
      </w:pPr>
      <w:r>
        <w:t xml:space="preserve">Nếu có một đặc điểm mà hầu như tất cả các nhà lãnh đạo hiệu quả đều có, thì đó là động lực. Họ bị thôi thúc để đạt được những điều vượt xa kỳ vọng—kỳ vọng của chính họ và của mọi người</w:t>
      </w:r>
      <w:r>
        <w:rPr>
          <w:rStyle w:val="Text0"/>
        </w:rPr>
        <w:t> khác.</w:t>
      </w:r>
      <w:r>
        <w:t xml:space="preserve"> Từ khóa ở đây là đạt được. Rất nhiều người bị thúc đẩy bởi các yếu tố bên ngoài, như mức lương cao hay địa vị từ việc có một chức danh ấn tượng hoặc là một phần của công</w:t>
        <w:bookmarkStart w:id="640" w:name="page09_33"/>
        <w:t> </w:t>
        <w:bookmarkEnd w:id="640"/>
        <w:t>ty danh tiếng. Ngược lại, những người có tiềm năng lãnh đạo lại được thúc đẩy bởi mong muốn đạt được vì chính sự thành công đó.</w:t>
      </w:r>
    </w:p>
    <w:p>
      <w:pPr>
        <w:pStyle w:val="Normal"/>
      </w:pPr>
      <w:r>
        <w:t>Nếu bạn đang tìm kiếm các nhà lãnh đạo, làm sao bạn có thể nhận diện những người được thúc đẩy bởi khát khao đạt được thành tựu thay vì phần thưởng bên ngoài? Dấu hiệu đầu tiên là niềm đam mê với công việc—những người như vậy tìm kiếm những thử thách sáng tạo, thích học hỏi và rất tự hào về một công việc được hoàn thành tốt. Họ cũng thể hiện một nguồn năng lượng không biết mệt mỏi để làm mọi thứ tốt hơn. Những người có năng lượng như vậy thường tỏ ra không hài lòng với hiện trạng. Họ kiên trì đặt câu hỏi về lý do tại sao mọi việc được làm theo cách này mà không phải cách khác; họ háo hức khám phá những cách tiếp cận mới trong công việc.</w:t>
      </w:r>
    </w:p>
    <w:p>
      <w:pPr>
        <w:pStyle w:val="Normal"/>
      </w:pPr>
      <w:r>
        <w:bookmarkStart w:id="641" w:name="page09_34"/>
        <w:t>Ví</w:t>
        <w:bookmarkEnd w:id="641"/>
        <w:t> dụ, một quản lý tại một công ty mỹ phẩm cảm thấy bực bội vì phải chờ hai tuần để nhận được kết quả bán hàng từ những người ở hiện trường. Cuối cùng, anh ta đã tìm ra một hệ thống điện thoại tự động có thể gọi bíp cho từng nhân viên bán hàng của mình lúc 5 giờ chiều mỗi ngày. Sau đó, một thông báo tự động nhắc họ nhập số liệu—số cuộc gọi và số lượt bán hàng họ đã thực hiện trong ngày. Hệ thống này đã giảm thời gian phản hồi kết quả bán hàng từ vài tuần xuống còn vài giờ.</w:t>
      </w:r>
    </w:p>
    <w:p>
      <w:pPr>
        <w:pStyle w:val="Normal"/>
      </w:pPr>
      <w:r>
        <w:t xml:space="preserve">Câu chuyện đó minh họa hai đặc điểm chung khác của những người khao khát đạt thành tích. Họ luôn nâng mức chuẩn hiệu suất, và họ thích ghi điểm. Hãy nói về mức chuẩn hiệu suất trước. Trong các buổi đánh giá hiệu suất, những người có động lực cao có thể yêu cầu được cấp trên 'thử thách'. Tất nhiên,</w:t>
        <w:bookmarkStart w:id="642" w:name="page09_35"/>
        <w:t> </w:t>
        <w:bookmarkEnd w:id="642"/>
        <w:t>một nhân viên kết hợp sự tự nhận thức (self-awareness) với động lực nội tại sẽ nhận ra giới hạn của mình—nhưng cô ấy sẽ không bằng lòng với những mục tiêu quá dễ.</w:t>
      </w:r>
    </w:p>
    <w:p>
      <w:pPr>
        <w:pStyle w:val="Normal"/>
      </w:pPr>
      <w:r>
        <w:t>Và tự nhiên là những người khao khát làm tốt hơn cũng muốn có một cách để theo dõi tiến trình—của bản thân, của đội nhóm, và của công ty. Trong khi những người có động lực đạt thành tích (achievement motivation) thấp thường mơ hồ về kết quả, thì những người có động lực đạt thành tích cao lại thường ghi điểm bằng cách theo dõi các thước đo cụ thể như lợi nhuận hoặc thị phần. Tôi biết một nhà quản lý quỹ bắt đầu và kết thúc ngày bằng việc lên mạng, đánh giá hiệu suất của quỹ cổ phiếu của anh ta so với bốn chuẩn mực do ngành đặt ra.</w:t>
      </w:r>
    </w:p>
    <w:p>
      <w:pPr>
        <w:pStyle w:val="Normal"/>
      </w:pPr>
      <w:r>
        <w:t xml:space="preserve">Điều thú vị là, những người có động lực cao vẫn lạc quan ngay cả khi tỉ số đang chống</w:t>
        <w:bookmarkStart w:id="643" w:name="page09_36"/>
        <w:t> </w:t>
        <w:bookmarkEnd w:id="643"/>
        <w:t>lại họ. Trong những trường hợp như vậy, sự tự điều chỉnh (self-regulation) kết hợp với động lực đạt thành tích để vượt qua sự chán nản và thất vọng sau một thất bại hoặc trở ngại. Hãy xem trường hợp của một nhà quản lý danh mục đầu tư khác tại một công ty đầu tư lớn. Sau nhiều năm thành công, quỹ của cô ấy sụt giảm trong ba quý liên tiếp, khiến ba khách hàng tổ chức lớn chuyển việc kinh doanh sang nơi khác.</w:t>
      </w:r>
    </w:p>
    <w:p>
      <w:pPr>
        <w:pStyle w:val="Normal"/>
      </w:pPr>
      <w:r>
        <w:t xml:space="preserve">Một số giám đốc điều hành có thể đổ lỗi cho sự lao dốc hoàn toàn vào những tình huống ngoài tầm kiểm soát; những người khác có thể xem thất bại đó là bằng chứng của sự thất bại cá nhân. Tuy nhiên, nhà quản lý danh mục đầu tư này lại xem đó là cơ hội để chứng minh cô có thể dẫn dắt một cuộc xoay chuyển (turnaround). Hai</w:t>
        <w:bookmarkStart w:id="644" w:name="page09_37"/>
        <w:t> n</w:t>
        <w:bookmarkEnd w:id="644"/>
        <w:t>ăm sau, khi được thăng chức lên vị trí rất cao trong công ty, cô mô tả trải nghiệm đó là 'điều tuyệt nhất từng xảy ra với tôi; tôi đã học được rất nhiều từ nó'.</w:t>
      </w:r>
    </w:p>
    <w:p>
      <w:pPr>
        <w:pStyle w:val="Normal"/>
      </w:pPr>
      <w:r>
        <w:t>Các giám đốc điều hành muốn nhận ra mức độ động lực đạt thành tích cao ở nhân viên có thể tìm một bằng chứng cuối cùng: cam kết với tổ chức. Khi mọi người yêu thích công việc của mình vì chính công việc đó, họ thường cảm thấy gắn bó với tổ chức đã tạo điều kiện cho công việc đó. Nhân viên tận tâm có xu hướng ở lại với tổ chức ngay cả khi bị các thợ săn đầu người vẫy tiền săn đón.</w:t>
      </w:r>
    </w:p>
    <w:p>
      <w:pPr>
        <w:pStyle w:val="Normal"/>
      </w:pPr>
      <w:r>
        <w:t xml:space="preserve">Không khó để hiểu làm thế nào và tại sao động lực đạt thành tích lại chuyển hóa thành khả năng lãnh đạo mạnh mẽ. Nếu bạn đặt mức chuẩn hiệu</w:t>
        <w:bookmarkStart w:id="645" w:name="page09_38"/>
        <w:t> s</w:t>
        <w:bookmarkEnd w:id="645"/>
        <w:t>uất cao cho bản thân, bạn sẽ làm điều tương tự cho tổ chức khi bạn ở vị trí có thể làm như vậy. Tương tự, sự thôi thúc vượt qua mục tiêu và sự quan tâm đến việc ghi điểm có thể lan tỏa. Các nhà lãnh đạo có những đặc điểm này thường có thể xây dựng một đội ngũ quản lý xung quanh họ với những đặc điểm tương tự. Và tất nhiên, sự lạc quan và cam kết với tổ chức là nền tảng của khả năng lãnh đạo—hãy thử tưởng tượng điều hành một công ty mà không có chúng.</w:t>
      </w:r>
    </w:p>
    <w:p>
      <w:bookmarkStart w:id="646" w:name="EMPATHY"/>
      <w:pPr>
        <w:pStyle w:val="Para 040"/>
      </w:pPr>
      <w:r>
        <w:t>sự đồng cảm</w:t>
      </w:r>
      <w:bookmarkEnd w:id="646"/>
    </w:p>
    <w:p>
      <w:pPr>
        <w:pStyle w:val="Normal"/>
      </w:pPr>
      <w:r>
        <w:t xml:space="preserve">Trong tất cả các khía cạnh của trí tuệ cảm xúc (emotional intelligence), sự đồng cảm (empathy) là dễ nhận thấy nhất. Chúng ta đều đã từng cảm nhận được sự đồng cảm của một người thầy hay người bạn tinh tế; chúng ta cũng đều từng bị tổn thương vì sự thiếu vắng đồng cảm nơi một</w:t>
        <w:bookmarkStart w:id="647" w:name="page09_39"/>
        <w:t> h</w:t>
        <w:bookmarkEnd w:id="647"/>
        <w:t>uấn luyện viên hay ông chủ vô tâm. Nhưng khi nói đến kinh doanh, hiếm khi ta nghe ai đó được khen ngợi, chứ chưa nói đến được tưởng thưởng, vì sự đồng cảm của họ. Chính từ này nghe có vẻ không hợp với kinh doanh, lạc lõng giữa những thực tế khắc nghiệt của thị trường.</w:t>
      </w:r>
    </w:p>
    <w:p>
      <w:pPr>
        <w:pStyle w:val="Normal"/>
      </w:pPr>
      <w:r>
        <w:t>Nhưng sự đồng cảm không có nghĩa là kiểu “tôi ổn, bạn ổn” mềm yếu. Đối với một nhà lãnh đạo, điều đó không có nghĩa là nhận lấy cảm xúc của người khác như của chính mình và cố gắng làm hài lòng tất cả mọi người. Điều đó sẽ là một cơn ác mộng—nó khiến cho hành động trở nên bất khả thi. Thay vào đó, sự đồng cảm có nghĩa là xem xét một cách chu đáo cảm xúc của nhân viên—cùng với các yếu tố khác—trong quá trình đưa ra quyết định thông minh.</w:t>
      </w:r>
    </w:p>
    <w:p>
      <w:pPr>
        <w:pStyle w:val="Normal"/>
      </w:pPr>
      <w:r>
        <w:t xml:space="preserve">Để có một ví dụ về sự đồng cảm trong hành động, hãy xem điều gì đã xảy ra khi hai công ty môi giới khổng lồ sáp</w:t>
        <w:bookmarkStart w:id="648" w:name="page09_40"/>
        <w:t> nh</w:t>
        <w:bookmarkEnd w:id="648"/>
        <w:t>ập, tạo ra các công việc trùng lặp ở tất cả các bộ phận. Một quản lý bộ phận đã tập hợp nhân viên lại và có một bài phát biểu ảm đạm nhấn mạnh số lượng người sẽ sớm bị sa thải. Quản lý của một bộ phận khác đã có một bài phát biểu khác. Anh ta thẳng thắn về sự lo lắng và bối rối của chính mình, và hứa sẽ giữ cho mọi người được thông tin và đối xử công bằng với tất cả mọi người.</w:t>
      </w:r>
    </w:p>
    <w:p>
      <w:pPr>
        <w:pStyle w:val="Normal"/>
      </w:pPr>
      <w:r>
        <w:t xml:space="preserve">Sự khác biệt giữa hai nhà quản lý này là sự đồng cảm. Người quản lý thứ nhất quá lo lắng về số phận của mình nên chẳng để tâm đến cảm xúc của các đồng nghiệp đang căng thẳng. Người thứ hai trực giác hiểu được nhân viên của mình đang cảm thấy gì, và anh ấy dùng lời nói để công nhận nỗi sợ của họ. Có gì ngạc nhiên khi người quản lý thứ nhất chứng kiến bộ phận</w:t>
        <w:bookmarkStart w:id="649" w:name="page09_41"/>
        <w:t> </w:t>
        <w:bookmarkEnd w:id="649"/>
        <w:t>của mình sa sút khi nhiều người mất tinh thần, đặc biệt là những người tài năng nhất, rời bỏ? Ngược lại, người quản lý thứ hai tiếp tục là một nhà lãnh đạo mạnh mẽ, những nhân viên giỏi nhất ở lại, và bộ phận của anh ấy vẫn năng suất như trước.</w:t>
      </w:r>
    </w:p>
    <w:p>
      <w:pPr>
        <w:pStyle w:val="Normal"/>
      </w:pPr>
      <w:r>
        <w:t>Sự đồng cảm đặc biệt quan trọng ngày nay như một thành phần của lãnh đạo vì ít nhất ba lý do: việc sử dụng các nhóm (team) ngày càng tăng; tốc độ toàn cầu hóa (globalization) ngày càng nhanh; và nhu cầu giữ chân nhân tài ngày càng lớn.</w:t>
      </w:r>
    </w:p>
    <w:p>
      <w:pPr>
        <w:pStyle w:val="Normal"/>
      </w:pPr>
      <w:r>
        <w:t xml:space="preserve">Hãy thử hình dung thách thức khi lãnh đạo một nhóm. Bất cứ ai từng là một phần của nhóm đều có thể chứng thực rằng, các nhóm là nơi sôi sục đủ loại cảm xúc. Họ thường được giao nhiệm vụ đạt được sự đồng thuận (consensus) — điều này vốn đã khó với hai người và càng khó hơn khi số lượng</w:t>
        <w:bookmarkStart w:id="650" w:name="page09_42"/>
        <w:t> </w:t>
        <w:bookmarkEnd w:id="650"/>
        <w:t>tăng lên. Ngay cả trong các nhóm chỉ có bốn hoặc năm thành viên, các liên minh (alliance) hình thành và các chương trình nghị sự xung đột được thiết lập. Lãnh đạo nhóm phải có khả năng cảm nhận và hiểu được quan điểm của mọi người xung quanh bàn.</w:t>
      </w:r>
    </w:p>
    <w:p>
      <w:pPr>
        <w:pStyle w:val="Normal"/>
      </w:pPr>
      <w:r>
        <w:t>Đó chính xác là điều mà một giám đốc tiếp thị (marketing) tại một công ty công nghệ thông tin lớn đã làm được khi cô được bổ nhiệm để lãnh đạo một nhóm đang gặp rắc rối. Nhóm này đang trong tình trạng hỗn loạn, quá tải công việc và trễ hạn. Căng thẳng giữa các thành viên rất cao. Chỉ mày mò sửa đổi quy trình thôi là không đủ để gắn kết nhóm và biến nó thành một bộ phận hiệu quả của công ty.</w:t>
      </w:r>
    </w:p>
    <w:p>
      <w:pPr>
        <w:pStyle w:val="Normal"/>
      </w:pPr>
      <w:r>
        <w:t xml:space="preserve">Vì vậy, người quản lý đã thực hiện nhiều bước. Trong một loạt các buổi gặp riêng, cô ấy dành thời gian lắng nghe từng người trong nhóm—điều</w:t>
        <w:bookmarkStart w:id="651" w:name="page09_43"/>
        <w:t> </w:t>
        <w:bookmarkEnd w:id="651"/>
        <w:t>gì khiến họ bực bội, họ đánh giá đồng nghiệp của mình như thế nào, liệu họ có cảm thấy bị phớt lờ hay không. Sau đó, cô ấy định hướng nhóm theo cách gắn kết hơn: Cô khuyến khích mọi người nói chuyện cởi mở hơn về những bức xúc của họ, và cô giúp họ đưa ra những lời phàn nàn mang tính xây dựng trong các cuộc họp. Nói ngắn gọn, sự thấu cảm (empathy) của cô đã giúp cô hiểu được cấu trúc cảm xúc của nhóm. Kết quả không chỉ là sự hợp tác tốt hơn giữa các thành viên mà còn mang lại thêm công việc kinh doanh, vì nhóm của cô được nhiều bộ phận nội bộ tìm đến nhờ giúp đỡ hơn.</w:t>
      </w:r>
    </w:p>
    <w:p>
      <w:pPr>
        <w:pStyle w:val="Normal"/>
      </w:pPr>
      <w:r>
        <w:t xml:space="preserve">Toàn cầu hóa là một lý do khác khiến sự thấu cảm ngày càng trở nên quan trọng đối với các nhà lãnh đạo doanh nghiệp. Đối thoại xuyên văn hóa (cross-cultural dialogue) dễ dàng dẫn đến sự</w:t>
        <w:bookmarkStart w:id="652" w:name="page09_44"/>
        <w:t> </w:t>
        <w:bookmarkEnd w:id="652"/>
        <w:t>hiểu lầm và sai sót. Sự thấu cảm là một liều thuốc giải độc. Những người có sự thấu cảm sẽ nhận biết được những tinh tế trong ngôn ngữ cơ thể; họ có thể nghe được thông điệp ẩn sau lời nói. Hơn thế nữa, họ có sự hiểu biết sâu sắc về sự tồn tại và tầm quan trọng của sự khác biệt văn hóa và dân tộc.</w:t>
      </w:r>
    </w:p>
    <w:p>
      <w:pPr>
        <w:pStyle w:val="Normal"/>
      </w:pPr>
      <w:r>
        <w:t xml:space="preserve">Hãy xem trường hợp của một chuyên gia tư vấn người Mỹ, người mà nhóm của ông vừa trình bày một dự án cho một khách hàng tiềm năng người Nhật. Trong giao dịch với người Mỹ, nhóm của ông đã quen với việc bị chất vấn dồn dập sau khi trình bày đề xuất như vậy, nhưng lần này họ chỉ nhận được sự im lặng kéo dài. Các thành viên khác trong nhóm, cho rằng sự im lặng đó là sự không đồng tình, đã sẵn sàng thu dọn đồ đạc để ra về. Chuyên gia tư vấn chính đã ra hiệu họ dừng</w:t>
        <w:bookmarkStart w:id="653" w:name="page09_45"/>
        <w:t> l</w:t>
        <w:bookmarkEnd w:id="653"/>
        <w:t>ại. Mặc dù không đặc biệt quen thuộc với văn hóa Nhật Bản, ông vẫn đọc được nét mặt và tư thế của khách hàng và cảm nhận được không phải sự từ chối mà là sự quan tâm—thậm chí là sự cân nhắc sâu sắc. Ông đã đúng: Khi khách hàng cuối cùng lên tiếng, họ đã giao công việc cho công ty tư vấn.</w:t>
      </w:r>
    </w:p>
    <w:p>
      <w:pPr>
        <w:pStyle w:val="Normal"/>
      </w:pPr>
      <w:r>
        <w:t>Cuối cùng, sự thấu cảm đóng vai trò then chốt trong việc giữ chân nhân tài, đặc biệt trong nền kinh tế tri thức ngày nay. Các nhà lãnh đạo luôn cần sự thấu cảm để phát triển và giữ chân những người giỏi, nhưng ngày nay rủi ro còn cao hơn. Khi những người giỏi ra đi, họ mang theo kiến thức của công ty.</w:t>
      </w:r>
    </w:p>
    <w:p>
      <w:pPr>
        <w:pStyle w:val="Normal"/>
      </w:pPr>
      <w:r>
        <w:t xml:space="preserve">Đây là lúc việc huấn luyện (coaching) và cố vấn (mentoring) phát huy tác dụng. Đã nhiều lần được chứng minh rằng huấn luyện và cố vấn không chỉ mang lại hiệu suất tốt hơn mà còn tăng sự</w:t>
        <w:bookmarkStart w:id="654" w:name="page09_46"/>
        <w:t> </w:t>
        <w:bookmarkEnd w:id="654"/>
        <w:t>hài lòng trong công việc và giảm tỷ lệ nghỉ việc. Nhưng điều làm cho huấn luyện và cố vấn hiệu quả nhất chính là bản chất của mối quan hệ. Các huấn luyện viên và cố vấn xuất sắc có thể hiểu được tâm lý của những người mà họ đang giúp đỡ. Họ cảm nhận được cách đưa ra phản hồi hiệu quả. Họ biết khi nào nên thúc đẩy người khác làm tốt hơn và khi nào nên dừng lại. Trong cách họ truyền động lực cho học trò (protégés), họ thể hiện sự thấu cảm qua hành động.</w:t>
      </w:r>
    </w:p>
    <w:p>
      <w:pPr>
        <w:pStyle w:val="Normal"/>
      </w:pPr>
      <w:r>
        <w:t xml:space="preserve">Có lẽ nghe như một điệp khúc, nhưng tôi xin nhắc lại rằng sự thấu cảm không được coi trọng lắm trong kinh doanh. Người ta thắc mắc làm sao các nhà lãnh đạo có thể đưa ra quyết định khó khăn nếu họ “cảm thông” với tất cả những người sẽ bị ảnh hưởng. Nhưng các nhà lãnh đạo có sự thấu cảm làm nhiều hơn là chỉ đồng cảm với những người xung</w:t>
        <w:bookmarkStart w:id="655" w:name="page09_47"/>
        <w:t> </w:t>
        <w:bookmarkEnd w:id="655"/>
        <w:t>quanh: Họ sử dụng sự hiểu biết của mình để cải thiện công ty theo những cách tinh tế nhưng quan trọng.</w:t>
      </w:r>
    </w:p>
    <w:p>
      <w:bookmarkStart w:id="656" w:name="SOCIAL_SKILL"/>
      <w:pPr>
        <w:pStyle w:val="Para 040"/>
      </w:pPr>
      <w:r>
        <w:t>KỸ NĂNG XÃ HỘI (SOCIAL SKILL)</w:t>
      </w:r>
      <w:bookmarkEnd w:id="656"/>
    </w:p>
    <w:p>
      <w:pPr>
        <w:pStyle w:val="Normal"/>
      </w:pPr>
      <w:r>
        <w:t xml:space="preserve">Ba thành phần đầu tiên của trí tuệ cảm xúc (emotional intelligence) là các kỹ năng tự quản lý. Hai thành phần cuối, sự đồng cảm (empathy) và kỹ năng xã hội, liên quan đến khả năng quản lý các mối quan hệ với người khác của một người. Là một thành phần của trí tuệ cảm xúc, kỹ năng xã hội không đơn giản như nghe có vẻ. Nó không chỉ là vấn đề thân thiện, mặc dù những người có kỹ năng xã hội cao hiếm khi có ác ý. Thay vào đó, kỹ năng xã hội là sự thân thiện có mục đích: hướng mọi người đến nơi bạn mong</w:t>
        <w:bookmarkStart w:id="657" w:name="page09_48"/>
        <w:t> </w:t>
        <w:bookmarkEnd w:id="657"/>
        <w:t>muốn, dù đó là sự đồng thuận về một chiến lược tiếp thị mới hay sự nhiệt tình với một sản phẩm mới.</w:t>
      </w:r>
    </w:p>
    <w:p>
      <w:pPr>
        <w:pStyle w:val="Normal"/>
      </w:pPr>
      <w:r>
        <w:t>Những người có kỹ năng xã hội thường có một mạng lưới quen biết rộng rãi, và họ có biệt tài tìm điểm chung với mọi loại người—một biệt tài xây dựng sự gắn kết (rapport). Điều đó không có nghĩa là họ giao tiếp liên tục; mà là họ làm việc theo nguyên tắc không có gì quan trọng được hoàn thành một mình. Những người như vậy đã có sẵn mạng lưới khi thời điểm hành động đến.</w:t>
      </w:r>
    </w:p>
    <w:p>
      <w:pPr>
        <w:pStyle w:val="Normal"/>
      </w:pPr>
      <w:r>
        <w:t xml:space="preserve">Kỹ năng xã hội là đỉnh cao của các khía cạnh khác của trí tuệ cảm xúc. Con người thường rất hiệu quả trong việc quản lý các mối quan hệ khi họ có thể hiểu và kiểm soát cảm xúc của chính mình và có thể đồng cảm với cảm xúc</w:t>
        <w:bookmarkStart w:id="658" w:name="page09_49"/>
        <w:t> </w:t>
        <w:bookmarkEnd w:id="658"/>
        <w:t>của người khác. Ngay cả động lực (motivation) cũng đóng góp vào kỹ năng xã hội. Hãy nhớ rằng những người có động lực đạt được thành tích thường lạc quan, ngay cả khi đối mặt với trở ngại hay thất bại. Khi mọi người vui vẻ, 'hào quang' của họ tỏa ra trong các cuộc trò chuyện và các tương tác xã hội khác. Họ được yêu mến, và điều đó hoàn toàn có lý do.</w:t>
      </w:r>
    </w:p>
    <w:p>
      <w:pPr>
        <w:pStyle w:val="Normal"/>
      </w:pPr>
      <w:r>
        <w:t xml:space="preserve">Bởi vì đó là kết quả của các khía cạnh khác của trí tuệ cảm xúc, kỹ năng xã hội có thể nhận ra trong công việc theo nhiều cách mà đến giờ chắc bạn đã thấy quen thuộc. Ví dụ, những người có kỹ năng xã hội giỏi thường thành thạo trong việc quản lý đội nhóm—đó là sự đồng cảm của họ trong hành động. Tương tự, họ là những nhà thuyết phục chuyên nghiệp—một biểu hiện của sự tự nhận thức, tự điều chỉnh và</w:t>
        <w:bookmarkStart w:id="659" w:name="page09_50"/>
        <w:t> </w:t>
        <w:bookmarkEnd w:id="659"/>
        <w:t>đồng cảm kết hợp. Với những kỹ năng đó, những người thuyết phục giỏi biết khi nào nên đưa ra lời kêu gọi về cảm xúc, chẳng hạn, và khi nào một lời kêu gọi lý trí sẽ hiệu quả hơn. Và động lực, khi được nhìn thấy công khai, khiến những người như vậy trở thành cộng sự xuất sắc; niềm đam mê với công việc của họ lan tỏa đến người khác, và họ luôn tìm kiếm giải pháp.</w:t>
      </w:r>
    </w:p>
    <w:p>
      <w:pPr>
        <w:pStyle w:val="Normal"/>
      </w:pPr>
      <w:r>
        <w:t xml:space="preserve">Nhưng đôi khi kỹ năng xã hội thể hiện theo những cách mà các thành phần khác của trí tuệ cảm xúc không có. Ví dụ, những người có kỹ năng xã hội có thể đôi khi có vẻ như không làm việc trong giờ làm việc. Họ có vẻ đang tán gẫu vu vơ—trò chuyện ở hành lang với đồng nghiệp hoặc đùa giỡn với những người không liên quan đến công việc 'chính' của họ. Tuy nhiên, những người có kỹ năng xã hội không</w:t>
        <w:bookmarkStart w:id="660" w:name="page09_51"/>
        <w:t> </w:t>
        <w:bookmarkEnd w:id="660"/>
        <w:t>nghĩ rằng việc giới hạn một cách tùy tiện phạm vi các mối quan hệ là hợp lý. Họ xây dựng mối quan hệ rộng rãi vì họ biết rằng trong thời buổi biến động này, họ có thể cần sự giúp đỡ từ những người họ mới quen hôm nay.</w:t>
      </w:r>
    </w:p>
    <w:p>
      <w:pPr>
        <w:pStyle w:val="Normal"/>
      </w:pPr>
      <w:r>
        <w:t xml:space="preserve">Ví dụ, hãy xem trường hợp một giám đốc điều hành trong bộ phận chiến lược của một nhà sản xuất máy tính toàn cầu. Đến năm 1993, ông tin rằng tương lai của công ty nằm ở Internet. Trong năm tiếp theo, ông tìm thấy những người cùng chí hướng và dùng kỹ năng xã hội của mình để gắn kết một cộng đồng ảo xuyên qua các cấp bậc, phòng ban và quốc gia. Sau đó, ông dùng đội ngũ thực tế này để lập một trang web công ty, một trong những trang web đầu tiên của một công ty lớn. Và, theo sáng kiến của riêng mình, không có ngân sách hay vị</w:t>
        <w:bookmarkStart w:id="661" w:name="page09_52"/>
        <w:t> </w:t>
        <w:bookmarkEnd w:id="661"/>
        <w:t>trí chính thức, ông đăng ký cho công ty tham gia một hội nghị ngành Internet thường niên. Kêu gọi đồng minh và thuyết phục các phòng ban khác nhau đóng góp kinh phí, ông đã tuyển hơn 50 người từ hơn một chục đơn vị khác nhau để đại diện cho công ty tại hội nghị.</w:t>
      </w:r>
    </w:p>
    <w:p>
      <w:pPr>
        <w:pStyle w:val="Normal"/>
      </w:pPr>
      <w:r>
        <w:t>Ban quản lý đã chú ý: Trong vòng một năm sau hội nghị, đội ngũ của giám đốc điều hành đó đã trở thành nền tảng cho bộ phận Internet đầu tiên của công ty, và ông được chính thức giao phụ trách bộ phận đó. Để đạt được điều đó, vị giám đốc đã bỏ qua các ranh giới thông thường, tạo dựng và duy trì các mối quan hệ với mọi người ở mọi ngóc ngách của tổ chức.</w:t>
      </w:r>
    </w:p>
    <w:p>
      <w:pPr>
        <w:pStyle w:val="Normal"/>
      </w:pPr>
      <w:r>
        <w:t xml:space="preserve">Kỹ năng xã hội có được coi là năng lực lãnh đạo then chốt ở hầu hết các công ty không? Câu trả lời là có, đặc biệt khi so sánh với các thành phần</w:t>
        <w:bookmarkStart w:id="662" w:name="page09_53"/>
        <w:t> </w:t>
        <w:bookmarkEnd w:id="662"/>
        <w:t>khác của trí tuệ cảm xúc. Mọi người dường như hiểu theo trực giác rằng các nhà lãnh đạo cần quản lý các mối quan hệ một cách hiệu quả; không nhà lãnh đạo nào là một hòn đảo. Rốt cuộc, nhiệm vụ của nhà lãnh đạo là hoàn thành công việc thông qua người khác, và kỹ năng xã hội giúp điều đó trở nên khả thi. Một nhà lãnh đạo không thể bày tỏ sự đồng cảm của mình thì cũng như không có nó vậy. Và động lực của một nhà lãnh đạo sẽ vô ích nếu anh ta không thể truyền đạt đam mê của mình đến tổ chức. Kỹ năng xã hội cho phép các nhà lãnh đạo đưa trí tuệ cảm xúc của họ vào công việc.</w:t>
      </w:r>
    </w:p>
    <w:p>
      <w:pPr>
        <w:pStyle w:val="Normal"/>
      </w:pPr>
      <w:r>
        <w:t xml:space="preserve">Sẽ thật ngớ ngẩn nếu khẳng định rằng chỉ số IQ truyền thống và khả năng kỹ thuật không phải là những thành phần quan trọng trong khả năng lãnh đạo mạnh mẽ. Nhưng công thức sẽ không hoàn chỉnh nếu thiếu trí tuệ cảm xúc. Người ta từng</w:t>
        <w:bookmarkStart w:id="663" w:name="page09_54"/>
        <w:t> </w:t>
        <w:bookmarkEnd w:id="663"/>
        <w:t>nghĩ rằng các thành phần của trí tuệ cảm xúc là "tốt để có" ở các nhà lãnh đạo doanh nghiệp. Nhưng giờ đây chúng ta biết rằng, vì lợi ích của hiệu suất, đây là những thành phần mà các nhà lãnh đạo "cần phải có".</w:t>
      </w:r>
    </w:p>
    <w:p>
      <w:pPr>
        <w:pStyle w:val="Normal"/>
      </w:pPr>
      <w:r>
        <w:t>Thật may mắn khi trí tuệ cảm xúc có thể học được. Quá trình này không hề dễ dàng. Nó cần thời gian và trên hết là sự cam kết. Nhưng những lợi ích đến từ việc có một trí tuệ cảm xúc phát triển tốt, cả cho cá nhân lẫn tổ chức, khiến nó xứng đáng với nỗ lực.</w:t>
      </w:r>
    </w:p>
    <w:p>
      <w:bookmarkStart w:id="664" w:name="The_five_components_of_emotional"/>
      <w:pPr>
        <w:pStyle w:val="Para 140"/>
        <w:keepLines w:val="on"/>
      </w:pPr>
      <w:r>
        <w:bookmarkStart w:id="665" w:name="page09_55"/>
        <w:t/>
        <w:bookmarkEnd w:id="665"/>
        <w:t>Năm thành phần của trí tuệ cảm xúc trong công việc</w:t>
      </w:r>
      <w:bookmarkEnd w:id="664"/>
    </w:p>
    <w:tbl>
      <w:tblPr>
        <w:tblW w:type="pct" w:w="5000"/>
      </w:tblPr>
      <w:tr>
        <w:tc>
          <w:tcPr>
            <w:tcW w:type="auto" w:w="0"/>
            <w:tcBorders>
              <w:bottom w:val="single" w:sz="2" w:color="000000"/>
            </w:tcBorders>
            <w:tcMar>
              <w:left w:type="dxa" w:w="220"/>
              <w:top w:type="dxa" w:w="100"/>
            </w:tcMar>
            <w:vAlign w:val="center"/>
          </w:tcPr>
          <w:p>
            <w:pPr>
              <w:pStyle w:val="Para 119"/>
              <w:keepLines w:val="on"/>
            </w:pPr>
            <w:r>
              <w:t xml:space="preserve"> </w:t>
              <w:br w:clear="none"/>
            </w:r>
          </w:p>
        </w:tc>
        <w:tc>
          <w:tcPr>
            <w:tcW w:type="auto" w:w="0"/>
            <w:tcBorders>
              <w:bottom w:val="single" w:sz="2" w:color="000000"/>
            </w:tcBorders>
            <w:tcMar>
              <w:left w:type="dxa" w:w="220"/>
              <w:top w:type="dxa" w:w="100"/>
            </w:tcMar>
            <w:vAlign w:val="center"/>
          </w:tcPr>
          <w:p>
            <w:pPr>
              <w:pStyle w:val="Para 119"/>
              <w:keepLines w:val="on"/>
            </w:pPr>
            <w:r>
              <w:t xml:space="preserve">Định nghĩa</w:t>
              <w:br w:clear="none"/>
            </w:r>
          </w:p>
        </w:tc>
        <w:tc>
          <w:tcPr>
            <w:tcW w:type="auto" w:w="0"/>
            <w:tcBorders>
              <w:bottom w:val="single" w:sz="2" w:color="000000"/>
            </w:tcBorders>
            <w:tcMar>
              <w:left w:type="dxa" w:w="220"/>
              <w:top w:type="dxa" w:w="100"/>
            </w:tcMar>
            <w:vAlign w:val="center"/>
          </w:tcPr>
          <w:p>
            <w:pPr>
              <w:pStyle w:val="Para 119"/>
              <w:keepLines w:val="on"/>
            </w:pPr>
            <w:r>
              <w:t xml:space="preserve">Đặc điểm nhận biết</w:t>
              <w:br w:clear="none"/>
            </w:r>
          </w:p>
        </w:tc>
      </w:tr>
      <w:tr>
        <w:tc>
          <w:tcPr>
            <w:tcW w:type="auto" w:w="0"/>
            <w:tcBorders>
              <w:top w:val="single" w:sz="2" w:color="000000"/>
              <w:bottom w:val="single" w:sz="2" w:color="000000"/>
            </w:tcBorders>
            <w:tcMar>
              <w:left w:type="dxa" w:w="280"/>
              <w:top w:type="dxa" w:w="140"/>
            </w:tcMar>
            <w:vAlign w:val="top"/>
          </w:tcPr>
          <w:p>
            <w:pPr>
              <w:pStyle w:val="Para 080"/>
              <w:keepLines w:val="on"/>
            </w:pPr>
            <w:r>
              <w:t xml:space="preserve">Tự nhận thức</w:t>
              <w:br w:clear="none"/>
            </w:r>
          </w:p>
        </w:tc>
        <w:tc>
          <w:tcPr>
            <w:tcW w:type="auto" w:w="0"/>
            <w:tcBorders>
              <w:top w:val="single" w:sz="2" w:color="000000"/>
              <w:bottom w:val="single" w:sz="2" w:color="000000"/>
            </w:tcBorders>
            <w:tcMar>
              <w:left w:type="dxa" w:w="280"/>
              <w:top w:type="dxa" w:w="140"/>
            </w:tcMar>
            <w:vAlign w:val="top"/>
          </w:tcPr>
          <w:p>
            <w:pPr>
              <w:pStyle w:val="Para 159"/>
              <w:keepLines w:val="on"/>
            </w:pPr>
            <w:r>
              <w:t xml:space="preserve">Khả năng nhận biết và hiểu tâm trạng, cảm xúc, động lực của bản thân, cũng như ảnh hưởng của chúng đến người khác</w:t>
              <w:br w:clear="none"/>
            </w:r>
          </w:p>
        </w:tc>
        <w:tc>
          <w:tcPr>
            <w:tcW w:type="auto" w:w="0"/>
            <w:tcBorders>
              <w:top w:val="single" w:sz="2" w:color="000000"/>
              <w:bottom w:val="single" w:sz="2" w:color="000000"/>
            </w:tcBorders>
            <w:tcMar>
              <w:left w:type="dxa" w:w="280"/>
              <w:top w:type="dxa" w:w="140"/>
            </w:tcMar>
            <w:vAlign w:val="top"/>
          </w:tcPr>
          <w:p>
            <w:pPr>
              <w:pStyle w:val="Para 018"/>
              <w:keepLines w:val="on"/>
            </w:pPr>
            <w:r>
              <w:t xml:space="preserve">Sự tự tin</w:t>
              <w:br w:clear="none"/>
            </w:r>
          </w:p>
          <w:p>
            <w:pPr>
              <w:pStyle w:val="Para 018"/>
              <w:keepLines w:val="on"/>
            </w:pPr>
            <w:r>
              <w:t xml:space="preserve">Tự đánh giá thực tế</w:t>
              <w:br w:clear="none"/>
            </w:r>
          </w:p>
          <w:p>
            <w:pPr>
              <w:pStyle w:val="Para 018"/>
              <w:keepLines w:val="on"/>
            </w:pPr>
            <w:r>
              <w:t xml:space="preserve">Khiếu hài hước tự giễu</w:t>
              <w:br w:clear="none"/>
            </w:r>
          </w:p>
        </w:tc>
      </w:tr>
      <w:tr>
        <w:tc>
          <w:tcPr>
            <w:tcW w:type="auto" w:w="0"/>
            <w:tcBorders>
              <w:top w:val="single" w:sz="2" w:color="000000"/>
              <w:bottom w:val="single" w:sz="2" w:color="000000"/>
            </w:tcBorders>
            <w:tcMar>
              <w:left w:type="dxa" w:w="280"/>
              <w:top w:type="dxa" w:w="140"/>
            </w:tcMar>
            <w:vAlign w:val="top"/>
          </w:tcPr>
          <w:p>
            <w:pPr>
              <w:pStyle w:val="Para 080"/>
              <w:keepLines w:val="on"/>
            </w:pPr>
            <w:r>
              <w:t xml:space="preserve">Sự tự điều chỉnh</w:t>
              <w:br w:clear="none"/>
            </w:r>
          </w:p>
        </w:tc>
        <w:tc>
          <w:tcPr>
            <w:tcW w:type="auto" w:w="0"/>
            <w:tcBorders>
              <w:top w:val="single" w:sz="2" w:color="000000"/>
              <w:bottom w:val="single" w:sz="2" w:color="000000"/>
            </w:tcBorders>
            <w:tcMar>
              <w:left w:type="dxa" w:w="280"/>
              <w:top w:type="dxa" w:w="140"/>
            </w:tcMar>
            <w:vAlign w:val="top"/>
          </w:tcPr>
          <w:p>
            <w:pPr>
              <w:pStyle w:val="Para 018"/>
              <w:keepLines w:val="on"/>
            </w:pPr>
            <w:r>
              <w:t xml:space="preserve">Khả năng kiểm soát hoặc chuyển hướng những xung động và tâm trạng gây rối</w:t>
              <w:br w:clear="none"/>
            </w:r>
          </w:p>
          <w:p>
            <w:pPr>
              <w:pStyle w:val="Para 018"/>
              <w:keepLines w:val="on"/>
            </w:pPr>
            <w:r>
              <w:t xml:space="preserve">Xu hướng trì hoãn phán xét – suy nghĩ trước khi hành động</w:t>
              <w:br w:clear="none"/>
            </w:r>
          </w:p>
        </w:tc>
        <w:tc>
          <w:tcPr>
            <w:tcW w:type="auto" w:w="0"/>
            <w:tcBorders>
              <w:top w:val="single" w:sz="2" w:color="000000"/>
              <w:bottom w:val="single" w:sz="2" w:color="000000"/>
            </w:tcBorders>
            <w:tcMar>
              <w:left w:type="dxa" w:w="280"/>
              <w:top w:type="dxa" w:w="140"/>
            </w:tcMar>
            <w:vAlign w:val="top"/>
          </w:tcPr>
          <w:p>
            <w:pPr>
              <w:pStyle w:val="Para 018"/>
              <w:keepLines w:val="on"/>
            </w:pPr>
            <w:r>
              <w:t xml:space="preserve">Sự đáng tin cậy và chính trực</w:t>
              <w:br w:clear="none"/>
            </w:r>
          </w:p>
          <w:p>
            <w:pPr>
              <w:pStyle w:val="Para 018"/>
              <w:keepLines w:val="on"/>
            </w:pPr>
            <w:r>
              <w:t xml:space="preserve">Sự thoải mái với sự mơ hồ</w:t>
              <w:br w:clear="none"/>
            </w:r>
          </w:p>
          <w:p>
            <w:pPr>
              <w:pStyle w:val="Para 018"/>
              <w:keepLines w:val="on"/>
            </w:pPr>
            <w:r>
              <w:t xml:space="preserve">Sự cởi mở với thay đổi</w:t>
              <w:br w:clear="none"/>
            </w:r>
          </w:p>
        </w:tc>
      </w:tr>
      <w:tr>
        <w:tc>
          <w:tcPr>
            <w:tcW w:type="auto" w:w="0"/>
            <w:tcBorders>
              <w:top w:val="single" w:sz="2" w:color="000000"/>
              <w:bottom w:val="single" w:sz="2" w:color="000000"/>
            </w:tcBorders>
            <w:tcMar>
              <w:left w:type="dxa" w:w="280"/>
              <w:top w:type="dxa" w:w="140"/>
            </w:tcMar>
            <w:vAlign w:val="top"/>
          </w:tcPr>
          <w:p>
            <w:pPr>
              <w:pStyle w:val="Para 080"/>
              <w:keepLines w:val="on"/>
            </w:pPr>
            <w:r>
              <w:t xml:space="preserve">Động lực</w:t>
              <w:br w:clear="none"/>
            </w:r>
          </w:p>
        </w:tc>
        <w:tc>
          <w:tcPr>
            <w:tcW w:type="auto" w:w="0"/>
            <w:tcBorders>
              <w:top w:val="single" w:sz="2" w:color="000000"/>
              <w:bottom w:val="single" w:sz="2" w:color="000000"/>
            </w:tcBorders>
            <w:tcMar>
              <w:left w:type="dxa" w:w="280"/>
              <w:top w:type="dxa" w:w="140"/>
            </w:tcMar>
            <w:vAlign w:val="top"/>
          </w:tcPr>
          <w:p>
            <w:pPr>
              <w:pStyle w:val="Para 018"/>
              <w:keepLines w:val="on"/>
            </w:pPr>
            <w:r>
              <w:t xml:space="preserve">Đam mê làm việc vì những lý do vượt xa tiền bạc hay địa vị</w:t>
              <w:br w:clear="none"/>
            </w:r>
          </w:p>
          <w:p>
            <w:pPr>
              <w:pStyle w:val="Para 018"/>
              <w:keepLines w:val="on"/>
            </w:pPr>
            <w:r>
              <w:t xml:space="preserve">Xu hướng theo đuổi mục tiêu với năng lượng và sự kiên trì</w:t>
              <w:br w:clear="none"/>
            </w:r>
          </w:p>
        </w:tc>
        <w:tc>
          <w:tcPr>
            <w:tcW w:type="auto" w:w="0"/>
            <w:tcBorders>
              <w:top w:val="single" w:sz="2" w:color="000000"/>
              <w:bottom w:val="single" w:sz="2" w:color="000000"/>
            </w:tcBorders>
            <w:tcMar>
              <w:left w:type="dxa" w:w="280"/>
              <w:top w:type="dxa" w:w="140"/>
            </w:tcMar>
            <w:vAlign w:val="top"/>
          </w:tcPr>
          <w:p>
            <w:pPr>
              <w:pStyle w:val="Para 159"/>
              <w:keepLines w:val="on"/>
            </w:pPr>
            <w:r>
              <w:t xml:space="preserve">Động lực mạnh mẽ để đạt được sự lạc quan, ngay cả khi đối mặt với thất bại và cam kết với tổ chức</w:t>
              <w:br w:clear="none"/>
            </w:r>
          </w:p>
        </w:tc>
      </w:tr>
      <w:tr>
        <w:tc>
          <w:tcPr>
            <w:tcW w:type="auto" w:w="0"/>
            <w:tcBorders>
              <w:top w:val="single" w:sz="2" w:color="000000"/>
              <w:bottom w:val="single" w:sz="2" w:color="000000"/>
            </w:tcBorders>
            <w:tcMar>
              <w:left w:type="dxa" w:w="280"/>
              <w:top w:type="dxa" w:w="140"/>
            </w:tcMar>
            <w:vAlign w:val="top"/>
          </w:tcPr>
          <w:p>
            <w:pPr>
              <w:pStyle w:val="Para 080"/>
              <w:keepLines w:val="on"/>
            </w:pPr>
            <w:r>
              <w:rPr>
                <w:rStyle w:val="Text1"/>
              </w:rPr>
            </w:r>
            <w:r>
              <w:t xml:space="preserve">Sự đồng cảm</w:t>
              <w:br w:clear="none"/>
            </w:r>
          </w:p>
        </w:tc>
        <w:tc>
          <w:tcPr>
            <w:tcW w:type="auto" w:w="0"/>
            <w:tcBorders>
              <w:top w:val="single" w:sz="2" w:color="000000"/>
              <w:bottom w:val="single" w:sz="2" w:color="000000"/>
            </w:tcBorders>
            <w:tcMar>
              <w:left w:type="dxa" w:w="280"/>
              <w:top w:type="dxa" w:w="140"/>
            </w:tcMar>
            <w:vAlign w:val="top"/>
          </w:tcPr>
          <w:p>
            <w:pPr>
              <w:pStyle w:val="Para 018"/>
              <w:keepLines w:val="on"/>
            </w:pPr>
            <w:r>
              <w:t xml:space="preserve">Khả năng hiểu cấu trúc cảm xúc của người khác</w:t>
              <w:br w:clear="none"/>
            </w:r>
          </w:p>
          <w:p>
            <w:pPr>
              <w:pStyle w:val="Para 018"/>
              <w:keepLines w:val="on"/>
            </w:pPr>
            <w:r>
              <w:t xml:space="preserve">Kỹ năng đối xử với mọi người dựa trên phản ứng cảm xúc của họ</w:t>
              <w:br w:clear="none"/>
            </w:r>
          </w:p>
        </w:tc>
        <w:tc>
          <w:tcPr>
            <w:tcW w:type="auto" w:w="0"/>
            <w:tcBorders>
              <w:top w:val="single" w:sz="2" w:color="000000"/>
              <w:bottom w:val="single" w:sz="2" w:color="000000"/>
            </w:tcBorders>
            <w:tcMar>
              <w:left w:type="dxa" w:w="280"/>
              <w:top w:type="dxa" w:w="140"/>
            </w:tcMar>
            <w:vAlign w:val="top"/>
          </w:tcPr>
          <w:p>
            <w:pPr>
              <w:pStyle w:val="Para 018"/>
              <w:keepLines w:val="on"/>
            </w:pPr>
            <w:r>
              <w:t xml:space="preserve">Chuyên môn trong việc xây dựng và giữ chân nhân tài</w:t>
              <w:br w:clear="none"/>
            </w:r>
          </w:p>
          <w:p>
            <w:pPr>
              <w:pStyle w:val="Para 018"/>
              <w:keepLines w:val="on"/>
            </w:pPr>
            <w:r>
              <w:t xml:space="preserve">Sự nhạy cảm đa văn hóa</w:t>
              <w:br w:clear="none"/>
            </w:r>
          </w:p>
          <w:p>
            <w:pPr>
              <w:pStyle w:val="Para 018"/>
              <w:keepLines w:val="on"/>
            </w:pPr>
            <w:r>
              <w:t xml:space="preserve">Sự phục vụ khách hàng</w:t>
              <w:br w:clear="none"/>
            </w:r>
          </w:p>
        </w:tc>
      </w:tr>
      <w:tr>
        <w:tc>
          <w:tcPr>
            <w:tcW w:type="auto" w:w="0"/>
            <w:tcBorders>
              <w:top w:val="single" w:sz="2" w:color="000000"/>
              <w:bottom w:val="single" w:sz="2" w:color="auto"/>
            </w:tcBorders>
            <w:tcMar>
              <w:left w:type="dxa" w:w="280"/>
              <w:top w:type="dxa" w:w="140"/>
            </w:tcMar>
            <w:vAlign w:val="top"/>
          </w:tcPr>
          <w:p>
            <w:pPr>
              <w:pStyle w:val="Para 080"/>
              <w:keepLines w:val="on"/>
            </w:pPr>
            <w:r>
              <w:t xml:space="preserve">Kỹ năng xã hội</w:t>
              <w:br w:clear="none"/>
            </w:r>
          </w:p>
        </w:tc>
        <w:tc>
          <w:tcPr>
            <w:tcW w:type="auto" w:w="0"/>
            <w:tcBorders>
              <w:top w:val="single" w:sz="2" w:color="000000"/>
              <w:bottom w:val="single" w:sz="2" w:color="auto"/>
            </w:tcBorders>
            <w:tcMar>
              <w:left w:type="dxa" w:w="280"/>
              <w:top w:type="dxa" w:w="140"/>
            </w:tcMar>
            <w:vAlign w:val="top"/>
          </w:tcPr>
          <w:p>
            <w:pPr>
              <w:pStyle w:val="Para 018"/>
              <w:keepLines w:val="on"/>
            </w:pPr>
            <w:r>
              <w:t xml:space="preserve">Sự thành thạo trong việc quản lý các mối quan hệ và xây dựng mạng lưới</w:t>
              <w:br w:clear="none"/>
            </w:r>
          </w:p>
          <w:p>
            <w:pPr>
              <w:pStyle w:val="Para 018"/>
              <w:keepLines w:val="on"/>
            </w:pPr>
            <w:r>
              <w:t xml:space="preserve">Khả năng tìm điểm chung và xây dựng sự gắn kết</w:t>
              <w:br w:clear="none"/>
            </w:r>
          </w:p>
        </w:tc>
        <w:tc>
          <w:tcPr>
            <w:tcW w:type="auto" w:w="0"/>
            <w:tcBorders>
              <w:top w:val="single" w:sz="2" w:color="000000"/>
              <w:bottom w:val="single" w:sz="2" w:color="auto"/>
            </w:tcBorders>
            <w:tcMar>
              <w:left w:type="dxa" w:w="280"/>
              <w:top w:type="dxa" w:w="140"/>
            </w:tcMar>
            <w:vAlign w:val="top"/>
          </w:tcPr>
          <w:p>
            <w:pPr>
              <w:pStyle w:val="Para 018"/>
              <w:keepLines w:val="on"/>
            </w:pPr>
            <w:r>
              <w:t xml:space="preserve">Hiệu quả trong việc dẫn dắt thay đổi</w:t>
              <w:br w:clear="none"/>
            </w:r>
          </w:p>
          <w:p>
            <w:pPr>
              <w:pStyle w:val="Para 018"/>
              <w:keepLines w:val="on"/>
            </w:pPr>
            <w:r>
              <w:t xml:space="preserve">Sức thuyết phục</w:t>
              <w:br w:clear="none"/>
            </w:r>
          </w:p>
          <w:p>
            <w:pPr>
              <w:pStyle w:val="Para 018"/>
              <w:keepLines w:val="on"/>
            </w:pPr>
            <w:r>
              <w:t xml:space="preserve">Chuyên môn trong việc xây dựng và lãnh đạo đội nhóm</w:t>
              <w:br w:clear="none"/>
            </w:r>
          </w:p>
        </w:tc>
      </w:tr>
    </w:tbl>
    <w:p>
      <w:bookmarkStart w:id="666" w:name="ABOUT_THE_AUTHOR_Daniel_Goleman_1"/>
      <w:bookmarkStart w:id="667" w:name="Top_of_09_06_About_the_author_xh"/>
      <w:pPr>
        <w:pStyle w:val="Para 053"/>
        <w:pageBreakBefore w:val="on"/>
      </w:pPr>
      <w:r>
        <w:bookmarkStart w:id="668" w:name="page09_57"/>
        <w:t/>
        <w:bookmarkEnd w:id="668"/>
        <w:t>VỀ TÁC GIẢ</w:t>
      </w:r>
      <w:bookmarkEnd w:id="666"/>
      <w:bookmarkEnd w:id="667"/>
    </w:p>
    <w:p>
      <w:pPr>
        <w:pStyle w:val="Normal"/>
      </w:pPr>
      <w:r>
        <w:t xml:space="preserve">Daniel Goleman là đồng giám đốc của Consortium for Research on Emotional Intelligence in Organizations tại Đại học Rutgers, đồng tác giả cuốn Primal</w:t>
      </w:r>
      <w:r>
        <w:rPr>
          <w:rStyle w:val="Text0"/>
        </w:rPr>
        <w:t> Leadership: Leading with Emotional Intelligence (Harvard</w:t>
      </w:r>
      <w:r>
        <w:t xml:space="preserve"> Business Review Press, 2013), và là tác giả của cuốn</w:t>
      </w:r>
      <w:r>
        <w:rPr>
          <w:rStyle w:val="Text0"/>
        </w:rPr>
        <w:t> The Brain and Emotional Intelligence: New Insights and Leadership: Selected Writings (More</w:t>
      </w:r>
      <w:r>
        <w:t xml:space="preserve"> Than Sound, 2011). Cuốn sách mới nhất của ông</w:t>
      </w:r>
      <w:r>
        <w:rPr>
          <w:rStyle w:val="Text0"/>
        </w:rPr>
        <w:t> là A Force for Good: The Dalai Lama’s Vision for Our World</w:t>
      </w:r>
      <w:r>
        <w:t xml:space="preserve"> (Bantam,</w:t>
        <w:bookmarkStart w:id="669" w:name="page09_58"/>
        <w:t> 2015).</w:t>
        <w:bookmarkEnd w:id="669"/>
      </w:r>
    </w:p>
    <w:p>
      <w:bookmarkStart w:id="670" w:name="Article_Summary_Idea_in_Brief_Wh"/>
      <w:bookmarkStart w:id="671" w:name="Top_of_09_07_Article_summary_xht"/>
      <w:pPr>
        <w:pStyle w:val="Para 066"/>
        <w:pageBreakBefore w:val="on"/>
      </w:pPr>
      <w:r>
        <w:bookmarkStart w:id="672" w:name="page09_59"/>
        <w:t/>
        <w:bookmarkEnd w:id="672"/>
        <w:t>Tóm tắt bài viết</w:t>
      </w:r>
      <w:bookmarkEnd w:id="670"/>
      <w:bookmarkEnd w:id="671"/>
    </w:p>
    <w:p>
      <w:pPr>
        <w:pStyle w:val="Para 067"/>
      </w:pPr>
      <w:r>
        <w:t>Ý tưởng chính</w:t>
      </w:r>
    </w:p>
    <w:p>
      <w:pPr>
        <w:pStyle w:val="Para 205"/>
      </w:pPr>
      <w:r>
        <w:t xml:space="preserve">Điều gì phân biệt các nhà lãnh đạo xuất sắc với những người chỉ giỏi một cách bình thường? Đó không phải là IQ hay kỹ năng kỹ thuật,</w:t>
      </w:r>
      <w:r>
        <w:rPr>
          <w:rStyle w:val="Text1"/>
        </w:rPr>
        <w:t> Daniel Goleman nói. Đó là</w:t>
      </w:r>
      <w:r>
        <w:t xml:space="preserve"> trí tuệ cảm xúc: một nhóm năm kỹ năng cho phép các nhà lãnh đạo giỏi nhất tối đa hóa</w:t>
      </w:r>
      <w:r>
        <w:rPr>
          <w:rStyle w:val="Text0"/>
        </w:rPr>
        <w:t> hiệu</w:t>
      </w:r>
      <w:r>
        <w:t xml:space="preserve"> suất của chính họ và của những người theo họ. Khi các quản lý cấp cao tại một công ty có một khối lượng tới hạn các khả năng EI, các bộ phận của họ đã vượt chỉ tiêu thu nhập hàng năm tới 20%.</w:t>
      </w:r>
    </w:p>
    <w:p>
      <w:pPr>
        <w:pStyle w:val="Para 206"/>
      </w:pPr>
      <w:r>
        <w:rPr>
          <w:rStyle w:val="Text8"/>
        </w:rPr>
        <w:bookmarkStart w:id="673" w:name="page09_60"/>
        <w:t/>
        <w:bookmarkEnd w:id="673"/>
      </w:r>
      <w:r>
        <w:t>Các kỹ năng trí tuệ cảm xúc (EI) bao gồm:</w:t>
      </w:r>
    </w:p>
    <w:p>
      <w:pPr>
        <w:numPr>
          <w:ilvl w:val="0"/>
          <w:numId w:val="20"/>
        </w:numPr>
        <w:pStyle w:val="Para 081"/>
      </w:pPr>
      <w:r>
        <w:rPr>
          <w:rStyle w:val="Text3"/>
        </w:rPr>
        <w:t>Tự nhận thức—hiểu</w:t>
      </w:r>
      <w:r>
        <w:t> rõ điểm mạnh, điểm yếu, động cơ, giá trị và ảnh hưởng của mình đến người khác.</w:t>
      </w:r>
    </w:p>
    <w:p>
      <w:pPr>
        <w:numPr>
          <w:ilvl w:val="0"/>
          <w:numId w:val="20"/>
        </w:numPr>
        <w:pStyle w:val="Para 081"/>
      </w:pPr>
      <w:r>
        <w:rPr>
          <w:rStyle w:val="Text3"/>
        </w:rPr>
        <w:t>Tự điều chỉnh—kiểm</w:t>
      </w:r>
      <w:r>
        <w:t> soát hoặc điều hướng những xung động và tâm trạng gây rối.</w:t>
      </w:r>
    </w:p>
    <w:p>
      <w:pPr>
        <w:numPr>
          <w:ilvl w:val="0"/>
          <w:numId w:val="20"/>
        </w:numPr>
        <w:pStyle w:val="Para 081"/>
      </w:pPr>
      <w:r>
        <w:rPr>
          <w:rStyle w:val="Text3"/>
        </w:rPr>
        <w:t>Động lực—trân</w:t>
      </w:r>
      <w:r>
        <w:t> trọng thành tựu vì chính giá trị của nó.</w:t>
      </w:r>
    </w:p>
    <w:p>
      <w:pPr>
        <w:numPr>
          <w:ilvl w:val="0"/>
          <w:numId w:val="20"/>
        </w:numPr>
        <w:pStyle w:val="Para 081"/>
      </w:pPr>
      <w:r>
        <w:rPr>
          <w:rStyle w:val="Text3"/>
        </w:rPr>
        <w:t>Đồng</w:t>
      </w:r>
      <w:r>
        <w:t> cảm—thấu hiểu cấu trúc cảm xúc của người khác.</w:t>
      </w:r>
    </w:p>
    <w:p>
      <w:pPr>
        <w:numPr>
          <w:ilvl w:val="0"/>
          <w:numId w:val="20"/>
        </w:numPr>
        <w:pStyle w:val="Para 081"/>
      </w:pPr>
      <w:r>
        <w:rPr>
          <w:rStyle w:val="Text3"/>
        </w:rPr>
        <w:t>Kỹ năng xã</w:t>
      </w:r>
      <w:r>
        <w:t> hội—xây dựng mối quan hệ với người khác để hướng họ theo mong muốn.</w:t>
      </w:r>
    </w:p>
    <w:p>
      <w:pPr>
        <w:pStyle w:val="Para 207"/>
      </w:pPr>
      <w:r>
        <w:t>Mỗi chúng ta sinh ra đã có sẵn những mức độ kỹ năng trí tuệ cảm xúc nhất định. Nhưng chúng ta có thể củng cố những khả năng này thông qua sự kiên trì, luyện tập và phản hồi từ đồng nghiệp hoặc huấn luyện viên.</w:t>
      </w:r>
    </w:p>
    <w:p>
      <w:bookmarkStart w:id="674" w:name="Top_of_10_03_title_xhtml"/>
      <w:bookmarkStart w:id="675" w:name="Harvard_Business_Review_CLASSICS_8"/>
      <w:pPr>
        <w:pStyle w:val="Para 032"/>
        <w:pageBreakBefore w:val="on"/>
      </w:pPr>
      <w:r>
        <w:t>Harvard Business Review</w:t>
      </w:r>
      <w:bookmarkEnd w:id="674"/>
      <w:bookmarkEnd w:id="675"/>
    </w:p>
    <w:p>
      <w:pPr>
        <w:pStyle w:val="Para 033"/>
      </w:pPr>
      <w:r>
        <w:t>KINH ĐIỂN</w:t>
      </w:r>
    </w:p>
    <w:p>
      <w:pPr>
        <w:pStyle w:val="Para 036"/>
      </w:pPr>
      <w:r>
        <w:t>Ý ĐỊNH CHIẾN LƯỢC</w:t>
      </w:r>
    </w:p>
    <w:p>
      <w:pPr>
        <w:pStyle w:val="Para 026"/>
      </w:pPr>
      <w:r>
        <w:t>Gary Hamel and C.K. Prahalad</w:t>
      </w:r>
    </w:p>
    <w:p>
      <w:pPr>
        <w:pStyle w:val="Para 012"/>
      </w:pPr>
      <w:r>
        <w:t>Harvard Business Review Press</w:t>
      </w:r>
    </w:p>
    <w:p>
      <w:pPr>
        <w:pStyle w:val="Para 012"/>
      </w:pPr>
      <w:r>
        <w:t>Boston, Massachusetts</w:t>
      </w:r>
    </w:p>
    <w:p>
      <w:bookmarkStart w:id="676" w:name="a11"/>
      <w:bookmarkStart w:id="677" w:name="sbo_rt_content_10"/>
      <w:bookmarkStart w:id="678" w:name="Top_of_11_cover_xhtml"/>
      <w:pPr>
        <w:pStyle w:val="Para 074"/>
        <w:pageBreakBefore w:val="on"/>
      </w:pPr>
      <w:r>
        <w:drawing>
          <wp:anchor distL="0" distR="0" distT="0" distB="0" simplePos="0" relativeHeight="1" behindDoc="0" locked="0" layoutInCell="1" allowOverlap="1">
            <wp:simplePos x="0" y="0"/>
            <wp:positionH relativeFrom="margin">
              <wp:align>left</wp:align>
            </wp:positionH>
            <wp:positionV relativeFrom="line">
              <wp:align>top</wp:align>
            </wp:positionV>
            <wp:extent cx="5372100" cy="8229600"/>
            <wp:effectExtent l="0" r="0" t="0" b="0"/>
            <wp:wrapTopAndBottom/>
            <wp:docPr id="29" name="10023_cover.jpg" descr="cover"/>
            <wp:cNvGraphicFramePr>
              <a:graphicFrameLocks noChangeAspect="1"/>
            </wp:cNvGraphicFramePr>
            <a:graphic>
              <a:graphicData uri="http://schemas.openxmlformats.org/drawingml/2006/picture">
                <pic:pic>
                  <pic:nvPicPr>
                    <pic:cNvPr id="0" name="10023_cover.jpg" descr="cover"/>
                    <pic:cNvPicPr/>
                  </pic:nvPicPr>
                  <pic:blipFill>
                    <a:blip r:embed="rId18"/>
                    <a:stretch>
                      <a:fillRect/>
                    </a:stretch>
                  </pic:blipFill>
                  <pic:spPr>
                    <a:xfrm>
                      <a:off x="0" y="0"/>
                      <a:ext cx="5372100" cy="8229600"/>
                    </a:xfrm>
                    <a:prstGeom prst="rect">
                      <a:avLst/>
                    </a:prstGeom>
                  </pic:spPr>
                </pic:pic>
              </a:graphicData>
            </a:graphic>
          </wp:anchor>
        </w:drawing>
      </w:r>
      <w:bookmarkEnd w:id="676"/>
      <w:bookmarkEnd w:id="677"/>
      <w:bookmarkEnd w:id="678"/>
    </w:p>
    <w:p>
      <w:bookmarkStart w:id="679" w:name="Copyright_2010_Harvard_Business"/>
      <w:bookmarkStart w:id="680" w:name="Top_of_10_04_copy_xhtml"/>
      <w:pPr>
        <w:pStyle w:val="Para 070"/>
        <w:pageBreakBefore w:val="on"/>
      </w:pPr>
      <w:r>
        <w:t>Bản quyền 2010 Harvard Business School Publishing Corporation</w:t>
      </w:r>
      <w:bookmarkEnd w:id="679"/>
      <w:bookmarkEnd w:id="680"/>
    </w:p>
    <w:p>
      <w:pPr>
        <w:pStyle w:val="Para 070"/>
      </w:pPr>
      <w:r>
        <w:t xml:space="preserve">Được xuất bản lần đầu trên tạp chí</w:t>
      </w:r>
      <w:r>
        <w:rPr>
          <w:rStyle w:val="Text0"/>
        </w:rPr>
        <w:t> Harvard Business Review vào</w:t>
      </w:r>
      <w:r>
        <w:t xml:space="preserve"> tháng 5 năm 1989</w:t>
      </w:r>
    </w:p>
    <w:p>
      <w:pPr>
        <w:pStyle w:val="Para 070"/>
      </w:pPr>
      <w:r>
        <w:t>Reprint #R0507NA</w:t>
      </w:r>
    </w:p>
    <w:p>
      <w:pPr>
        <w:pStyle w:val="Para 070"/>
      </w:pPr>
      <w:r>
        <w:t>Bảo lưu mọi quyền.</w:t>
      </w:r>
    </w:p>
    <w:p>
      <w:pPr>
        <w:pStyle w:val="09 Block"/>
      </w:pPr>
    </w:p>
    <w:p>
      <w:pPr>
        <w:pStyle w:val="Para 070"/>
      </w:pPr>
      <w:r>
        <w:t xml:space="preserve">Không một phần nào của ấn phẩm này được sao chép, lưu trữ hoặc đưa vào hệ thống truy xuất, hoặc truyền tải dưới bất kỳ hình thức nào hoặc bằng bất kỳ phương tiện nào (điện tử, cơ khí, sao chụp, ghi âm, hoặc cách khác) mà không có sự cho phép trước của nhà xuất bản. Đề nghị xin phép nên được gửi tới địa chỉ email</w:t>
      </w:r>
      <w:r>
        <w:rPr>
          <w:rStyle w:val="Text2"/>
        </w:rPr>
        <w:t> permissions@harvardbusiness.org,</w:t>
      </w:r>
      <w:r>
        <w:t> hoặc gửi thư tới Permissions, Harvard Business Review Publishing, 60 Harvard Way, Boston, Massachusetts 02163.</w:t>
      </w:r>
    </w:p>
    <w:p>
      <w:pPr>
        <w:pStyle w:val="Para 208"/>
      </w:pPr>
      <w:r>
        <w:t>Dữ liệu biên mục xuất bản của Thư viện Quốc hội Mỹ</w:t>
      </w:r>
    </w:p>
    <w:p>
      <w:pPr>
        <w:pStyle w:val="15 Block"/>
      </w:pPr>
    </w:p>
    <w:p>
      <w:pPr>
        <w:pStyle w:val="Para 070"/>
      </w:pPr>
      <w:r>
        <w:t>Hamel, Gary.</w:t>
      </w:r>
    </w:p>
    <w:p>
      <w:pPr>
        <w:pStyle w:val="Para 082"/>
      </w:pPr>
      <w:r>
        <w:t>Ý định chiến lược / Gary Hamel, C.K. Prahalad.</w:t>
      </w:r>
    </w:p>
    <w:p>
      <w:pPr>
        <w:pStyle w:val="Para 209"/>
      </w:pPr>
      <w:r>
        <w:t>p. cm. — (Harvard business review classics)</w:t>
      </w:r>
    </w:p>
    <w:p>
      <w:pPr>
        <w:pStyle w:val="Para 082"/>
      </w:pPr>
      <w:r>
        <w:t>ISBN 978-1-4221-5516-5 (bìa mềm : giấy bền)</w:t>
      </w:r>
    </w:p>
    <w:p>
      <w:pPr>
        <w:pStyle w:val="Para 082"/>
      </w:pPr>
      <w:r>
        <w:t>1. Hoạch định chiến lược. I. Prahalad, C. K. II. Nhan đề.</w:t>
      </w:r>
    </w:p>
    <w:p>
      <w:pPr>
        <w:pStyle w:val="Para 082"/>
      </w:pPr>
      <w:r>
        <w:t>HD30.28.H344 2010</w:t>
      </w:r>
    </w:p>
    <w:p>
      <w:pPr>
        <w:pStyle w:val="Para 082"/>
      </w:pPr>
      <w:r>
        <w:t>658.4’012—dc22</w:t>
      </w:r>
    </w:p>
    <w:p>
      <w:pPr>
        <w:pStyle w:val="Para 210"/>
      </w:pPr>
      <w:r>
        <w:t>2010002892</w:t>
      </w:r>
    </w:p>
    <w:p>
      <w:bookmarkStart w:id="681" w:name="THE_HARVARD_BUSINESSREVIEW_CLASS"/>
      <w:bookmarkStart w:id="682" w:name="Top_of_10_05_fm1_xhtml"/>
      <w:pPr>
        <w:pStyle w:val="Para 211"/>
        <w:pageBreakBefore w:val="on"/>
      </w:pPr>
      <w:r>
        <w:t>BỘ SÁCH KINH ĐIỂN</w:t>
        <w:br w:clear="none"/>
        <w:t> HARVARD BUSINESSREVIEW</w:t>
      </w:r>
      <w:bookmarkEnd w:id="681"/>
      <w:bookmarkEnd w:id="682"/>
    </w:p>
    <w:p>
      <w:pPr>
        <w:pStyle w:val="Normal"/>
      </w:pPr>
      <w:r>
        <w:t xml:space="preserve">Từ năm 1922,</w:t>
      </w:r>
      <w:r>
        <w:rPr>
          <w:rStyle w:val="Text0"/>
        </w:rPr>
        <w:t> Harvard Business Review là</w:t>
      </w:r>
      <w:r>
        <w:t xml:space="preserve"> nguồn cung cấp hàng đầu những ý tưởng đột phá trong thực tiễn quản lý—nhiều trong số đó vẫn còn vang vọng và ảnh hưởng đến chúng ta ngày nay. Bộ sách kinh điển HBR mang đến cho bạn cơ hội biến những tác phẩm quan trọng này thành một phần trong tủ sách quản lý lâu dài của mình. Mỗi tập sách chứa đựng một ý tưởng mang tính đột phá đã định hình các phương pháp thực hành tốt nhất và truyền cảm hứng cho vô số nhà quản lý trên toàn thế giới—và sẽ thay đổi cách bạn nhìn nhận thế giới kinh doanh ngày nay.</w:t>
      </w:r>
    </w:p>
    <w:p>
      <w:bookmarkStart w:id="683" w:name="Top_of_10_07_chapter_xhtml"/>
      <w:bookmarkStart w:id="684" w:name="Today_managers_in_many_industrie"/>
      <w:pPr>
        <w:pStyle w:val="Para 120"/>
        <w:pageBreakBefore w:val="on"/>
      </w:pPr>
      <w:r>
        <w:t>Ngày nay, các nhà quản lý trong nhiều ngành công nghiệp đang nỗ lực để theo kịp lợi thế cạnh tranh của các đối thủ toàn cầu mới. Họ chuyển sản xuất ra nước ngoài để tìm kiếm chi phí lao động thấp hơn, hợp lý hóa dòng sản phẩm để đạt được quy mô kinh tế toàn cầu, thiết lập các nhóm chất lượng và sản xuất đúng lúc (just-in-time), và áp dụng các phương pháp quản trị nhân sự của Nhật Bản. Khi khả năng cạnh tranh dường như vẫn ngoài tầm với, họ liên minh chiến lược—thường là với chính những công ty đã làm đảo lộn cán cân cạnh tranh ngay từ đầu.</w:t>
      </w:r>
      <w:bookmarkEnd w:id="683"/>
      <w:bookmarkEnd w:id="684"/>
    </w:p>
    <w:p>
      <w:pPr>
        <w:pStyle w:val="Normal"/>
      </w:pPr>
      <w:r>
        <w:t>Dù những sáng kiến này quan trọng, nhưng ít trong số đó vượt ra khỏi sự bắt chước đơn thuần. Quá nhiều công ty đang tiêu tốn năng lượng khổng lồ chỉ để tái tạo những lợi thế về chi phí và chất lượng mà các đối thủ toàn cầu của họ đã có. Bắt chước có thể là hình thức tâng bốc chân thành nhất, nhưng nó sẽ không dẫn đến sự phục hồi khả năng cạnh tranh. Các chiến lược dựa trên sự bắt chước là điều hiển nhiên đối với những đối thủ đã thành thạo chúng. Hơn nữa, các đối thủ thành công hiếm khi đứng yên. Vì vậy, không có gì ngạc nhiên khi nhiều nhà điều hành cảm thấy bị mắc kẹt trong một trò chơi đuổi bắt dường như vô tận—thường xuyên bị bất ngờ trước những thành tựu mới của đối thủ.</w:t>
      </w:r>
    </w:p>
    <w:p>
      <w:pPr>
        <w:pStyle w:val="Normal"/>
      </w:pPr>
      <w:r>
        <w:t>Đối với những nhà điều hành này và công ty của họ, việc giành lại khả năng cạnh tranh sẽ đồng nghĩa với việc xem xét lại nhiều khái</w:t>
      </w:r>
      <w:hyperlink w:anchor="1_3">
        <w:r>
          <w:rPr>
            <w:rStyle w:val="Text2"/>
          </w:rPr>
          <w:bookmarkStart w:id="685" w:name="1_2"/>
          <w:t> n</w:t>
          <w:bookmarkEnd w:id="685"/>
        </w:r>
      </w:hyperlink>
      <w:hyperlink w:anchor="1_3">
        <w:r>
          <w:rPr>
            <w:rStyle w:val="Text5"/>
          </w:rPr>
          <w:t>iệm</w:t>
        </w:r>
      </w:hyperlink>
      <w:r>
        <w:t xml:space="preserve"> cơ bản về chiến lược.1 Khi 'chiến lược' nở rộ, khả năng cạnh tranh của các công ty phương Tây lại héo úa. Đây có thể là sự trùng hợp, nhưng chúng tôi nghĩ không phải. Chúng tôi tin rằng việc áp dụng các khái niệm như 'phù hợp chiến lược' (giữa nguồn lực và cơ hội), 'chiến lược tổng quát' (chi phí thấp so với khác biệt hóa so với tập trung), và 'hệ thống phân cấp chiến lược' (mục tiêu, chiến lược và chiến thuật) thường đã tiếp tay cho quá trình suy giảm khả năng cạnh tranh. Các đối thủ toàn cầu mới tiếp cận chiến lược từ một góc nhìn hoàn toàn khác với nền tảng tư duy quản lý phương Tây. Khi đối đầu với những đối thủ như vậy, những điều chỉnh nhỏ lẻ đối với các lối mòn hiện tại cũng khó có thể tạo ra sự phục hồi cạnh tranh như những cải tiến nhỏ trong hiệu quả hoạt động. (Phần bên lề ở cuối bài viết này, 'Tái tạo Chiến lược', mô tả nghiên cứu của chúng tôi và tóm tắt hai cách tiếp cận chiến lược tương phản mà chúng tôi thấy ở các công ty đa quốc gia lớn.)</w:t>
      </w:r>
    </w:p>
    <w:p>
      <w:pPr>
        <w:pStyle w:val="Normal"/>
      </w:pPr>
      <w:r>
        <w:t>Rất ít công ty phương Tây có thành tích đáng ngưỡng mộ trong việc dự đoán trước các bước đi của các đối thủ toàn cầu mới. Tại sao? Lời giải thích bắt đầu từ cách hầu hết các công ty tiếp cận phân tích đối thủ cạnh tranh. Thông thường, phân tích đối thủ cạnh tranh tập trung vào các nguồn lực hiện có (nhân lực, kỹ thuật và tài chính) của các đối thủ hiện tại. Chỉ những công ty có đủ nguồn lực để bào mòn biên lợi nhuận và thị phần trong kỳ kế hoạch tới mới được xem là mối đe dọa. Sự tháo vát (resourcefulness), tốc độ xây dựng các lợi thế cạnh tranh mới, hiếm khi được đưa vào xem xét.</w:t>
      </w:r>
    </w:p>
    <w:p>
      <w:pPr>
        <w:pStyle w:val="Normal"/>
      </w:pPr>
      <w:r>
        <w:t>Về mặt này, phân tích đối thủ cạnh tranh truyền thống giống như một bức ảnh chụp một chiếc xe đang chuyển động. Tự bản thân bức ảnh không cung cấp nhiều thông tin về tốc độ hay hướng đi của chiếc xe—liệu người lái đang đi dạo yên bình vào Chủ nhật hay đang khởi động cho giải Grand Prix. Tuy nhiên, nhiều nhà quản lý đã học được qua những trải nghiệm đau đớn rằng nguồn lực ban đầu của một doanh nghiệp (dù dồi dào hay khiêm tốn) là một yếu tố dự báo không đáng tin cậy cho sự thành công toàn cầu trong tương lai.</w:t>
      </w:r>
    </w:p>
    <w:p>
      <w:pPr>
        <w:pStyle w:val="Normal"/>
      </w:pPr>
      <w:r>
        <w:t>Hãy nhớ lại. Vào năm 1970, hiếm có công ty Nhật Bản nào có nguồn lực, quy mô sản xuất hoặc trình độ kỹ thuật vượt trội như các nhà lãnh đạo ngành công nghiệp Mỹ và châu Âu. Komatsu chỉ bằng chưa đầy 35% quy mô của Caterpillar (tính theo doanh số), hầu như không có mặt bên ngoài Nhật Bản, và phụ thuộc vào một dòng sản phẩm duy nhất—xe ủi nhỏ—cho phần lớn doanh thu. Honda nhỏ hơn American Motors và chưa bắt đầu xuất khẩu ô tô sang Mỹ. Những bước đi chập chững đầu tiên của Canon trong lĩnh vực kinh doanh máy photocopy trông thật nhỏ bé đáng thương so với gã khổng lồ Xerox trị giá 4 tỷ đô la.</w:t>
      </w:r>
    </w:p>
    <w:p>
      <w:pPr>
        <w:pStyle w:val="Normal"/>
      </w:pPr>
      <w:r>
        <w:t>Nếu các nhà quản lý phương Tây mở rộng phân tích đối thủ cạnh tranh để bao gồm các công ty này, họ sẽ chỉ càng nhấn mạnh sự chênh lệch nguồn lực giữa các bên lớn đến mức nào. Thế nhưng đến năm 1985, Komatsu đã là công ty trị giá 2,8 tỷ đô la với danh mục sản phẩm bao gồm nhiều loại thiết bị làm đất, robot công nghiệp và chất bán dẫn. Năm 1987, Honda sản xuất gần bằng Chrysler về số lượng ô tô trên toàn cầu. Canon đã đạt được thị phần toàn cầu (tính theo số lượng sản phẩm) ngang bằng với Xerox.</w:t>
      </w:r>
    </w:p>
    <w:p>
      <w:pPr>
        <w:pStyle w:val="Normal"/>
      </w:pPr>
      <w:r>
        <w:t>Bài học thật rõ ràng: đánh giá lợi thế chiến thuật hiện tại của các đối thủ đã biết sẽ không giúp bạn hiểu được quyết tâm, sức bền và sự sáng tạo của các đối thủ tiềm năng. Tôn Tử, một nhà chiến lược quân sự Trung Quốc, đã nêu quan điểm này từ 3.000 năm trước: “Mọi người đều thấy được chiến thuật mà ta dùng để chinh phục”, ông viết, “nhưng không ai thấy được chiến lược tạo nên chiến thắng vĩ đại.”</w:t>
      </w:r>
    </w:p>
    <w:p>
      <w:pPr>
        <w:pStyle w:val="Normal"/>
      </w:pPr>
      <w:r>
        <w:t>Các công ty đã vươn lên vị trí dẫn đầu toàn cầu trong 20 năm qua luôn bắt đầu với những tham vọng vượt xa nguồn lực và khả năng của họ. Nhưng họ đã tạo ra một nỗi ám ảnh về chiến thắng ở mọi cấp độ trong tổ chức, và duy trì nỗi ám ảnh đó suốt hành trình 10 đến 20 năm để chinh phục vị trí dẫn đầu toàn cầu. Chúng tôi gọi nỗi ám ảnh này là “ý đồ chiến lược” (strategic intent).</w:t>
      </w:r>
    </w:p>
    <w:p>
      <w:pPr>
        <w:pStyle w:val="Normal"/>
      </w:pPr>
      <w:r>
        <w:t>Một mặt, ý đồ chiến lược hình dung ra vị trí dẫn đầu mong muốn và xác lập tiêu chí mà tổ chức sẽ dùng để đo lường tiến trình của mình. Komatsu đặt mục tiêu “Bao vây Caterpillar”. Canon tìm cách “Đánh bại Xerox”. Honda phấn đấu để trở thành một Ford thứ hai—một nhà tiên phong trong ngành ô tô. Tất cả đều là biểu hiện của ý đồ chiến lược.</w:t>
      </w:r>
    </w:p>
    <w:p>
      <w:pPr>
        <w:pStyle w:val="Normal"/>
      </w:pPr>
      <w:r>
        <w:t>Đồng thời, ý đồ chiến lược không chỉ đơn thuần là tham vọng không giới hạn. (Nhiều công ty sở hữu một ý đồ chiến lược đầy tham vọng nhưng vẫn không đạt được mục tiêu của mình.) Khái niệm này còn bao hàm một quy trình quản lý chủ động, bao gồm: tập trung sự chú ý của tổ chức vào bản chất của việc chiến thắng; tạo động lực cho mọi người bằng cách truyền đạt giá trị của mục tiêu; chừa không gian cho những đóng góp của cá nhân và đội nhóm; duy trì sự nhiệt huyết bằng cách cung cấp các định nghĩa vận hành mới khi hoàn cảnh thay đổi; và sử dụng ý đồ một cách nhất quán để định hướng việc phân bổ nguồn lực.</w:t>
      </w:r>
    </w:p>
    <w:p>
      <w:bookmarkStart w:id="686" w:name="STRATEGIC_INTENT_CAPTURES_THE_ES"/>
      <w:pPr>
        <w:pStyle w:val="Heading 2"/>
      </w:pPr>
      <w:r>
        <w:t>Ý ĐỊNH CHIẾN LƯỢC THỂ HIỆN CỐT LÕI CỦA SỰ CHIẾN THẮNG</w:t>
      </w:r>
      <w:bookmarkEnd w:id="686"/>
    </w:p>
    <w:p>
      <w:pPr>
        <w:pStyle w:val="Normal"/>
      </w:pPr>
      <w:r>
        <w:t>Chương trình Apollo—đưa con người lên mặt trăng trước Liên Xô—cũng tập trung vào cạnh tranh như nỗ lực của Komatsu nhằm chống lại Caterpillar. Chương trình không gian trở thành thước đo cho cuộc đua công nghệ của Mỹ với Liên Xô. Trong ngành công nghệ thông tin đầy biến động, rất khó để chọn một đối thủ duy nhất làm mục tiêu, nên ý định chiến lược của NEC, được xác lập từ đầu những năm 1970, là tiếp nhận các công nghệ để đặt mình ở vị trí tốt nhất nhằm khai thác sự hội tụ giữa điện toán và viễn thông. Các nhà quan sát ngành khác cũng dự đoán sự hội tụ này, nhưng chỉ có NEC biến sự hội tụ thành chủ đề định hướng cho các quyết định chiến lược tiếp theo bằng cách chọn 'điện toán và truyền thông' làm ý định của mình. Đối với Coca-Cola, ý định chiến lược là đặt một chai Coke trong tầm tay của mọi người tiêu dùng trên thế giới.</w:t>
      </w:r>
    </w:p>
    <w:p>
      <w:bookmarkStart w:id="687" w:name="STRATEGIC_INTENT_IS_STABLE_OVER"/>
      <w:pPr>
        <w:pStyle w:val="Heading 2"/>
      </w:pPr>
      <w:r>
        <w:t>Ý ĐỊNH CHIẾN LƯỢC ỔN ĐỊNH THEO THỜI GIAN</w:t>
      </w:r>
      <w:bookmarkEnd w:id="687"/>
    </w:p>
    <w:p>
      <w:pPr>
        <w:pStyle w:val="Normal"/>
      </w:pPr>
      <w:r>
        <w:t>Trong các cuộc chiến giành vị thế dẫn đầu toàn cầu, một trong những nhiệm vụ quan trọng nhất là kéo dài thời gian tập trung của tổ chức. Ý định chiến lược mang lại sự nhất quán cho các hành động ngắn hạn, đồng thời tạo điều kiện cho việc diễn giải lại khi có cơ hội mới xuất hiện. Tại Komatsu, việc bao vây Caterpillar bao gồm một chuỗi các chương trình trung hạn nhằm khai thác những điểm yếu cụ thể của Caterpillar hoặc xây dựng các lợi thế cạnh tranh nhất định. Ví dụ, khi Caterpillar đe dọa Komatsu tại Nhật Bản, Komatsu đã phản ứng bằng cách đầu tiên cải thiện chất lượng, sau đó giảm chi phí, rồi phát triển thị trường xuất khẩu, và cuối cùng là tài trợ cho phát triển sản phẩm mới.</w:t>
      </w:r>
    </w:p>
    <w:p>
      <w:bookmarkStart w:id="688" w:name="STRATEGIC_INTENT_SETS_A_TARGET_T"/>
      <w:pPr>
        <w:pStyle w:val="Heading 2"/>
      </w:pPr>
      <w:r>
        <w:t>Ý ĐỊNH CHIẾN LƯỢC ĐẶT RA MỘT MỤC TIÊU XỨNG ĐÁNG VỚI NỖ LỰC VÀ SỰ CỐNG HIẾN CÁ NHÂN</w:t>
      </w:r>
      <w:bookmarkEnd w:id="688"/>
    </w:p>
    <w:p>
      <w:pPr>
        <w:pStyle w:val="Normal"/>
      </w:pPr>
      <w:r>
        <w:t>Nếu hỏi các CEO của nhiều tập đoàn Mỹ rằng họ đo lường đóng góp của mình vào sự thành công của công ty như thế nào, bạn có thể sẽ nhận được câu trả lời thể hiện qua sự giàu có của cổ đông. Trong một công ty có ý định chiến lược, ban lãnh đạo cấp cao thường nói về việc dẫn đầu thị trường toàn cầu. Chắc chắn, dẫn đầu thị phần thường mang lại sự giàu có cho cổ đông. Nhưng hai mục tiêu này không có cùng tác động tạo động lực. Thật khó để tưởng tượng các nhà quản lý cấp trung, chứ chưa nói đến công nhân, mỗi ngày thức dậy chỉ với suy nghĩ duy nhất là tạo ra thêm sự giàu có cho cổ đông. Nhưng liệu họ có cảm thấy khác đi khi đối mặt với thử thách 'Đánh bại Benz'—khẩu hiệu tập hợp tại một nhà sản xuất ô tô Nhật Bản? Ý định chiến lược mang lại cho nhân viên mục tiêu duy nhất xứng đáng để cống hiến: soán ngôi người giỏi nhất hoặc giữ vững vị trí số một trên toàn thế giới.</w:t>
      </w:r>
    </w:p>
    <w:p>
      <w:pPr>
        <w:pStyle w:val="Normal"/>
      </w:pPr>
      <w:r>
        <w:t>Nhiều công ty quen thuộc với hoạch định chiến lược hơn là với ý định chiến lược. Quá trình hoạch định thường đóng vai trò như một 'rây lọc khả thi'. Các chiến lược được chấp nhận hoặc bác bỏ dựa trên việc các nhà quản lý có thể rõ ràng về 'cách thức' cũng như 'điều gì' trong kế hoạch của họ hay không. Các mốc quan trọng có rõ ràng không? Chúng ta có kỹ năng và nguồn lực cần thiết không? Đối thủ sẽ phản ứng thế nào? Thị trường đã được nghiên cứu kỹ lưỡng chưa? Dưới hình thức này hay hình thức khác, lời khuyên "Hãy thực tế!" được đưa ra cho các nhà quản lý trực tiếp ở hầu hết mọi bước ngoặt.</w:t>
      </w:r>
    </w:p>
    <w:p>
      <w:pPr>
        <w:pStyle w:val="Normal"/>
      </w:pPr>
      <w:r>
        <w:t xml:space="preserve">Nhưng liệu bạn</w:t>
      </w:r>
      <w:r>
        <w:rPr>
          <w:rStyle w:val="Text0"/>
        </w:rPr>
        <w:t> có</w:t>
      </w:r>
      <w:r>
        <w:t xml:space="preserve"> thể lên kế hoạch cho việc dẫn đầu toàn cầu? Liệu Komatsu, Canon và Honda có những “chiến lược” 20 năm chi tiết để tấn công thị trường phương Tây? Các nhà quản lý Nhật Bản và Hàn Quốc có phải là những người lập kế hoạch giỏi hơn so với đồng nghiệp phương Tây của họ? Không. Dù hoạch định chiến lược có giá trị đến đâu, thì dẫn đầu toàn cầu vẫn là một mục tiêu nằm ngoài tầm của hoạch định. Chúng tôi biết rất ít công ty có hệ thống hoạch định phát triển cao mà lại có thể đặt ra một ý định chiến lược (strategic intent). Khi các bài kiểm tra về sự phù hợp chiến lược trở nên nghiêm ngặt hơn, những mục tiêu không thể lên kế hoạch sẽ bị bỏ lại phía sau. Tuy nhiên, những công ty sợ cam kết với các mục tiêu nằm ngoài phạm vi hoạch định thì khó có thể trở thành những nhà dẫn đầu toàn cầu.</w:t>
      </w:r>
    </w:p>
    <w:p>
      <w:pPr>
        <w:pStyle w:val="Normal"/>
      </w:pPr>
      <w:r>
        <w:t>Mặc dù hoạch định chiến lược được giới thiệu như một cách để hướng tới tương lai nhiều hơn, nhưng hầu hết các nhà quản lý, nếu bị ép hỏi, sẽ thừa nhận rằng các kế hoạch chiến lược của họ phản ánh các vấn đề hiện tại nhiều hơn là cơ hội tương lai. Với một loạt vấn đề mới xuất hiện trước mắt các nhà quản lý mỗi khi bắt đầu chu kỳ hoạch định, trọng tâm thường thay đổi chóng mặt từ năm này sang năm khác. Và khi tốc độ thay đổi trong hầu hết các ngành tăng nhanh, tầm nhìn dự báo ngày càng thu hẹp. Vì vậy, các kế hoạch chỉ đơn giản là nối dài hiện tại về phía trước một cách tăng dần. Mục tiêu của ý định chiến lược là kéo tương lai về hiện tại. Câu hỏi quan trọng không phải là “Năm tới sẽ khác gì so với năm nay?” mà là “Năm tới chúng ta phải làm gì khác đi để tiến gần hơn đến ý định chiến lược?” Chỉ khi có một ý định chiến lược được thể hiện rõ ràng và kiên định, thì một chuỗi các kế hoạch năm này qua năm khác mới cộng dồn thành vị thế dẫn đầu toàn cầu.</w:t>
      </w:r>
    </w:p>
    <w:p>
      <w:pPr>
        <w:pStyle w:val="Normal"/>
      </w:pPr>
      <w:r>
        <w:t>Giống như bạn không thể lên kế hoạch cho một hành trình 10 đến 20 năm để vươn tới vị thế dẫn đầu toàn cầu, thì cơ hội để tình cờ có được vị trí đó cũng rất xa vời. Chúng tôi không tin rằng sự dẫn đầu toàn cầu đến từ một quá trình nội khởi nghiệp (intrapreneurship) không định hướng. Nó cũng không phải là sản phẩm của một nhóm nghiên cứu đặc biệt (skunkworks) hay các kỹ thuật đổi mới nội bộ khác. Đằng sau các chương trình như vậy là một giả định bi quan: tổ chức quá cứng nhắc, quá bảo thủ đến mức cách duy nhất để đổi mới là nhốt vài người thông minh vào một căn phòng tối, đổ vào đó một ít tiền, và hy vọng điều gì tuyệt vời sẽ xảy ra. Trong cách tiếp cận đổi mới kiểu “Thung lũng Silicon” này, vai trò duy nhất của các nhà quản lý cấp cao là điều chỉnh chiến lược công ty cho phù hợp với những thành công kinh doanh nảy sinh từ bên dưới. Giá trị gia tăng của quản lý cấp cao ở đây thực sự rất thấp.</w:t>
      </w:r>
    </w:p>
    <w:p>
      <w:pPr>
        <w:pStyle w:val="Normal"/>
      </w:pPr>
      <w:r>
        <w:t>Đáng buồn là, quan điểm về đổi mới này có thể đúng với thực tế ở nhiều công ty lớn.2 Một</w:t>
      </w:r>
      <w:hyperlink w:anchor="2_1">
        <w:r>
          <w:rPr>
            <w:rStyle w:val="Text2"/>
          </w:rPr>
          <w:bookmarkStart w:id="689" w:name="2"/>
          <w:t> </w:t>
          <w:bookmarkEnd w:id="689"/>
        </w:r>
      </w:hyperlink>
      <w:hyperlink w:anchor="2_1">
        <w:r>
          <w:rPr>
            <w:rStyle w:val="Text5"/>
          </w:rPr>
          <w:t>m</w:t>
        </w:r>
      </w:hyperlink>
      <w:r>
        <w:t xml:space="preserve">ặt, quản lý cấp cao không có bất kỳ quan điểm cụ thể nào về các mục tiêu mong muốn ngoài việc làm hài lòng cổ đông và ngăn chặn những kẻ thâu tóm. Mặt khác, định dạng kế hoạch, tiêu chí khen thưởng, định nghĩa về thị trường phục vụ, và niềm tin vào các thông lệ ngành được chấp nhận đều kết hợp lại để giới hạn chặt chẽ phạm vi các phương tiện khả dụng. Kết quả là, đổi mới gần như là một hoạt động bị cô lập. Tăng trưởng phụ thuộc vào năng lực sáng tạo của cá nhân và các nhóm nhỏ hơn là vào khả năng của quản lý cấp cao trong việc tổng hợp nỗ lực của nhiều nhóm hướng tới một ý định chiến lược đầy tham vọng.</w:t>
      </w:r>
    </w:p>
    <w:p>
      <w:pPr>
        <w:pStyle w:val="Normal"/>
      </w:pPr>
      <w:r>
        <w:t>Trong các công ty vượt qua những ràng buộc về nguồn lực để xây dựng vị thế dẫn đầu, chúng ta thấy một mối quan hệ khác giữa phương tiện và mục đích. Trong khi ý định chiến lược (strategic intent) rõ ràng về mục đích, nó linh hoạt về phương tiện—để lại không gian cho sự ứng biến. Đạt được ý định chiến lược đòi hỏi sự sáng tạo to lớn về phương tiện: hãy nhìn vào việc Fujitsu sử dụng các liên minh chiến lược (strategic alliances) tại châu Âu để tấn công IBM. Nhưng sự sáng tạo này phục vụ cho một mục đích được quy định rõ ràng. Sự sáng tạo được tự do, nhưng không phải không có ranh giới, bởi vì ban quản trị cấp cao thiết lập tiêu chí để nhân viên có thể kiểm tra trước logic của các sáng kiến của họ. Các nhà quản lý cấp trung phải làm nhiều hơn là chỉ đạt được các chỉ tiêu tài chính đã hứa; họ cũng phải hiện thực hóa định hướng rộng lớn tiềm ẩn trong ý định chiến lược của tổ chức mình.</w:t>
      </w:r>
    </w:p>
    <w:p>
      <w:pPr>
        <w:pStyle w:val="Normal"/>
      </w:pPr>
      <w:r>
        <w:t>Ý định chiến lược đòi hỏi một sự vươn xa đáng kể cho một tổ chức. Năng lực và nguồn lực hiện tại sẽ không đủ. Điều này buộc tổ chức phải sáng tạo hơn, tận dụng tối đa các nguồn lực hạn chế. Trong khi quan điểm truyền thống về chiến lược tập trung vào mức độ phù hợp giữa nguồn lực hiện có và cơ hội hiện tại, ý định chiến lược tạo ra một sự lệch pha cực độ giữa nguồn lực và tham vọng. Ban quản trị cấp cao sau đó thách thức tổ chức thu hẹp khoảng cách này bằng cách xây dựng các lợi thế mới một cách có hệ thống. Đối với Canon, điều này có nghĩa là trước tiên hiểu rõ các bằng sáng chế (patents) của Xerox, sau đó cấp phép công nghệ để tạo ra một sản phẩm mang lại kinh nghiệm thị trường ban đầu, rồi đẩy mạnh các nỗ lực nghiên cứu và phát triển (R&amp;D) nội bộ, sau đó cấp phép công nghệ của chính mình cho các nhà sản xuất khác để tài trợ cho R&amp;D tiếp theo, rồi thâm nhập vào các phân khúc thị trường ở Nhật Bản và châu Âu nơi Xerox còn yếu, và cứ thế.</w:t>
      </w:r>
    </w:p>
    <w:p>
      <w:pPr>
        <w:pStyle w:val="Normal"/>
      </w:pPr>
      <w:r>
        <w:t>Về mặt này, ý định chiến lược giống như một cuộc chạy marathon được chạy theo từng chặng nước rút 400 mét. Không ai biết địa hình ở dặm thứ 26 sẽ như thế nào, vì vậy vai trò của ban quản trị cấp cao là tập trung sự chú ý của tổ chức vào quãng đường phải vượt qua trong 400 mét tới. Ở một số công ty, ban quản trị đã làm điều này bằng cách đưa ra cho tổ chức một loạt các thử thách cấp công ty (corporate challenges), mỗi thử thách xác định ngọn đồi tiếp theo trong cuộc đua để đạt được ý định chiến lược. Một năm, thử thách có thể là chất lượng; năm tiếp theo là chăm sóc khách hàng toàn diện; năm tiếp theo là thâm nhập các thị trường mới; năm tiếp theo là làm mới dòng sản phẩm. Như ví dụ này cho thấy, các thử thách cấp công ty là một cách để tổ chức từng bước có được các lợi thế cạnh tranh mới, một cách để xác định trọng tâm cho nỗ lực của nhân viên trong ngắn hạn và trung hạn. Giống như ý định chiến lược, ban quản trị cấp cao cụ thể về mục đích (ví dụ, giảm thời gian phát triển sản phẩm 75%) nhưng không quá chi tiết về phương tiện.</w:t>
      </w:r>
    </w:p>
    <w:p>
      <w:pPr>
        <w:pStyle w:val="Normal"/>
      </w:pPr>
      <w:r>
        <w:t>Giống như ý định chiến lược, các thử thách khiến tổ chức phải vươn mình. Để đi trước Xerox trong lĩnh vực máy photocopy cá nhân, Canon đã giao cho các kỹ sư của mình mục tiêu giá 1.000 USD cho một máy photocopy gia đình. Vào thời điểm đó, máy photocopy rẻ nhất của Canon được bán với giá vài nghìn đô la. Việc cố gắng giảm chi phí của các mẫu hiện có sẽ không mang lại cho Canon sự cải thiện triệt để về tỷ lệ giá-hiệu năng (price-performance) mà họ cần để trì hoãn hoặc ngăn cản Xerox thâm nhập vào thị trường máy photocopy cá nhân. Thay vào đó, các kỹ sư của Canon được thách thức để phát minh lại chiếc máy photocopy—một thách thức họ đã vượt qua bằng cách thay thế cơ chế truyền hình ảnh phức tạp được sử dụng trong các máy photocopy khác bằng một hộp mực dùng một lần (disposable cartridge).</w:t>
      </w:r>
    </w:p>
    <w:p>
      <w:pPr>
        <w:pStyle w:val="Normal"/>
      </w:pPr>
      <w:r>
        <w:t>Các thách thức của công ty đến từ việc phân tích đối thủ cạnh tranh cũng như từ mô hình dự đoán được về sự tiến hóa của ngành. Cùng với nhau, chúng hé lộ những khoảng trống cạnh tranh tiềm năng và xác định các kỹ năng mới mà tổ chức sẽ cần để giành thế chủ động từ những đối thủ có vị thế tốt hơn. Sơ đồ 'Xây dựng lợi thế cạnh tranh tại Komatsu' minh họa cách những thách thức đã giúp công ty đạt được mục tiêu của mình.</w:t>
      </w:r>
    </w:p>
    <w:tbl>
      <w:tblPr>
        <w:tblW w:type="pct" w:w="5000"/>
      </w:tblPr>
      <w:tr>
        <w:tc>
          <w:tcPr>
            <w:tcW w:type="auto" w:w="0"/>
            <w:tcBorders>
              <w:left w:val="single" w:sz="2" w:color="000000"/>
              <w:top w:val="single" w:sz="2" w:color="000000"/>
              <w:right w:val="single" w:sz="2" w:color="000000"/>
              <w:bottom w:val="single" w:sz="2" w:color="000000"/>
            </w:tcBorders>
            <w:tcMar>
              <w:left w:type="dxa" w:w="40"/>
              <w:top w:type="dxa" w:w="40"/>
              <w:right w:type="dxa" w:w="40"/>
              <w:bottom w:type="dxa" w:w="40"/>
            </w:tcMar>
            <w:vAlign w:val="top"/>
            <w:hMerge w:val="restart"/>
          </w:tcPr>
          <w:p>
            <w:pPr>
              <w:pStyle w:val="Para 103"/>
            </w:pPr>
            <w:r>
              <w:t xml:space="preserve">Xây dựng lợi thế cạnh tranh tại Komatsu</w:t>
              <w:br w:clear="none"/>
            </w:r>
          </w:p>
        </w:tc>
        <w:tc>
          <w:tcPr>
            <w:hMerge w:val="continue"/>
          </w:tcPr>
          <w:p/>
        </w:tc>
        <w:tc>
          <w:tcPr>
            <w:hMerge w:val="continue"/>
          </w:tcPr>
          <w:p/>
        </w:tc>
        <w:tc>
          <w:tcPr>
            <w:hMerge w:val="continue"/>
          </w:tcPr>
          <w:p/>
        </w:tc>
        <w:tc>
          <w:tcPr>
            <w:hMerge w:val="continue"/>
          </w:tcPr>
          <w:p/>
        </w:tc>
      </w:tr>
      <w:tr>
        <w:tc>
          <w:tcPr>
            <w:tcW w:type="auto" w:w="0"/>
            <w:tcBorders>
              <w:left w:val="single" w:sz="2" w:color="000000"/>
              <w:top w:val="single" w:sz="2" w:color="000000"/>
              <w:right w:val="single" w:sz="2" w:color="000000"/>
              <w:bottom w:val="single" w:sz="2" w:color="000000"/>
            </w:tcBorders>
            <w:vAlign w:val="top"/>
          </w:tcPr>
          <w:p>
            <w:pPr>
              <w:pStyle w:val="Para 121"/>
            </w:pPr>
            <w:r>
              <w:t xml:space="preserve">Thách thức của công ty</w:t>
              <w:br w:clear="none"/>
            </w:r>
          </w:p>
        </w:tc>
        <w:tc>
          <w:tcPr>
            <w:tcW w:type="auto" w:w="0"/>
            <w:tcBorders>
              <w:left w:val="single" w:sz="2" w:color="000000"/>
              <w:top w:val="single" w:sz="2" w:color="000000"/>
              <w:right w:val="single" w:sz="2" w:color="000000"/>
              <w:bottom w:val="single" w:sz="2" w:color="000000"/>
            </w:tcBorders>
            <w:vAlign w:val="top"/>
            <w:hMerge w:val="restart"/>
          </w:tcPr>
          <w:p>
            <w:pPr>
              <w:pStyle w:val="Para 121"/>
            </w:pPr>
            <w:r>
              <w:t xml:space="preserve">Bảo vệ thị trường nội địa của Komatsu trước Caterpillar</w:t>
              <w:br w:clear="none"/>
            </w:r>
          </w:p>
        </w:tc>
        <w:tc>
          <w:tcPr>
            <w:hMerge w:val="continue"/>
          </w:tcPr>
          <w:p/>
        </w:tc>
        <w:tc>
          <w:tcPr>
            <w:tcW w:type="auto" w:w="0"/>
            <w:tcBorders>
              <w:left w:val="single" w:sz="2" w:color="000000"/>
              <w:top w:val="single" w:sz="2" w:color="000000"/>
              <w:right w:val="single" w:sz="2" w:color="000000"/>
              <w:bottom w:val="single" w:sz="2" w:color="000000"/>
            </w:tcBorders>
            <w:vAlign w:val="top"/>
            <w:hMerge w:val="restart"/>
          </w:tcPr>
          <w:p>
            <w:pPr>
              <w:pStyle w:val="Para 121"/>
            </w:pPr>
            <w:r>
              <w:t xml:space="preserve">Giảm chi phí đồng thời duy trì chất lượng</w:t>
              <w:br w:clear="none"/>
            </w:r>
          </w:p>
        </w:tc>
        <w:tc>
          <w:tcPr>
            <w:hMerge w:val="continue"/>
          </w:tcPr>
          <w:p/>
        </w:tc>
      </w:tr>
      <w:tr>
        <w:tc>
          <w:tcPr>
            <w:tcW w:type="auto" w:w="0"/>
            <w:tcBorders>
              <w:left w:val="single" w:sz="2" w:color="000000"/>
              <w:top w:val="single" w:sz="2" w:color="000000"/>
              <w:right w:val="single" w:sz="2" w:color="000000"/>
            </w:tcBorders>
            <w:vAlign w:val="top"/>
          </w:tcPr>
          <w:p>
            <w:pPr>
              <w:pStyle w:val="12 Block"/>
            </w:pPr>
          </w:p>
        </w:tc>
        <w:tc>
          <w:tcPr>
            <w:tcW w:type="auto" w:w="0"/>
            <w:tcBorders>
              <w:left w:val="single" w:sz="2" w:color="000000"/>
              <w:top w:val="single" w:sz="2" w:color="000000"/>
            </w:tcBorders>
            <w:vAlign w:val="top"/>
          </w:tcPr>
          <w:p>
            <w:pPr>
              <w:pStyle w:val="Para 071"/>
            </w:pPr>
            <w:r>
              <w:t xml:space="preserve">đầu</w:t>
              <w:br w:clear="none"/>
            </w:r>
          </w:p>
        </w:tc>
        <w:tc>
          <w:tcPr>
            <w:tcW w:type="auto" w:w="0"/>
            <w:tcBorders>
              <w:top w:val="single" w:sz="2" w:color="000000"/>
              <w:right w:val="single" w:sz="2" w:color="000000"/>
            </w:tcBorders>
            <w:vAlign w:val="top"/>
          </w:tcPr>
          <w:p>
            <w:pPr>
              <w:pStyle w:val="12 Block"/>
            </w:pPr>
          </w:p>
        </w:tc>
        <w:tc>
          <w:tcPr>
            <w:tcW w:type="auto" w:w="0"/>
            <w:tcBorders>
              <w:left w:val="single" w:sz="2" w:color="000000"/>
              <w:top w:val="single" w:sz="2" w:color="000000"/>
            </w:tcBorders>
            <w:vAlign w:val="top"/>
          </w:tcPr>
          <w:p>
            <w:pPr>
              <w:pStyle w:val="22 Block"/>
            </w:pPr>
          </w:p>
        </w:tc>
        <w:tc>
          <w:tcPr>
            <w:tcW w:type="auto" w:w="0"/>
            <w:tcBorders>
              <w:top w:val="single" w:sz="2" w:color="000000"/>
              <w:right w:val="single" w:sz="2" w:color="000000"/>
            </w:tcBorders>
            <w:vAlign w:val="top"/>
          </w:tcPr>
          <w:p>
            <w:pPr>
              <w:pStyle w:val="12 Block"/>
            </w:pPr>
          </w:p>
        </w:tc>
      </w:tr>
      <w:tr>
        <w:tc>
          <w:tcPr>
            <w:tcW w:type="auto" w:w="0"/>
            <w:tcBorders>
              <w:left w:val="single" w:sz="2" w:color="000000"/>
              <w:right w:val="single" w:sz="2" w:color="000000"/>
            </w:tcBorders>
            <w:vAlign w:val="top"/>
          </w:tcPr>
          <w:p>
            <w:pPr>
              <w:pStyle w:val="Para 072"/>
            </w:pPr>
            <w:r>
              <w:t xml:space="preserve">Chương trình</w:t>
              <w:br w:clear="none"/>
            </w:r>
          </w:p>
        </w:tc>
        <w:tc>
          <w:tcPr>
            <w:tcW w:type="auto" w:w="0"/>
            <w:tcBorders>
              <w:left w:val="single" w:sz="2" w:color="000000"/>
            </w:tcBorders>
            <w:vAlign w:val="top"/>
          </w:tcPr>
          <w:p>
            <w:pPr>
              <w:pStyle w:val="Para 083"/>
            </w:pPr>
            <w:r>
              <w:t xml:space="preserve">Thập niên 1960</w:t>
              <w:br w:clear="none"/>
            </w:r>
          </w:p>
        </w:tc>
        <w:tc>
          <w:tcPr>
            <w:tcW w:type="auto" w:w="0"/>
            <w:tcBorders>
              <w:right w:val="single" w:sz="2" w:color="000000"/>
            </w:tcBorders>
            <w:vAlign w:val="top"/>
          </w:tcPr>
          <w:p>
            <w:pPr>
              <w:pStyle w:val="Para 072"/>
            </w:pPr>
            <w:r>
              <w:t xml:space="preserve">Các thỏa thuận cấp phép với Cummins Engine, International Harvester và Bucyrus-Erie để tiếp thu công nghệ và thiết lập các chuẩn đối sánh (benchmarks)</w:t>
              <w:br w:clear="none"/>
            </w:r>
          </w:p>
        </w:tc>
        <w:tc>
          <w:tcPr>
            <w:tcW w:type="auto" w:w="0"/>
            <w:tcBorders>
              <w:left w:val="single" w:sz="2" w:color="000000"/>
            </w:tcBorders>
            <w:vAlign w:val="top"/>
          </w:tcPr>
          <w:p>
            <w:pPr>
              <w:pStyle w:val="Para 083"/>
            </w:pPr>
            <w:r>
              <w:t xml:space="preserve">1965</w:t>
              <w:br w:clear="none"/>
            </w:r>
          </w:p>
        </w:tc>
        <w:tc>
          <w:tcPr>
            <w:tcW w:type="auto" w:w="0"/>
            <w:tcBorders>
              <w:right w:val="single" w:sz="2" w:color="000000"/>
            </w:tcBorders>
            <w:vAlign w:val="top"/>
          </w:tcPr>
          <w:p>
            <w:pPr>
              <w:pStyle w:val="Para 072"/>
            </w:pPr>
            <w:r>
              <w:t xml:space="preserve">Chương trình Giảm chi phí (Cost Down – CD)</w:t>
              <w:br w:clear="none"/>
            </w:r>
          </w:p>
        </w:tc>
      </w:tr>
      <w:tr>
        <w:tc>
          <w:tcPr>
            <w:tcW w:type="auto" w:w="0"/>
            <w:tcBorders>
              <w:left w:val="single" w:sz="2" w:color="000000"/>
              <w:right w:val="single" w:sz="2" w:color="000000"/>
            </w:tcBorders>
            <w:vAlign w:val="top"/>
          </w:tcPr>
          <w:p>
            <w:pPr>
              <w:pStyle w:val="12 Block"/>
            </w:pPr>
          </w:p>
        </w:tc>
        <w:tc>
          <w:tcPr>
            <w:tcW w:type="auto" w:w="0"/>
            <w:tcBorders>
              <w:left w:val="single" w:sz="2" w:color="000000"/>
            </w:tcBorders>
            <w:vAlign w:val="top"/>
          </w:tcPr>
          <w:p>
            <w:pPr>
              <w:pStyle w:val="Para 083"/>
            </w:pPr>
            <w:r>
              <w:t xml:space="preserve">1961</w:t>
              <w:br w:clear="none"/>
            </w:r>
          </w:p>
        </w:tc>
        <w:tc>
          <w:tcPr>
            <w:tcW w:type="auto" w:w="0"/>
            <w:tcBorders>
              <w:right w:val="single" w:sz="2" w:color="000000"/>
            </w:tcBorders>
            <w:vAlign w:val="top"/>
          </w:tcPr>
          <w:p>
            <w:pPr>
              <w:pStyle w:val="Para 072"/>
            </w:pPr>
            <w:r>
              <w:t xml:space="preserve">Dự án A (For Ace) nhằm nâng cao chất lượng sản phẩm của các dòng xe ủi nhỏ và trung bình của Komatsu vượt lên trên Caterpillar</w:t>
              <w:br w:clear="none"/>
            </w:r>
          </w:p>
        </w:tc>
        <w:tc>
          <w:tcPr>
            <w:tcW w:type="auto" w:w="0"/>
            <w:tcBorders>
              <w:left w:val="single" w:sz="2" w:color="000000"/>
            </w:tcBorders>
            <w:vAlign w:val="top"/>
          </w:tcPr>
          <w:p>
            <w:pPr>
              <w:pStyle w:val="Para 083"/>
            </w:pPr>
            <w:r>
              <w:t xml:space="preserve">1966</w:t>
              <w:br w:clear="none"/>
            </w:r>
          </w:p>
        </w:tc>
        <w:tc>
          <w:tcPr>
            <w:tcW w:type="auto" w:w="0"/>
            <w:tcBorders>
              <w:right w:val="single" w:sz="2" w:color="000000"/>
            </w:tcBorders>
            <w:vAlign w:val="top"/>
          </w:tcPr>
          <w:p>
            <w:pPr>
              <w:pStyle w:val="Para 072"/>
            </w:pPr>
            <w:r>
              <w:t xml:space="preserve">Chương trình CD toàn diện</w:t>
              <w:br w:clear="none"/>
            </w:r>
          </w:p>
        </w:tc>
      </w:tr>
      <w:tr>
        <w:tc>
          <w:tcPr>
            <w:tcW w:type="auto" w:w="0"/>
            <w:tcBorders>
              <w:left w:val="single" w:sz="2" w:color="000000"/>
              <w:right w:val="single" w:sz="2" w:color="000000"/>
              <w:bottom w:val="single" w:sz="2" w:color="000000"/>
            </w:tcBorders>
            <w:vAlign w:val="top"/>
          </w:tcPr>
          <w:p>
            <w:pPr>
              <w:pStyle w:val="12 Block"/>
            </w:pPr>
          </w:p>
        </w:tc>
        <w:tc>
          <w:tcPr>
            <w:tcW w:type="auto" w:w="0"/>
            <w:tcBorders>
              <w:left w:val="single" w:sz="2" w:color="000000"/>
              <w:bottom w:val="single" w:sz="2" w:color="000000"/>
            </w:tcBorders>
            <w:vAlign w:val="top"/>
          </w:tcPr>
          <w:p>
            <w:pPr>
              <w:pStyle w:val="Para 083"/>
            </w:pPr>
            <w:r>
              <w:t xml:space="preserve">1962</w:t>
              <w:br w:clear="none"/>
            </w:r>
          </w:p>
        </w:tc>
        <w:tc>
          <w:tcPr>
            <w:tcW w:type="auto" w:w="0"/>
            <w:tcBorders>
              <w:right w:val="single" w:sz="2" w:color="000000"/>
              <w:bottom w:val="single" w:sz="2" w:color="000000"/>
            </w:tcBorders>
            <w:vAlign w:val="top"/>
          </w:tcPr>
          <w:p>
            <w:pPr>
              <w:pStyle w:val="Para 072"/>
            </w:pPr>
            <w:r>
              <w:t xml:space="preserve">Các vòng tròn chất lượng trên toàn công ty để đào tạo cho tất cả nhân viên</w:t>
              <w:br w:clear="none"/>
            </w:r>
          </w:p>
        </w:tc>
        <w:tc>
          <w:tcPr>
            <w:tcW w:type="auto" w:w="0"/>
            <w:tcBorders>
              <w:left w:val="single" w:sz="2" w:color="000000"/>
              <w:bottom w:val="single" w:sz="2" w:color="000000"/>
            </w:tcBorders>
            <w:vAlign w:val="top"/>
          </w:tcPr>
          <w:p>
            <w:pPr>
              <w:pStyle w:val="22 Block"/>
            </w:pPr>
          </w:p>
        </w:tc>
        <w:tc>
          <w:tcPr>
            <w:tcW w:type="auto" w:w="0"/>
            <w:tcBorders>
              <w:right w:val="single" w:sz="2" w:color="000000"/>
              <w:bottom w:val="single" w:sz="2" w:color="000000"/>
            </w:tcBorders>
            <w:vAlign w:val="top"/>
          </w:tcPr>
          <w:p>
            <w:pPr>
              <w:pStyle w:val="12 Block"/>
            </w:pPr>
          </w:p>
        </w:tc>
      </w:tr>
    </w:tbl>
    <w:tbl>
      <w:tblPr>
        <w:tblW w:type="pct" w:w="5000"/>
      </w:tblPr>
      <w:tr>
        <w:tc>
          <w:tcPr>
            <w:tcW w:type="pct" w:w="500"/>
            <w:tcBorders>
              <w:left w:val="single" w:sz="2" w:color="000000"/>
              <w:top w:val="single" w:sz="2" w:color="000000"/>
              <w:right w:val="single" w:sz="2" w:color="000000"/>
              <w:bottom w:val="single" w:sz="2" w:color="000000"/>
            </w:tcBorders>
            <w:vAlign w:val="top"/>
          </w:tcPr>
          <w:p>
            <w:pPr>
              <w:pStyle w:val="10 Block"/>
            </w:pPr>
          </w:p>
        </w:tc>
        <w:tc>
          <w:tcPr>
            <w:tcW w:type="pct" w:w="1500"/>
            <w:tcBorders>
              <w:left w:val="single" w:sz="2" w:color="000000"/>
              <w:top w:val="single" w:sz="2" w:color="000000"/>
              <w:right w:val="single" w:sz="2" w:color="000000"/>
              <w:bottom w:val="single" w:sz="2" w:color="000000"/>
            </w:tcBorders>
            <w:vAlign w:val="top"/>
          </w:tcPr>
          <w:p>
            <w:pPr>
              <w:pStyle w:val="Para 103"/>
            </w:pPr>
            <w:r>
              <w:t xml:space="preserve">Biến Komatsu thành doanh nghiệp quốc tế và xây dựng thị trường xuất khẩu</w:t>
              <w:br w:clear="none"/>
            </w:r>
          </w:p>
        </w:tc>
        <w:tc>
          <w:tcPr>
            <w:tcW w:type="pct" w:w="1500"/>
            <w:tcBorders>
              <w:left w:val="single" w:sz="2" w:color="000000"/>
              <w:top w:val="single" w:sz="2" w:color="000000"/>
              <w:right w:val="single" w:sz="2" w:color="000000"/>
              <w:bottom w:val="single" w:sz="2" w:color="000000"/>
            </w:tcBorders>
            <w:vAlign w:val="top"/>
          </w:tcPr>
          <w:p>
            <w:pPr>
              <w:pStyle w:val="Para 103"/>
            </w:pPr>
            <w:r>
              <w:t xml:space="preserve">Ứng phó với các cú sốc bên ngoài đe dọa thị trường</w:t>
              <w:br w:clear="none"/>
            </w:r>
          </w:p>
        </w:tc>
        <w:tc>
          <w:tcPr>
            <w:tcW w:type="pct" w:w="1500"/>
            <w:tcBorders>
              <w:left w:val="single" w:sz="2" w:color="000000"/>
              <w:top w:val="single" w:sz="2" w:color="000000"/>
              <w:right w:val="single" w:sz="2" w:color="000000"/>
              <w:bottom w:val="single" w:sz="2" w:color="000000"/>
            </w:tcBorders>
            <w:vAlign w:val="top"/>
          </w:tcPr>
          <w:p>
            <w:pPr>
              <w:pStyle w:val="Para 103"/>
            </w:pPr>
            <w:r>
              <w:t xml:space="preserve">Tạo ra sản phẩm và thị trường mới</w:t>
              <w:br w:clear="none"/>
            </w:r>
          </w:p>
        </w:tc>
      </w:tr>
      <w:tr>
        <w:tc>
          <w:tcPr>
            <w:tcW w:type="auto" w:w="0"/>
            <w:tcBorders>
              <w:left w:val="single" w:sz="2" w:color="000000"/>
              <w:top w:val="single" w:sz="2" w:color="000000"/>
              <w:right w:val="single" w:sz="2" w:color="000000"/>
            </w:tcBorders>
            <w:vAlign w:val="top"/>
          </w:tcPr>
          <w:p>
            <w:pPr>
              <w:pStyle w:val="22 Block"/>
            </w:pPr>
          </w:p>
        </w:tc>
        <w:tc>
          <w:tcPr>
            <w:tcW w:type="auto" w:w="0"/>
            <w:tcBorders>
              <w:left w:val="single" w:sz="2" w:color="000000"/>
              <w:top w:val="single" w:sz="2" w:color="000000"/>
              <w:right w:val="single" w:sz="2" w:color="000000"/>
            </w:tcBorders>
            <w:vAlign w:val="top"/>
          </w:tcPr>
          <w:p>
            <w:pPr>
              <w:pStyle w:val="Para 071"/>
            </w:pPr>
            <w:r>
              <w:t xml:space="preserve">đầu</w:t>
              <w:br w:clear="none"/>
            </w:r>
          </w:p>
        </w:tc>
        <w:tc>
          <w:tcPr>
            <w:tcW w:type="auto" w:w="0"/>
            <w:tcBorders>
              <w:left w:val="single" w:sz="2" w:color="000000"/>
              <w:top w:val="single" w:sz="2" w:color="000000"/>
              <w:right w:val="single" w:sz="2" w:color="000000"/>
            </w:tcBorders>
            <w:vAlign w:val="top"/>
          </w:tcPr>
          <w:p>
            <w:pPr>
              <w:pStyle w:val="08 Block"/>
            </w:pPr>
          </w:p>
        </w:tc>
        <w:tc>
          <w:tcPr>
            <w:tcW w:type="auto" w:w="0"/>
            <w:tcBorders>
              <w:left w:val="single" w:sz="2" w:color="000000"/>
              <w:top w:val="single" w:sz="2" w:color="000000"/>
              <w:right w:val="single" w:sz="2" w:color="000000"/>
            </w:tcBorders>
            <w:vAlign w:val="top"/>
          </w:tcPr>
          <w:p>
            <w:pPr>
              <w:pStyle w:val="Para 071"/>
            </w:pPr>
            <w:r>
              <w:t xml:space="preserve">cuối</w:t>
              <w:br w:clear="none"/>
            </w:r>
          </w:p>
        </w:tc>
      </w:tr>
      <w:tr>
        <w:tc>
          <w:tcPr>
            <w:tcW w:type="auto" w:w="0"/>
            <w:tcBorders>
              <w:left w:val="single" w:sz="2" w:color="000000"/>
              <w:right w:val="single" w:sz="2" w:color="000000"/>
              <w:bottom w:val="single" w:sz="2" w:color="000000"/>
            </w:tcBorders>
            <w:vAlign w:val="top"/>
          </w:tcPr>
          <w:p>
            <w:pPr>
              <w:pStyle w:val="22 Block"/>
            </w:pPr>
          </w:p>
        </w:tc>
        <w:tc>
          <w:tcPr>
            <w:tcW w:type="auto" w:w="0"/>
            <w:tcBorders>
              <w:left w:val="single" w:sz="2" w:color="000000"/>
              <w:right w:val="single" w:sz="2" w:color="000000"/>
              <w:bottom w:val="single" w:sz="2" w:color="000000"/>
            </w:tcBorders>
            <w:vAlign w:val="top"/>
          </w:tcPr>
          <w:p>
            <w:pPr>
              <w:pStyle w:val="Para 071"/>
            </w:pPr>
            <w:r>
              <w:t xml:space="preserve"/>
              <w:br w:clear="none"/>
            </w:r>
          </w:p>
          <w:p>
            <w:pPr>
              <w:pStyle w:val="Para 038"/>
            </w:pPr>
            <w:r>
              <w:t xml:space="preserve">1960s – Ph</w:t>
              <w:br w:clear="none"/>
              <w:t xml:space="preserve">át triển thị trường phương Đông</w:t>
              <w:br w:clear="none"/>
            </w:r>
          </w:p>
          <w:p>
            <w:pPr>
              <w:pStyle w:val="Para 038"/>
            </w:pPr>
            <w:r>
              <w:t xml:space="preserve">1967</w:t>
              <w:br w:clear="none"/>
              <w:t xml:space="preserve"> – Thành lập công ty con tiếp thị Komatsu Europe</w:t>
              <w:br w:clear="none"/>
            </w:r>
          </w:p>
          <w:p>
            <w:pPr>
              <w:pStyle w:val="Para 038"/>
            </w:pPr>
            <w:r>
              <w:t xml:space="preserve">1970</w:t>
              <w:br w:clear="none"/>
              <w:t xml:space="preserve"> – Thành lập Komatsu America</w:t>
              <w:br w:clear="none"/>
            </w:r>
          </w:p>
          <w:p>
            <w:pPr>
              <w:pStyle w:val="Para 038"/>
            </w:pPr>
            <w:r>
              <w:t xml:space="preserve">1972</w:t>
              <w:br w:clear="none"/>
              <w:t xml:space="preserve"> – Dự án B nhằm cải thiện độ bền, độ tin cậy và giảm chi phí cho các dòng xe ủi lớn</w:t>
              <w:br w:clear="none"/>
            </w:r>
          </w:p>
          <w:p>
            <w:pPr>
              <w:pStyle w:val="Para 038"/>
            </w:pPr>
            <w:r>
              <w:t xml:space="preserve">1972</w:t>
              <w:br w:clear="none"/>
              <w:t xml:space="preserve"> – Dự án C nhằm cải tiến máy xúc lật</w:t>
              <w:br w:clear="none"/>
            </w:r>
          </w:p>
          <w:p>
            <w:pPr>
              <w:pStyle w:val="Para 038"/>
            </w:pPr>
            <w:r>
              <w:t xml:space="preserve">1972</w:t>
              <w:br w:clear="none"/>
              <w:t xml:space="preserve"> – Dự án D nhằm cải tiến máy xúc thủy lực</w:t>
              <w:br w:clear="none"/>
            </w:r>
          </w:p>
          <w:p>
            <w:pPr>
              <w:pStyle w:val="Para 038"/>
            </w:pPr>
            <w:r>
              <w:t xml:space="preserve">1974</w:t>
              <w:br w:clear="none"/>
              <w:t xml:space="preserve"> – Thành lập các bộ phận tiền bán hàng (presales) và dịch vụ để hỗ trợ các quốc gia mới công nghiệp hóa trong các dự án xây dựng</w:t>
              <w:br w:clear="none"/>
            </w:r>
          </w:p>
        </w:tc>
        <w:tc>
          <w:tcPr>
            <w:tcW w:type="auto" w:w="0"/>
            <w:tcBorders>
              <w:left w:val="single" w:sz="2" w:color="000000"/>
              <w:right w:val="single" w:sz="2" w:color="000000"/>
              <w:bottom w:val="single" w:sz="2" w:color="000000"/>
            </w:tcBorders>
            <w:vAlign w:val="top"/>
          </w:tcPr>
          <w:p>
            <w:pPr>
              <w:pStyle w:val="Para 071"/>
            </w:pPr>
            <w:r>
              <w:t xml:space="preserve"/>
              <w:br w:clear="none"/>
            </w:r>
          </w:p>
          <w:p>
            <w:pPr>
              <w:pStyle w:val="Para 038"/>
            </w:pPr>
            <w:r>
              <w:t xml:space="preserve">1975</w:t>
              <w:br w:clear="none"/>
              <w:t xml:space="preserve"> – Chương trình V-10 nhằm giảm chi phí 10% trong khi duy trì chất lượng; giảm 20% số linh kiện; hợp lý hóa hệ thống sản xuất</w:t>
              <w:br w:clear="none"/>
            </w:r>
          </w:p>
          <w:p>
            <w:pPr>
              <w:pStyle w:val="Para 038"/>
            </w:pPr>
            <w:r>
              <w:t xml:space="preserve">1977</w:t>
              <w:br w:clear="none"/>
              <w:t xml:space="preserve"> Chương trình ¥180: lập ngân sách toàn công ty theo tỷ giá 180 yên/đô la trong khi tỷ giá thực tế là 240 yên/đô la.</w:t>
              <w:br w:clear="none"/>
            </w:r>
          </w:p>
          <w:p>
            <w:pPr>
              <w:pStyle w:val="Para 038"/>
            </w:pPr>
            <w:r>
              <w:t xml:space="preserve">1979</w:t>
              <w:br w:clear="none"/>
              <w:t xml:space="preserve"> Dự án E: thành lập các đội nhóm để tăng gấp đôi nỗ lực về chi phí và chất lượng nhằm ứng phó với khủng hoảng dầu mỏ.</w:t>
              <w:br w:clear="none"/>
            </w:r>
          </w:p>
        </w:tc>
        <w:tc>
          <w:tcPr>
            <w:tcW w:type="auto" w:w="0"/>
            <w:tcBorders>
              <w:left w:val="single" w:sz="2" w:color="000000"/>
              <w:right w:val="single" w:sz="2" w:color="000000"/>
              <w:bottom w:val="single" w:sz="2" w:color="000000"/>
            </w:tcBorders>
            <w:vAlign w:val="top"/>
          </w:tcPr>
          <w:p>
            <w:pPr>
              <w:pStyle w:val="Para 071"/>
            </w:pPr>
            <w:r>
              <w:t xml:space="preserve"/>
              <w:br w:clear="none"/>
            </w:r>
          </w:p>
          <w:p>
            <w:pPr>
              <w:pStyle w:val="Para 038"/>
            </w:pPr>
            <w:r>
              <w:t xml:space="preserve">1970s</w:t>
              <w:br w:clear="none"/>
              <w:t xml:space="preserve"> Đẩy nhanh phát triển sản phẩm để mở rộng dòng sản phẩm.</w:t>
              <w:br w:clear="none"/>
            </w:r>
          </w:p>
          <w:p>
            <w:pPr>
              <w:pStyle w:val="Para 038"/>
            </w:pPr>
            <w:r>
              <w:t xml:space="preserve">1979</w:t>
              <w:br w:clear="none"/>
              <w:t xml:space="preserve"> Chương trình Future and Frontiers: xác định các lĩnh vực kinh doanh mới dựa trên nhu cầu của xã hội và bí quyết công nghệ (know-how) của công ty.</w:t>
              <w:br w:clear="none"/>
            </w:r>
          </w:p>
          <w:p>
            <w:pPr>
              <w:pStyle w:val="Para 038"/>
            </w:pPr>
            <w:r>
              <w:t xml:space="preserve">1981</w:t>
              <w:br w:clear="none"/>
              <w:t xml:space="preserve"> Chương trình EPOCHS: dung hòa sự đa dạng sản phẩm lớn hơn với hiệu quả sản xuất được cải thiện.</w:t>
              <w:br w:clear="none"/>
            </w:r>
          </w:p>
        </w:tc>
      </w:tr>
    </w:tbl>
    <w:p>
      <w:pPr>
        <w:pStyle w:val="Normal"/>
      </w:pPr>
      <w:r>
        <w:t>Để một thử thách mang lại hiệu quả, các cá nhân và đội nhóm trong toàn tổ chức phải hiểu rõ thử thách đó và nhận ra ảnh hưởng của nó đối với công việc của chính họ. Các công ty đặt ra những thử thách cấp công ty nhằm tạo ra lợi thế cạnh tranh mới (như Ford và IBM đã làm với việc cải tiến chất lượng) sẽ sớm khám phá ra rằng muốn gắn kết toàn bộ tổ chức, ban lãnh đạo cấp cao cần thực hiện những điều sau:</w:t>
      </w:r>
    </w:p>
    <w:p>
      <w:pPr>
        <w:pStyle w:val="21 Block"/>
      </w:pPr>
    </w:p>
    <w:p>
      <w:pPr>
        <w:pStyle w:val="Para 084"/>
      </w:pPr>
      <w:r>
        <w:t>•Tạo</w:t>
      </w:r>
      <w:r>
        <w:rPr>
          <w:rStyle w:val="Text0"/>
        </w:rPr>
        <w:t> cảm giác cấp thiết, hay một</w:t>
      </w:r>
      <w:r>
        <w:t> dạng khủng hoảng giả định (quasi crisis), bằng cách khuếch đại những tín hiệu yếu từ môi trường cho thấy cần phải cải thiện, thay vì để sự trì trệ đưa đến một cuộc khủng hoảng thực sự. (Ví dụ, Komatsu lập ngân sách dựa trên tỷ giá hối đoái theo kịch bản xấu nhất, khiến đồng yên bị định giá cao hơn giá trị thực.)</w:t>
      </w:r>
    </w:p>
    <w:p>
      <w:pPr>
        <w:pStyle w:val="Para 084"/>
      </w:pPr>
      <w:r>
        <w:t>•Phát</w:t>
      </w:r>
      <w:r>
        <w:rPr>
          <w:rStyle w:val="Text0"/>
        </w:rPr>
        <w:t> triển trọng tâm hướng đến đối thủ cạnh tranh ở mọi cấp thông qua việc sử dụng rộng rãi thông tin tình báo</w:t>
      </w:r>
      <w:r>
        <w:t> cạnh tranh (competitive intelligence). Mỗi nhân viên nên có thể so sánh chuẩn (benchmark) nỗ lực của mình với những đối thủ hàng đầu để thử thách trở thành việc mang tính cá nhân. (Ví dụ, Ford đã cho công nhân dây chuyền sản xuất xem video ghi hình hoạt động tại nhà máy hiệu quả nhất của Mazda.)</w:t>
      </w:r>
    </w:p>
    <w:p>
      <w:pPr>
        <w:pStyle w:val="Para 084"/>
      </w:pPr>
      <w:r>
        <w:t>•Trang</w:t>
      </w:r>
      <w:r>
        <w:rPr>
          <w:rStyle w:val="Text0"/>
        </w:rPr>
        <w:t> bị cho nhân viên những kỹ năng họ cần để làm việc hiệu quả—ví dụ</w:t>
      </w:r>
      <w:r>
        <w:t> như đào tạo về công cụ thống kê, giải quyết vấn đề, kỹ thuật giá trị (value engineering) và xây dựng đội nhóm.</w:t>
      </w:r>
    </w:p>
    <w:p>
      <w:pPr>
        <w:pStyle w:val="Para 084"/>
      </w:pPr>
      <w:r>
        <w:t>•Dành</w:t>
      </w:r>
      <w:r>
        <w:rPr>
          <w:rStyle w:val="Text0"/>
        </w:rPr>
        <w:t> cho tổ chức thời gian để hấp thụ một thử thách trước khi đưa ra thử thách</w:t>
      </w:r>
      <w:r>
        <w:t> khác. Khi các sáng kiến cạnh tranh nhau làm quá tải tổ chức, các nhà quản lý cấp trung thường cố bảo vệ nhân viên của mình khỏi sự đảo lộn của các ưu tiên liên tục thay đổi. Nhưng thái độ “cứ chờ xem họ có nghiêm túc lần này không” cuối cùng sẽ phá hủy uy tín của các thử thách cấp công ty.</w:t>
      </w:r>
    </w:p>
    <w:p>
      <w:pPr>
        <w:pStyle w:val="Para 084"/>
      </w:pPr>
      <w:r>
        <w:t>•Thiết</w:t>
      </w:r>
      <w:r>
        <w:rPr>
          <w:rStyle w:val="Text0"/>
        </w:rPr>
        <w:t> lập các cột mốc rõ ràng và cơ chế đánh giá để theo</w:t>
      </w:r>
      <w:r>
        <w:t xml:space="preserve"> dõi tiến độ và đảm bảo rằng sự ghi nhận và khen thưởng nội bộ củng cố những hành vi mong muốn. Mục tiêu là làm cho thử thách trở thành điều không thể tránh khỏi đối với mọi người trong công ty.</w:t>
      </w:r>
    </w:p>
    <w:p>
      <w:pPr>
        <w:pStyle w:val="Normal"/>
      </w:pPr>
      <w:r>
        <w:t>Điều quan trọng là phải phân biệt giữa quy trình quản lý các thử thách cấp công ty và những lợi ích mà quy trình đó tạo ra. Dù thử thách thực tế là gì—chất lượng, chi phí, kỹ thuật giá trị, hay điều gì khác—thì vẫn luôn có nhu cầu chung là gắn kết nhân viên cả về trí tuệ lẫn cảm xúc trong việc phát triển các kỹ năng mới. Trong mọi trường hợp, thử thách chỉ thực sự bén rễ khi các nhà điều hành cấp cao và nhân viên cấp dưới đều cảm thấy trách nhiệm tương hỗ đối với năng lực cạnh tranh.</w:t>
      </w:r>
    </w:p>
    <w:p>
      <w:pPr>
        <w:pStyle w:val="Normal"/>
      </w:pPr>
      <w:r>
        <w:t>Chúng tôi tin rằng công nhân ở nhiều công ty đã bị đổ lỗi một cách không tương xứng cho sự thất bại trong cạnh tranh. Ví dụ, tại một công ty Hoa Kỳ, ban quản lý đã yêu cầu nhân viên làm theo giờ nhượng bộ 40% gói lương để đưa chi phí lao động ngang bằng với các đối thủ ở Viễn Đông. Kết quả là một cuộc đình công kéo dài và cuối cùng là nhân viên trực tiếp nhượng bộ 10% lương. Tuy nhiên, chi phí lao động trực tiếp trong sản xuất chiếm chưa đến 15% tổng giá trị gia tăng. Công ty do đó đã thành công trong việc làm mất tinh thần toàn bộ lực lượng công nhân lao động chân tay (blue-collar) chỉ để giảm 1,5% tổng chi phí. Trớ trêu thay, phân tích sâu hơn cho thấy khoản tiết kiệm chi phí quan trọng nhất của các đối thủ không đến từ mức lương theo giờ thấp hơn mà từ các phương pháp làm việc tốt hơn do chính nhân viên nghĩ ra. Bạn có thể tưởng tượng được mức độ háo hức của công nhân Hoa Kỳ trong việc đóng góp tương tự sau cuộc đình công và sự nhượng bộ đó. Hãy so sánh tình huống này với những gì đã xảy ra tại Nissan khi đồng yên tăng giá: Ban lãnh đạo cấp cao đã chấp nhận cắt giảm lương lớn và sau đó yêu cầu các nhà quản lý cấp trung và nhân viên trực tiếp hy sinh ít hơn tương đối.</w:t>
      </w:r>
    </w:p>
    <w:p>
      <w:pPr>
        <w:pStyle w:val="Normal"/>
      </w:pPr>
      <w:r>
        <w:t>Trách nhiệm tương hỗ (reciprocal responsibility) có nghĩa là chia sẻ cả lợi ích và khó khăn. Trong quá nhiều công ty, nỗi đau của quá trình phục hồi gần như đổ dồn lên những nhân viên ít chịu trách nhiệm nhất về sự suy thoái của doanh nghiệp. Quá thường xuyên, công nhân được yêu cầu cam kết với các mục tiêu của công ty mà không có bất kỳ cam kết tương ứng nào từ ban lãnh đạo cấp cao—dù là bảo đảm việc làm, chia sẻ lợi nhuận, hay khả năng ảnh hưởng đến định hướng kinh doanh. Cách tiếp cận một chiều này để giành lại khả năng cạnh tranh khiến nhiều công ty không thể khai thác sức mạnh trí tuệ (intellectual horsepower) của nhân viên.</w:t>
      </w:r>
    </w:p>
    <w:p>
      <w:pPr>
        <w:pStyle w:val="Normal"/>
      </w:pPr>
      <w:r>
        <w:t>Việc tạo dựng ý thức trách nhiệm tương hỗ là rất quan trọng vì khả năng cạnh tranh cuối cùng phụ thuộc vào tốc độ mà một công ty tích hợp các lợi thế mới sâu trong tổ chức của mình, chứ không phải vào kho lợi thế hiện có tại bất kỳ thời điểm nào. Do đó, chúng ta cần mở rộng khái niệm lợi thế cạnh tranh vượt ra ngoài bảng đánh giá (scorecard) mà nhiều nhà quản lý hiện đang sử dụng: Chi phí của tôi có thấp hơn không? Sản phẩm của tôi có bán được với giá cao hơn không?</w:t>
      </w:r>
    </w:p>
    <w:p>
      <w:pPr>
        <w:pStyle w:val="Normal"/>
      </w:pPr>
      <w:r>
        <w:t>Rất ít lợi thế cạnh tranh tồn tại lâu dài. Khám phá ra một lợi thế cạnh tranh mới hơi giống như nhận được một mẹo vặt về cổ phiếu: người đầu tiên hành động theo nhận định đó sẽ kiếm được nhiều tiền hơn người cuối cùng. Khi đường cong kinh nghiệm (experience curve) còn mới mẻ, một công ty xây dựng năng lực trước các đối thủ, giảm giá để lấp đầy nhà máy và cắt giảm chi phí khi sản lượng tăng đã thu về lợi nhuận. Người tiên phong khai thác việc các đối thủ định giá thấp thị phần—họ không định giá để chiếm thêm thị phần vì họ không hiểu rằng vị thế dẫn đầu về thị phần có thể chuyển thành chi phí thấp hơn và biên lợi nhuận tốt hơn. Nhưng không còn thị phần bị định giá thấp nữa khi mỗi công ty trong số 20 công ty bán dẫn xây dựng đủ năng lực để phục vụ 10% thị trường thế giới.</w:t>
      </w:r>
    </w:p>
    <w:p>
      <w:pPr>
        <w:pStyle w:val="Normal"/>
      </w:pPr>
      <w:r>
        <w:t>Việc chỉ chăm chút cho những lợi thế hiện tại không có nghĩa là tạo ra lợi thế mới. Bản chất của chiến lược nằm ở việc tạo ra lợi thế cạnh tranh cho tương lai nhanh hơn so với việc đối thủ bắt chước những gì bạn đang có hôm nay. Vào những năm 1960, các nhà sản xuất Nhật Bản dựa vào lợi thế về chi phí lao động và vốn. Khi các nhà sản xuất phương Tây bắt đầu chuyển sản xuất ra nước ngoài, các công ty Nhật Bản đã tăng tốc đầu tư vào công nghệ quy trình và tạo ra lợi thế về quy mô và chất lượng. Sau đó, khi các đối thủ Mỹ và châu Âu hợp lý hóa sản xuất, họ lại thêm một mũi tên vào túi của mình bằng cách tăng tốc độ phát triển sản phẩm. Sau đó họ xây dựng thương hiệu toàn cầu. Rồi họ làm cho đối thủ mất đi kỹ năng thông qua các liên minh và hợp đồng gia công. Bài học là gì? Năng lực của một tổ chức trong việc cải thiện các kỹ năng hiện có và học hỏi những kỹ năng mới chính là lợi thế cạnh tranh khó bị sao chép nhất.</w:t>
      </w:r>
    </w:p>
    <w:p>
      <w:pPr>
        <w:pStyle w:val="Normal"/>
      </w:pPr>
      <w:r>
        <w:t>Để đạt được ý định chiến lược (strategic intent), một công ty thường phải đối đầu với những đối thủ lớn hơn và có tiềm lực tài chính mạnh hơn. Điều đó có nghĩa là phải quản lý các cuộc cạnh tranh một cách cẩn thận để bảo toàn nguồn lực khan hiếm. Các nhà quản lý không thể làm điều đó chỉ bằng cách chơi cùng một trò chơi tốt hơn—tức là tạo ra những cải tiến nhỏ về công nghệ và phương thức kinh doanh của đối thủ. Thay vào đó, họ phải thay đổi hoàn toàn cuộc chơi theo những cách khiến các đối thủ hiện tại gặp bất lợi—nghĩ ra các cách tiếp cận mới để thâm nhập thị trường, xây dựng lợi thế và tiến hành cạnh tranh. Đối với những đối thủ khôn ngoan, mục tiêu không phải là bắt chước cạnh tranh mà là đổi mới cạnh tranh (competitive innovation), nghệ thuật kiểm soát rủi ro cạnh tranh trong phạm vi có thể quản lý được.</w:t>
      </w:r>
    </w:p>
    <w:p>
      <w:pPr>
        <w:pStyle w:val="Normal"/>
      </w:pPr>
      <w:r>
        <w:t>Bốn cách tiếp cận để đổi mới cạnh tranh thể hiện rõ trong quá trình mở rộng toàn cầu của các công ty Nhật Bản. Đó là: xây dựng các tầng lợi thế (building layers of advantage), tìm ra những kẽ hở (searching for loose bricks), thay đổi điều kiện tham gia (changing the terms of engagement) và cạnh tranh thông qua hợp tác (competing through collaboration).</w:t>
      </w:r>
    </w:p>
    <w:p>
      <w:pPr>
        <w:pStyle w:val="Normal"/>
      </w:pPr>
      <w:r>
        <w:t>Danh mục lợi thế của một công ty càng rộng, rủi ro mà công ty đó phải đối mặt trong các cuộc cạnh tranh càng thấp. Các đối thủ cạnh tranh toàn cầu mới đã xây dựng những danh mục như vậy bằng cách không ngừng mở rộng kho vũ khí cạnh tranh của mình. Họ đã dịch chuyển một cách tất yếu từ những lợi thế khó bảo vệ như chi phí lao động thấp sang những lợi thế dễ bảo vệ hơn như thương hiệu toàn cầu. Ngành công nghiệp tivi màu Nhật Bản minh họa cho quá trình xếp tầng này.</w:t>
      </w:r>
    </w:p>
    <w:p>
      <w:pPr>
        <w:pStyle w:val="Normal"/>
      </w:pPr>
      <w:r>
        <w:t>Đến năm 1967, Nhật Bản đã trở thành nhà sản xuất tivi đen trắng lớn nhất. Đến năm 1970, nước này đang thu hẹp khoảng cách về tivi màu. Các nhà sản xuất Nhật Bản đã sử dụng lợi thế cạnh tranh của mình—lúc đó chủ yếu là chi phí lao động thấp—để xây dựng nền tảng trong mảng kinh doanh nhãn hàng riêng (private-label), sau đó nhanh chóng thiết lập các nhà máy quy mô thế giới. Khoản đầu tư này mang lại cho họ thêm các tầng lợi thế—chất lượng và độ tin cậy—cũng như giảm chi phí hơn nữa nhờ cải tiến quy trình. Đồng thời, họ nhận ra rằng các lợi thế dựa trên chi phí này dễ bị tổn thương trước những thay đổi về chi phí lao động, công nghệ quy trình và sản phẩm, tỷ giá hối đoái và chính sách thương mại. Vì vậy, trong suốt những năm 1970, họ cũng đầu tư mạnh vào việc xây dựng kênh phân phối và thương hiệu, từ đó tạo ra một tầng lợi thế khác—một mạng lưới thương hiệu toàn cầu. Vào cuối những năm 1970, họ mở rộng phạm vi sản phẩm và lĩnh vực kinh doanh để khấu hao những khoản đầu tư lớn này, và đến năm 1980, tất cả các hãng lớn—Matsushita, Sharp, Toshiba, Hitachi, Sanyo—đã thiết lập các nhóm ngành kinh doanh liên quan để hỗ trợ các khoản đầu tư tiếp thị toàn cầu. Gần đây hơn, họ đang đầu tư vào các trung tâm sản xuất và thiết kế khu vực để điều chỉnh sản phẩm của mình sát hơn với từng thị trường quốc gia.</w:t>
      </w:r>
    </w:p>
    <w:p>
      <w:pPr>
        <w:pStyle w:val="Normal"/>
      </w:pPr>
      <w:r>
        <w:t>Các nhà sản xuất này coi các nguồn lợi thế cạnh tranh khác nhau là những lớp bổ sung cho nhau, chứ không phải những lựa chọn loại trừ lẫn nhau. Điều mà một số người gọi là tự sát cạnh tranh—theo đuổi cả chi phí thấp lẫn khác biệt hóa—lại chính là điều mà nhiều đối thủ đang hướng</w:t>
      </w:r>
      <w:hyperlink w:anchor="3_1">
        <w:r>
          <w:rPr>
            <w:rStyle w:val="Text2"/>
          </w:rPr>
          <w:bookmarkStart w:id="690" w:name="3"/>
          <w:t> </w:t>
          <w:bookmarkEnd w:id="690"/>
        </w:r>
      </w:hyperlink>
      <w:hyperlink w:anchor="3_1">
        <w:r>
          <w:rPr>
            <w:rStyle w:val="Text5"/>
          </w:rPr>
          <w:t>t</w:t>
        </w:r>
      </w:hyperlink>
      <w:r>
        <w:t xml:space="preserve">ới.3 Nhờ công nghệ sản xuất linh hoạt và hiểu biết về marketing tốt hơn, họ đang rời xa các "sản phẩm toàn cầu" chuẩn hóa để chuyển sang những sản phẩm như xe minivan của Mazda, được phát triển tại California dành riêng cho thị trường Mỹ.</w:t>
      </w:r>
    </w:p>
    <w:p>
      <w:pPr>
        <w:pStyle w:val="Normal"/>
      </w:pPr>
      <w:r>
        <w:t>Một cách tiếp cận khác để đổi mới cạnh tranh—tìm kiếm những viên gạch lỏng lẻo—khai thác lợi ích của sự bất ngờ, điều hữu ích trong kinh doanh cũng như trong chiến tranh. Đặc biệt trong giai đoạn đầu của cuộc chiến giành thị trường toàn cầu, các đối thủ mới thành công thường cố gắng hoạt động dưới ngưỡng phản ứng của các đối thủ lớn hơn, mạnh hơn. Chiếm lĩnh những khu vực ít được bảo vệ là một cách để làm điều đó.</w:t>
      </w:r>
    </w:p>
    <w:p>
      <w:pPr>
        <w:pStyle w:val="Normal"/>
      </w:pPr>
      <w:r>
        <w:t>Để tìm ra những viên gạch lỏng lẻo, các nhà quản lý cần tránh những lối mòn tư duy về cách thâm nhập thị trường hay thách thức đối thủ. Ví dụ, trong một tập đoàn đa quốc gia lớn của Mỹ, chúng tôi đã hỏi một số giám đốc quốc gia mô tả những gì một đối thủ Nhật Bản đang làm trên thị trường địa phương. Vị giám đốc đầu tiên nói: "Họ đang tấn công chúng tôi ở phân khúc thấp. Các công ty Nhật Bản luôn bắt đầu từ đáy." Người thứ hai thấy nhận xét này thú vị nhưng không đồng ý: "Họ không có sản phẩm phân khúc thấp nào ở thị trường của tôi, nhưng họ có vài thứ rất hấp dẫn ở phân khúc cao. Chúng ta nên phân tích ngược sản phẩm đó." Một đồng nghiệp khác lại kể một câu chuyện khác: "Họ chưa lấy mất khách hàng nào của tôi," anh ta nói, "nhưng họ vừa đưa ra một đề nghị rất hấp dẫn để cung cấp linh kiện." Ở mỗi quốc gia, đối thủ Nhật Bản của họ đã tìm ra một viên gạch lỏng lẻo khác nhau.</w:t>
      </w:r>
    </w:p>
    <w:p>
      <w:pPr>
        <w:pStyle w:val="Normal"/>
      </w:pPr>
      <w:r>
        <w:t>Việc tìm kiếm những viên gạch lỏng lẻo bắt đầu bằng việc phân tích kỹ lưỡng lối tư duy thông thường của đối thủ: Công ty định nghĩa "thị trường phục vụ" của mình như thế nào? Hoạt động nào mang lại lợi nhuận cao nhất? Thị trường địa lý nào quá khó khăn để thâm nhập? Mục tiêu không phải là tìm một góc khuất của ngành (hay ngách) mà các đối thủ lớn hiếm khi đặt chân tới, mà là xây dựng một căn cứ tấn công ngay bên ngoài khu vực thị trường mà các nhà lãnh đạo ngành hiện đang nắm giữ. Mục tiêu là một khu vực lợi nhuận an toàn không bị tranh giành, có thể là một phân khúc sản phẩm cụ thể (phân khúc "thấp" trong ngành xe máy), một mảng của chuỗi giá trị (linh kiện trong ngành máy tính), hoặc một thị trường địa lý cụ thể (Đông Âu).</w:t>
      </w:r>
    </w:p>
    <w:p>
      <w:pPr>
        <w:pStyle w:val="Normal"/>
      </w:pPr>
      <w:r>
        <w:t>Ví dụ, khi Honda đối đầu với các nhà lãnh đạo ngành công nghiệp xe máy, họ bắt đầu với những sản phẩm nằm ngay bên ngoài định nghĩa thông thường về lĩnh vực sản phẩm-thị trường của các nhà lãnh đạo. Nhờ vậy, họ có thể xây dựng một căn cứ hoạt động trong khu vực ít được bảo vệ và sau đó dùng căn cứ đó để mở ra cuộc tấn công mở rộng. Điều mà nhiều đối thủ không nhận ra là ý đồ chiến lược của Honda và năng lực ngày càng tăng của họ trong động cơ và hệ thống truyền động. Ngay cả khi Honda đang bán xe máy 50cc tại Mỹ, họ đã đua những chiếc xe lớn hơn ở châu Âu—tích lũy kỹ năng thiết kế và công nghệ cần thiết cho một chiến lược mở rộng có hệ thống trên toàn bộ các lĩnh vực kinh doanh liên quan đến động cơ.</w:t>
      </w:r>
    </w:p>
    <w:p>
      <w:pPr>
        <w:pStyle w:val="Normal"/>
      </w:pPr>
      <w:r>
        <w:t>Honda đã tiến bộ trong việc tạo ra năng lực cốt lõi (core competence) về động cơ, điều này lẽ ra phải cảnh báo các đối thủ rằng họ có thể tham gia vào một loạt các ngành công nghiệp có vẻ không liên quan—ô tô, máy cắt cỏ, động cơ thuyền, máy phát điện. Nhưng khi mỗi công ty chỉ tập trung vào thị trường của riêng mình, mối đe dọa đa dạng hóa theo chiều ngang của Honda đã không được chú ý. Ngày nay, các công ty như Matsushita và Toshiba cũng đang sẵn sàng di chuyển theo những cách bất ngờ vượt qua ranh giới ngành. Để bảo vệ các kẽ hở (loose bricks), các công ty phải mở rộng tầm nhìn ngoại vi (peripheral vision) bằng cách theo dõi và dự đoán sự di chuyển của các đối thủ cạnh tranh toàn cầu qua các phân khúc sản phẩm, ngành nghề, thị trường quốc gia, các giai đoạn giá trị gia tăng và kênh phân phối.</w:t>
      </w:r>
    </w:p>
    <w:p>
      <w:pPr>
        <w:pStyle w:val="Normal"/>
      </w:pPr>
      <w:r>
        <w:t>Thay đổi điều khoản tham gia (terms of engagement)—từ chối chấp nhận định nghĩa của người dẫn đầu về ranh giới ngành và phân khúc—là một hình thức đổi mới cạnh tranh khác. Việc Canon tham gia vào thị trường máy photocopy minh họa cho cách tiếp cận này.</w:t>
      </w:r>
    </w:p>
    <w:p>
      <w:pPr>
        <w:pStyle w:val="Normal"/>
      </w:pPr>
      <w:r>
        <w:t>Trong những năm 1970, cả Kodak và IBM đều cố gắng bắt chước hệ thống kinh doanh của Xerox về phân khúc, sản phẩm, phân phối, dịch vụ và giá cả. Kết quả là Xerox không gặp khó khăn gì khi giải mã ý đồ của các đối thủ mới và đưa ra các đòn phản công. IBM cuối cùng đã rút khỏi thị trường máy photocopy, trong khi Kodak vẫn chỉ là kẻ đứng thứ hai xa lơ xa lắc trong thị trường máy photocopy lớn mà Xerox vẫn thống trị.</w:t>
      </w:r>
    </w:p>
    <w:p>
      <w:pPr>
        <w:pStyle w:val="Normal"/>
      </w:pPr>
      <w:r>
        <w:t>Canon, mặt khác, đã thay đổi điều khoản tham gia cạnh tranh. Trong khi Xerox sản xuất một loạt các máy photocopy, Canon đã tiêu chuẩn hóa máy móc và linh kiện để giảm chi phí. Canon chọn phân phối qua các đại lý thiết bị văn phòng thay vì cố gắng đối đầu với lực lượng bán hàng trực tiếp khổng lồ của Xerox. Canon cũng tránh được nhu cầu xây dựng một mạng lưới dịch vụ toàn quốc bằng cách thiết kế độ tin cậy và khả năng bảo trì vào sản phẩm, sau đó giao trách nhiệm dịch vụ cho các đại lý. Máy photocopy Canon được bán thay vì cho thuê, giúp Canon thoát khỏi gánh nặng tài trợ cho cơ sở cho thuê. Cuối cùng, thay vì bán cho các trưởng phòng sao chụp của công ty, Canon hướng đến các thư ký và quản lý phòng ban, những người muốn sao chụp phân tán. Ở mỗi giai đoạn, Canon khéo léo né tránh một rào cản gia nhập tiềm năng.</w:t>
      </w:r>
    </w:p>
    <w:p>
      <w:pPr>
        <w:pStyle w:val="Normal"/>
      </w:pPr>
      <w:r>
        <w:t>Kinh nghiệm của Canon cho thấy có một sự khác biệt quan trọng giữa rào cản gia nhập (barriers to entry) và rào cản bắt chước (barriers to imitation). Các đối thủ cố gắng bắt chước hệ thống kinh doanh của Xerox phải trả các chi phí gia nhập tương tự—rào cản bắt chước rất cao. Nhưng Canon đã giảm đáng kể rào cản gia nhập bằng cách thay đổi các quy tắc của trò chơi.</w:t>
      </w:r>
    </w:p>
    <w:p>
      <w:pPr>
        <w:pStyle w:val="Normal"/>
      </w:pPr>
      <w:r>
        <w:t>Việc thay đổi các quy tắc cũng làm gián đoạn khả năng trả đũa nhanh chóng của Xerox đối với đối thủ mới. Đối mặt với nhu cầu phải xem xét lại chiến lược và tổ chức kinh doanh, Xerox đã bị tê liệt một thời gian. Các nhà quản lý của Xerox nhận ra rằng họ càng nhanh chóng thu hẹp dòng sản phẩm, phát triển các kênh mới và cải thiện độ tin cậy, thì họ càng nhanh chóng làm xói mòn cơ sở lợi nhuận truyền thống của công ty. Những gì có thể được xem là các yếu tố thành công quan trọng—lực lượng bán hàng và mạng lưới dịch vụ toàn quốc của Xerox, cơ sở máy cho thuê lớn đã lắp đặt, và việc phụ thuộc vào doanh thu dịch vụ—lại trở thành rào cản cho việc trả đũa. Theo nghĩa này, đổi mới cạnh tranh giống như judo: mục tiêu là dùng sức nặng của đối thủ lớn hơn để chống lại chính họ. Và điều đó xảy ra không phải bằng cách bắt chước khả năng của người dẫn đầu mà bằng cách phát triển khả năng tương phản của chính mình.</w:t>
      </w:r>
    </w:p>
    <w:p>
      <w:pPr>
        <w:pStyle w:val="Normal"/>
      </w:pPr>
      <w:r>
        <w:t>Đổi mới cạnh tranh xuất phát từ tiền đề rằng một đối thủ thành công thường sẽ gắn bó với một “công thức” thành công. Đó là lý do vì sao vũ khí hiệu quả nhất của những người mới tham gia thị trường có lẽ là một tờ giấy trắng. Và cũng là lý do vì sao điểm yếu lớn nhất của công ty hiện tại lại nằm ở niềm tin vào những thông lệ đã được chấp nhận.</w:t>
      </w:r>
    </w:p>
    <w:p>
      <w:pPr>
        <w:pStyle w:val="Normal"/>
      </w:pPr>
      <w:r>
        <w:t>Thông qua các thỏa thuận cấp phép, thuê ngoài (outsourcing) và liên doanh, đôi khi có thể thắng mà không cần phải giao tranh. Ví dụ, các liên minh của Fujitsu ở châu Âu với Siemens và STC (nhà sản xuất máy tính lớn nhất của Anh), và ở Mỹ với Amdahl, đã mang lại quy mô sản xuất và cơ hội tiếp cận thị trường phương Tây. Đầu những năm 1980, Matsushita thiết lập liên doanh với Thorn (ở Anh), Telefunken (ở Đức) và Thomson (ở Pháp), nhờ đó nhanh chóng tăng cường lực lượng chống lại Philips trong cuộc chiến giành vị trí dẫn đầu trong lĩnh vực đầu video (VCR) châu Âu. Khi chiến đấu gián tiếp với các đối thủ toàn cầu lớn hơn, các công ty Nhật Bản đã áp dụng một châm ngôn lâu đời như chính xung đột của con người: kẻ thù của kẻ thù là bạn của ta.</w:t>
      </w:r>
    </w:p>
    <w:p>
      <w:pPr>
        <w:pStyle w:val="Normal"/>
      </w:pPr>
      <w:r>
        <w:t>Chiếm đoạt những nỗ lực phát triển của các đối thủ tiềm năng là một mục tiêu khác của hợp tác cạnh tranh. Trong cuộc chiến điện tử tiêu dùng, các đối thủ Nhật Bản đã tấn công các lĩnh vực kinh doanh truyền thống như TV và dàn âm thanh (hi-fi), đồng thời tình nguyện sản xuất các sản phẩm “thế hệ mới” như đầu video (VCR), máy quay phim (camcorder) và máy nghe nhạc CD cho các đối thủ phương Tây. Họ hy vọng các đối thủ sẽ cắt giảm chi tiêu cho phát triển, và trong hầu hết các trường hợp, điều đó đã xảy ra đúng như vậy. Nhưng những công ty từ bỏ nỗ lực phát triển của chính mình hiếm khi nổi lên trở lại như những đối thủ đáng gờm trong các cuộc chiến sản phẩm mới sau đó.</w:t>
      </w:r>
    </w:p>
    <w:p>
      <w:pPr>
        <w:pStyle w:val="Normal"/>
      </w:pPr>
      <w:r>
        <w:t>Hợp tác cũng có thể được sử dụng để đánh giá điểm mạnh và điểm yếu của đối thủ. Liên doanh của Toyota với GM và của Mazda với Ford mang lại cho các hãng xe này một vị trí quan sát vô giá để đánh giá tiến bộ mà các đối thủ Mỹ đã đạt được trong việc giảm chi phí, nâng cao chất lượng và phát triển công nghệ. Họ cũng có thể học được cách GM và Ford cạnh tranh—khi nào họ sẽ quyết đấu và khi nào thì không. Tất nhiên, điều ngược lại cũng đúng: Ford và GM có cơ hội tương tự để học hỏi từ các đối tác-đối thủ của mình.</w:t>
      </w:r>
    </w:p>
    <w:p>
      <w:pPr>
        <w:pStyle w:val="Normal"/>
      </w:pPr>
      <w:r>
        <w:t>Con đường phục hồi năng lực cạnh tranh mà chúng ta đang vạch ra ngụ ý một cách nhìn mới về chiến lược. Ý định chiến lược (strategic intent) đảm bảo sự nhất quán trong phân bổ nguồn lực trong dài hạn. Những thách thức của công ty được nêu rõ ràng tập trung nỗ lực của từng cá nhân trong trung hạn. Cuối cùng, đổi mới cạnh tranh giúp giảm rủi ro cạnh tranh trong ngắn hạn. Sự nhất quán trong dài hạn, sự tập trung trong trung hạn, và sự sáng tạo cùng sự tham gia trong ngắn hạn chính là chìa khóa để tận dụng nguồn lực có hạn trong việc theo đuổi các mục tiêu đầy tham vọng. Nhưng cũng như có một quá trình chiến thắng, thì cũng có một quá trình đầu hàng. Phục hồi năng lực cạnh tranh cũng đòi hỏi sự hiểu biết về quá trình đó.</w:t>
      </w:r>
    </w:p>
    <w:p>
      <w:pPr>
        <w:pStyle w:val="Normal"/>
      </w:pPr>
      <w:r>
        <w:t>Với vị thế dẫn đầu về công nghệ và khả năng tiếp cận các thị trường khu vực rộng lớn, làm thế nào mà các nước Mỹ và châu Âu lại đánh mất quyền thừa kế hiển nhiên của mình để thống trị các ngành công nghiệp toàn cầu? Không có câu trả lời đơn giản. Rất ít công ty nhận ra giá trị của việc ghi lại những thất bại. Càng ít hơn nữa tìm kiếm trong các lối mòn quản lý của chính họ những mầm mống dẫn đến sự đầu hàng trong cạnh tranh. Nhưng chúng tôi tin rằng có một bệnh lý của sự đầu hàng (được tóm tắt trong “Quá trình đầu hàng”) mang lại một số manh mối quan trọng.</w:t>
      </w:r>
    </w:p>
    <w:p>
      <w:pPr>
        <w:pStyle w:val="Normal"/>
      </w:pPr>
      <w:r>
        <w:t>Thật không mấy an ủi khi nghĩ rằng bản chất của tư duy chiến lược phương Tây có thể bị rút gọn thành tám quy tắc để đạt xuất sắc, bảy chữ S (seven S’s), năm lực lượng cạnh tranh (five competitive forces), bốn giai đoạn vòng đời sản phẩm (product life-cycle stages), ba chiến lược tổng quát (generic strategies), và vô số ma trận hai nhân hai</w:t>
      </w:r>
      <w:hyperlink w:anchor="4_1">
        <w:r>
          <w:rPr>
            <w:rStyle w:val="Text2"/>
          </w:rPr>
          <w:bookmarkStart w:id="691" w:name="4"/>
          <w:t> (tw</w:t>
          <w:bookmarkEnd w:id="691"/>
        </w:r>
      </w:hyperlink>
      <w:hyperlink w:anchor="4_1">
        <w:r>
          <w:rPr>
            <w:rStyle w:val="Text5"/>
          </w:rPr>
          <w:t>o-by-two</w:t>
        </w:r>
      </w:hyperlink>
      <w:r>
        <w:t xml:space="preserve"> matrices).4 Thế nhưng trong 20 năm qua, những “tiến bộ” trong chiến lược đã có dạng là ngày càng nhiều các kiểu phân loại (typologies), phương pháp tìm tòi (heuristics), và danh sách dài dòng (laundry lists), thường có cơ sở thực nghiệm đáng ngờ. Hơn nữa, ngay cả những khái niệm hợp lý như vòng đời sản phẩm (product life cycle), đường cong kinh nghiệm (experience curve), danh mục sản phẩm (product portfolios), và chiến lược tổng quát (generic strategies) thường có tác dụng phụ độc hại: chúng làm giảm số lượng các lựa chọn chiến lược mà ban quản lý sẵn lòng xem xét. Chúng tạo ra sự ưa thích việc bán doanh nghiệp hơn là bảo vệ chúng. Chúng tạo ra những chiến lược dễ đoán trước mà đối thủ dễ dàng giải mã.</w:t>
      </w:r>
    </w:p>
    <w:p>
      <w:pPr>
        <w:pStyle w:val="Normal"/>
      </w:pPr>
      <w:r>
        <w:t>Các “công thức” chiến lược hạn chế cơ hội đổi mới mang tính cạnh tranh. Một công ty có thể có 40 mảng kinh doanh nhưng chỉ có bốn chiến lược: đầu tư (invest), duy trì (hold), thu hoạch (harvest), hoặc thoái vốn (divest). Quá thường xuyên, chiến lược bị xem như một bài tập định vị (positioning exercise) trong đó các lựa chọn được kiểm tra về mức độ phù hợp với cấu trúc ngành hiện tại. Nhưng cấu trúc ngành hiện tại phản ánh những điểm mạnh của nhà lãnh đạo ngành; và chơi theo luật của nhà lãnh đạo thường là tự sát trong cạnh tranh.</w:t>
      </w:r>
    </w:p>
    <w:p>
      <w:pPr>
        <w:pStyle w:val="Normal"/>
      </w:pPr>
      <w:r>
        <w:t>Được trang bị các khái niệm như phân khúc thị trường (segmentation), chuỗi giá trị (value chain), đối chuẩn đối thủ (competitor benchmarking), nhóm chiến lược (strategic groups), và rào cản di động (mobility barriers), nhiều nhà quản lý ngày càng giỏi hơn trong việc vẽ bản đồ ngành. Nhưng trong khi họ bận rộn vẽ bản đồ, các đối thủ của họ đã di chuyển cả lục địa. Mục tiêu của nhà chiến lược không phải là tìm một ngóc ngách (niche) trong không gian ngành hiện có mà là tạo ra không gian mới phù hợp một cách độc đáo với thế mạnh riêng của công ty, không gian nằm ngoài bản đồ.</w:t>
      </w:r>
    </w:p>
    <w:p>
      <w:pPr>
        <w:pStyle w:val="Normal"/>
      </w:pPr>
      <w:r>
        <w:t>Điều này đặc biệt đúng khi ranh giới ngành ngày càng trở nên bấp bênh. Trong các ngành như dịch vụ tài chính và truyền thông, công nghệ thay đổi nhanh chóng, bãi bỏ quy định (deregulation), và toàn cầu hóa đã làm suy giảm giá trị của phân tích ngành truyền thống. Kỹ năng vẽ bản đồ chẳng đáng giá bao nhiêu ở tâm chấn của một trận động đất. Nhưng một ngành đang biến động lại mang đến cơ hội cho các công ty tham vọng vẽ lại bản đồ theo hướng có lợi cho mình, miễn là họ có thể suy nghĩ vượt ra ngoài ranh giới ngành truyền thống.</w:t>
      </w:r>
    </w:p>
    <w:p>
      <w:pPr>
        <w:pStyle w:val="Normal"/>
      </w:pPr>
      <w:r>
        <w:t>Các khái niệm như “bão hòa” và “suy giảm” chủ yếu là vấn đề định nghĩa. Điều mà hầu hết các nhà điều hành muốn nói khi họ gán một doanh nghiệp là bão hòa là tốc độ tăng trưởng doanh số đã chững lại tại các thị trường địa lý hiện tại của họ cho các sản phẩm hiện có bán qua các kênh hiện có. Trong những trường hợp như vậy, không phải ngành công nghiệp đã bão hòa, mà chính là quan niệm của các nhà điều hành về ngành đó. Khi được hỏi liệu ngành kinh doanh piano đã bão hòa chưa, một lãnh đạo cấp cao của Yamaha trả lời: “Chỉ khi chúng tôi không thể chiếm thêm thị phần từ bất kỳ ai ở bất kỳ đâu trên thế giới mà vẫn có lãi. Và dù sao, chúng tôi không kinh doanh 'piano', chúng tôi kinh doanh 'bàn phím'.” Năm này qua năm khác, Sony đã làm mới mảng kinh doanh radio và máy ghi âm của mình, mặc dù các nhà sản xuất khác từ lâu đã bỏ rơi những mảng này vì coi là bão hòa.</w:t>
      </w:r>
    </w:p>
    <w:p>
      <w:pPr>
        <w:pStyle w:val="Normal"/>
      </w:pPr>
      <w:r>
        <w:t>Một quan niệm hẹp về sự bão hòa có thể khiến công ty đánh mất một dòng cơ hội rộng lớn trong tương lai. Vào những năm 1970, một số công ty Mỹ cho rằng ngành điện tử tiêu dùng đã trở nên bão hòa. Họ tự hỏi: Còn gì có thể vượt qua được TV màu? Bị phân tâm bởi những cơ hội trong các ngành “hấp dẫn” hơn như máy tính lớn, RCA và GE đã để các nhà sản xuất Nhật Bản gần như độc quyền trong lĩnh vực đầu VCR, máy quay camcorder và máy chơi đĩa CD. Trớ trêu thay, ngành TV từng bị coi là bão hòa lại đang đứng trước ngưỡng cửa của một sự hồi sinh ngoạn mục. Một ngành kinh doanh trị giá 20 tỷ đô la mỗi năm sẽ được tạo ra khi truyền hình độ nét cao được ra mắt tại Mỹ. Nhưng những người tiên phong trong lĩnh vực TV có thể chỉ chiếm được một phần nhỏ trong món hời này.</w:t>
      </w:r>
    </w:p>
    <w:p>
      <w:pPr>
        <w:pStyle w:val="Normal"/>
      </w:pPr>
      <w:r>
        <w:t>Hầu hết các công cụ phân tích chiến lược đều tập trung vào thị trường nội địa. Rất ít công cụ buộc các nhà quản lý phải xem xét các cơ hội và mối đe dọa toàn cầu. Ví dụ, hoạch định danh mục đầu tư mô tả các lựa chọn đầu tư của ban lãnh đạo cấp cao như một loạt các doanh nghiệp thay vì một loạt các thị trường địa lý. Kết quả có thể dự đoán được: Khi các doanh nghiệp bị tấn công bởi đối thủ nước ngoài, công ty sẽ cố gắng từ bỏ chúng và chuyển sang những lĩnh vực khác nơi lực lượng cạnh tranh toàn cầu chưa mạnh đến thế. Trong ngắn hạn, đây có thể là phản ứng phù hợp trước sự suy giảm năng lực cạnh tranh, nhưng ngày càng có ít doanh nghiệp để một công ty theo định hướng nội địa có thể tìm thấy nơi ẩn náu. Chúng ta hiếm khi nghe những công ty như vậy đặt câu hỏi: Liệu chúng ta có thể tiến vào các thị trường mới nổi ở nước ngoài trước các đối thủ toàn cầu và kéo dài khả năng sinh lời của lĩnh vực kinh doanh này? Liệu chúng ta có thể phản công ngay tại thị trường nội địa của đối thủ toàn cầu và làm chậm tốc độ mở rộng của họ? Một lãnh đạo cấp cao của một công ty toàn cầu thành công đã có một nhận xét đầy ý nghĩa: “Chúng tôi rất vui khi thấy một đối thủ đang quản lý theo khái niệm danh mục đầu tư — chúng tôi gần như có thể đoán trước được chúng tôi cần lấy đi bao nhiêu thị phần để đưa doanh nghiệp của họ vào 'danh sách cần bán' của CEO.”</w:t>
      </w:r>
    </w:p>
    <w:p>
      <w:pPr>
        <w:pStyle w:val="Normal"/>
      </w:pPr>
      <w:r>
        <w:t>Các công ty cũng có thể quá phụ thuộc vào các công thức tổ chức (organizational recipes), chẳng hạn như các đơn vị kinh doanh chiến lược (strategic business units - SBU) và sự phân quyền (decentralization) mà cấu trúc SBU ngụ ý. Sự phân quyền có sức hấp dẫn bởi vì nó đặt trách nhiệm thành công hay thất bại thẳng lên vai các nhà quản lý trực tiếp (line managers). Mỗi đơn vị kinh doanh được giả định là có đủ mọi nguồn lực cần thiết để triển khai chiến lược của mình một cách thành công, và trong môi trường không có lý do bào chữa này, ban lãnh đạo cấp cao khó có thể thất bại. Nhưng dù ranh giới trách nhiệm và giải trình rõ ràng là điều đáng mong muốn, việc phục hồi năng lực cạnh tranh lại đòi hỏi ban lãnh đạo cấp cao phải tạo ra giá trị gia tăng tích cực.</w:t>
      </w:r>
    </w:p>
    <w:p>
      <w:pPr>
        <w:pStyle w:val="Normal"/>
      </w:pPr>
      <w:r>
        <w:t>Rất ít công ty có định hướng SBU mạnh mẽ đã xây dựng được vị thế phân phối và thương hiệu toàn cầu thành công. Đầu tư vào một thương hiệu toàn cầu (global brand franchise) thường vượt quá nguồn lực và mức độ chấp nhận rủi ro của một đơn vị kinh doanh đơn lẻ. Trong khi một số công ty phương Tây đã có vị thế thương hiệu toàn cầu từ 30 hoặc 40 năm trở lên (ví dụ như Heinz, Siemens, IBM, Ford và Kodak), thật khó để tìm ra bất kỳ công ty Mỹ hay châu Âu nào đã tạo ra một thương hiệu toàn cầu mới trong 10 đến 15 năm qua. Thế nhưng, các công ty Nhật Bản đã tạo ra hơn hai chục thương hiệu — bao gồm NEC, Fujitsu, Panasonic (Matsushita), Toshiba, Sony, Seiko, Epson, Canon, Minolta và Honda, trong số đó.</w:t>
      </w:r>
    </w:p>
    <w:p>
      <w:pPr>
        <w:pStyle w:val="Normal"/>
      </w:pPr>
      <w:r>
        <w:t>Tình hình của General Electric là một điển hình. Trong nhiều mảng kinh doanh, gã khổng lồ nước Mỹ này gần như không được biết đến ở châu Âu và châu Á. GE đã không có nỗ lực phối hợp nào để xây dựng một thương hiệu toàn cầu cho tập đoàn. Bất kỳ đơn vị kinh doanh nào của GE có tham vọng quốc tế đều phải một mình gánh vác trọng trách tạo dựng uy tín và năng lực tại thị trường mới. Không có gì ngạc nhiên khi một số đơn vị kinh doanh từng mạnh của GE đã chọn từ bỏ nhiệm vụ khó khăn là xây dựng vị thế thương hiệu toàn cầu. Ngược lại, các công ty Hàn Quốc nhỏ hơn như Samsung, Daewoo và Lucky Gold Star đang bận rộn xây dựng những thương hiệu toàn cầu bảo trợ (global-brand umbrellas) để mở đường cho cả một loạt ngành kinh doanh thâm nhập thị trường. Nguyên tắc cơ bản rất đơn giản: kinh tế phạm vi (economies of scope) có thể quan trọng không kém kinh tế quy mô (economies of scale) khi thâm nhập thị trường toàn cầu. Nhưng để khai thác được kinh tế phạm vi đòi hỏi sự phối hợp giữa các đơn vị kinh doanh mà chỉ có ban lãnh đạo cấp cao mới có thể mang lại.</w:t>
      </w:r>
    </w:p>
    <w:p>
      <w:pPr>
        <w:pStyle w:val="Normal"/>
      </w:pPr>
      <w:r>
        <w:t>Chúng tôi tin rằng các tổ chức theo mô hình SBU cứng nhắc cũng đã góp phần làm mai một năng lực của một số công ty. Đối với một SBU đơn lẻ, không đủ khả năng duy trì đầu tư vào năng lực cốt lõi (core competence) như chất bán dẫn, quang học hay động cơ đốt trong, cách duy nhất để duy trì tính cạnh tranh là mua các linh kiện chủ chốt từ các đối thủ tiềm năng (thường là Nhật Bản hoặc Hàn Quốc). Đối với một SBU được định nghĩa theo thị trường sản phẩm, khả năng cạnh tranh đồng nghĩa với việc cung cấp một sản phẩm cuối cùng có giá cả và hiệu suất cạnh tranh. Nhưng điều đó khiến nhà quản lý SBU ít có động lực để phân biệt giữa việc tìm nguồn cung ứng bên ngoài (external sourcing) nhằm đạt được khả năng cạnh tranh thể hiện trong sản phẩm, và việc phát triển nội bộ tạo ra những năng lực tổ chức ăn sâu có thể được khai thác trong nhiều lĩnh vực kinh doanh. Khi các hoạt động sản xuất linh kiện ở thượng nguồn được coi là các trung tâm chi phí (cost centers) với định giá chuyển nhượng theo chi phí cộng lãi (cost-plus), thì đầu tư thêm vào hoạt động cốt lõi dường như là một cách sử dụng vốn kém sinh lời hơn so với đầu tư vào các hoạt động hạ nguồn. Tệ hơn nữa, dữ liệu kế toán nội bộ có thể không phản ánh được giá trị cạnh tranh của việc duy trì quyền kiểm soát năng lực cốt lõi.</w:t>
      </w:r>
    </w:p>
    <w:p>
      <w:pPr>
        <w:pStyle w:val="Normal"/>
      </w:pPr>
      <w:r>
        <w:t>Cùng với hệ thống thương hiệu doanh nghiệp toàn cầu dùng chung và năng lực cốt lõi dùng chung, chúng đóng vai trò như chất kết dính (vữa) trong nhiều công ty Nhật Bản. Thiếu chất kết dính này, các hoạt động kinh doanh của công ty thực sự là những viên gạch rời—dễ bị các đối thủ toàn cầu luôn kiên trì đầu tư vào năng lực cốt lõi đánh bật. Các đối thủ như vậy có thể lôi kéo các công ty định hướng nội địa vào sự phụ thuộc nguồn cung dài hạn và chiếm lấy lợi thế kinh tế theo phạm vi (economies of scope) từ việc đầu tư thương hiệu toàn cầu thông qua điều phối giữa các ngành.</w:t>
      </w:r>
    </w:p>
    <w:p>
      <w:pPr>
        <w:pStyle w:val="Normal"/>
      </w:pPr>
      <w:r>
        <w:t>Điều cuối cùng trong danh sách các nguy cơ của việc phân quyền là tiêu chuẩn đánh giá hiệu quả quản lý thường được sử dụng trong các tổ chức SBU (đơn vị kinh doanh chiến lược). Trong nhiều công ty, các nhà quản lý đơn vị kinh doanh chỉ được khen thưởng dựa trên kết quả hoàn thành các chỉ tiêu về lợi tức đầu tư. Điều này thường dẫn đến việc quản lý theo mẫu số (denominator management) vì các nhà điều hành sớm nhận ra rằng việc giảm đầu tư và giảm nhân sự—mẫu số—“cải thiện” các chỉ số tài chính dùng để đánh giá họ dễ dàng hơn việc tăng trưởng tử số—doanh thu. Nó cũng tạo ra sự nhạy cảm tức thời với các chu kỳ suy thoái của ngành, điều này có thể rất tốn kém. Các nhà quản lý nhanh chóng cắt giảm đầu tư và sa thải công nhân sẽ nhận thấy rằng việc lấy lại các kỹ năng đã mất và bắt kịp đầu tư khi ngành phục hồi mất nhiều thời gian hơn. Do đó, họ mất thị phần trong mỗi chu kỳ kinh doanh. Đặc biệt trong các ngành có sự cạnh tranh khốc liệt để thu hút nhân tài và nơi các đối thủ đầu tư không ngừng, quản lý theo mẫu số tạo ra một vòng luẩn quẩn cắt giảm (retrenchment ratchet).</w:t>
      </w:r>
    </w:p>
    <w:p>
      <w:pPr>
        <w:pStyle w:val="Normal"/>
      </w:pPr>
      <w:r>
        <w:t>Quan niệm về nhà quản lý tổng quát như một 'chốt di động' (movable peg) càng làm trầm trọng thêm vấn đề quản lý theo mẫu số. Các trường kinh doanh có lỗi ở đây vì họ đã duy trì quan điểm rằng một nhà quản lý với phép tính giá trị hiện tại ròng (net present value) trong một tay và kế hoạch danh mục đầu tư (portfolio planning) trong tay kia có thể quản lý bất kỳ doanh nghiệp nào ở bất kỳ đâu.</w:t>
      </w:r>
    </w:p>
    <w:p>
      <w:pPr>
        <w:pStyle w:val="Normal"/>
      </w:pPr>
      <w:r>
        <w:t>Trong nhiều công ty đa ngành, ban lãnh đạo cấp cao đánh giá các nhà quản lý tuyến chỉ dựa trên con số vì không có cơ sở đối thoại nào khác. Các nhà quản lý được luân chuyển rất nhiều lần như một phần của 'phát triển sự nghiệp' đến mức họ thường không hiểu được những sắc thái của các ngành kinh doanh họ đang quản lý. Ví dụ, tại GE, một nhà quản lý thuộc diện thăng tiến nhanh phụ trách một liên doanh mới quan trọng đã luân chuyển qua năm lĩnh vực kinh doanh khác nhau trong năm năm. Chuỗi thành công nhanh chóng của ông cuối cùng đã chấm dứt khi ông phải đối mặt với một đối thủ Nhật Bản mà các nhà quản lý của họ đã kiên trì bền bỉ trong cùng một ngành hơn một thập kỷ.</w:t>
      </w:r>
    </w:p>
    <w:p>
      <w:pPr>
        <w:pStyle w:val="Normal"/>
      </w:pPr>
      <w:r>
        <w:t>Bất kể khả năng và nỗ lực, các nhà quản lý thuộc diện thăng tiến nhanh khó có thể phát triển được kiến thức kinh doanh sâu sắc cần thiết để thảo luận một cách thực chất về các lựa chọn công nghệ, chiến lược của đối thủ và các cơ hội toàn cầu. Do đó, các cuộc thảo luận thường xoay quanh 'các con số', trong khi giá trị gia tăng của các nhà quản lý chỉ giới hạn ở sự hiểu biết về tài chính và hoạch định mà họ mang theo từ công việc này sang công việc khác. Kiến thức về hệ thống kế toán và hoạch định nội bộ của công ty thay thế cho kiến thức thực chất về kinh doanh, khiến cho sự đổi mới mang tính cạnh tranh khó có thể xảy ra.</w:t>
      </w:r>
    </w:p>
    <w:p>
      <w:pPr>
        <w:pStyle w:val="Normal"/>
      </w:pPr>
      <w:r>
        <w:t>Khi các nhà quản lý biết rằng nhiệm vụ của họ chỉ kéo dài từ hai đến ba năm, họ cảm thấy áp lực rất lớn để nhanh chóng tạo ra thành tích tốt. Áp lực này thường biểu hiện dưới một trong hai dạng. Một là, nhà quản lý không cam kết với các mục tiêu có thời hạn vượt quá nhiệm kỳ dự kiến của họ. Hai là, các mục tiêu đầy tham vọng được đặt ra và bị nhồi nhét vào một khung thời gian ngắn một cách phi thực tế. Mục tiêu trở thành số một trong một lĩnh vực kinh doanh là bản chất của ý định chiến lược (strategic intent); nhưng áp đặt một tầm nhìn ba đến bốn năm vào nỗ lực đó chỉ mời gọi thảm họa. Các thương vụ mua lại được thực hiện mà ít chú ý đến các vấn đề hội nhập. Tổ chức trở nên quá tải với các sáng kiến. Các liên doanh hợp tác được hình thành mà không quan tâm đúng mức đến hậu quả cạnh tranh.</w:t>
      </w:r>
    </w:p>
    <w:p>
      <w:pPr>
        <w:pStyle w:val="Normal"/>
      </w:pPr>
      <w:r>
        <w:t>Gần như mọi lý thuyết quản trị chiến lược và hầu hết mọi hệ thống hoạch định doanh nghiệp đều dựa trên một hệ thống phân cấp chiến lược, trong đó mục tiêu của công ty định hướng chiến lược của đơn vị kinh doanh, và chiến lược của đơn vị kinh doanh định hướng</w:t>
      </w:r>
      <w:hyperlink w:anchor="5_1">
        <w:r>
          <w:rPr>
            <w:rStyle w:val="Text2"/>
          </w:rPr>
          <w:bookmarkStart w:id="692" w:name="5"/>
          <w:t> c</w:t>
          <w:bookmarkEnd w:id="692"/>
        </w:r>
      </w:hyperlink>
      <w:hyperlink w:anchor="5_1">
        <w:r>
          <w:rPr>
            <w:rStyle w:val="Text5"/>
          </w:rPr>
          <w:t>ác</w:t>
        </w:r>
      </w:hyperlink>
      <w:r>
        <w:t xml:space="preserve"> chiến thuật chức năng.5 Trong hệ thống phân cấp này, quản lý cấp cao xây dựng chiến lược và cấp dưới thực thi nó. Sự phân đôi giữa việc xây dựng và thực thi chiến lược là quen thuộc và được chấp nhận rộng rãi. Nhưng hệ thống phân cấp chiến lược làm suy yếu năng lực cạnh tranh bằng cách nuôi dưỡng một quan điểm quản lý tinh hoa, vốn có xu hướng tước quyền của phần lớn tổ chức. Nhân viên không thể đồng nhất với mục tiêu của công ty hoặc tham gia sâu vào công việc nâng cao năng lực cạnh tranh.</w:t>
      </w:r>
    </w:p>
    <w:p>
      <w:pPr>
        <w:pStyle w:val="Normal"/>
      </w:pPr>
      <w:r>
        <w:t>Tất nhiên, hệ thống phân cấp chiến lược không phải là lời giải thích duy nhất cho quan điểm quản lý tinh hoa. Những huyền thoại xung quanh các nhà quản lý cấp cao thành công—'Lee Iacocca cứu Chrysler', 'De Benedetti giải cứu Olivetti', 'John Sculley xoay chuyển Apple'—càng củng cố quan điểm đó. Môi trường kinh doanh đầy biến động cũng vậy. Các nhà quản lý cấp trung, bị chao đảo bởi những hoàn cảnh dường như nằm ngoài tầm kiểm soát của họ, vô cùng khao khát tin rằng quản lý cấp cao có tất cả câu trả lời. Và ngược lại, quản lý cấp cao ngần ngại thừa nhận rằng họ không có, vì sợ làm nhân viên cấp dưới mất tinh thần.</w:t>
      </w:r>
    </w:p>
    <w:p>
      <w:pPr>
        <w:pStyle w:val="Normal"/>
      </w:pPr>
      <w:r>
        <w:t>Kết quả của tất cả những điều này thường là một quy tắc im lặng, trong đó mức độ đầy đủ của vấn đề cạnh tranh của công ty không được chia sẻ rộng rãi. Ví dụ, chúng tôi đã phỏng vấn các nhà quản lý đơn vị kinh doanh trong một công ty, họ cực kỳ lo lắng vì quản lý cấp cao không nói chuyện cởi mở về những thách thức cạnh tranh mà công ty đối mặt. Họ cho rằng sự thiếu giao tiếp đó cho thấy sự thiếu nhận thức từ phía các quản lý cấp cao. Nhưng khi được hỏi liệu họ có cởi mở với chính nhân viên của mình không, chính những nhà quản lý này trả lời rằng trong khi họ có thể đối mặt với các vấn đề, những người bên dưới họ thì không thể. Thực tế, lần duy nhất lực lượng lao động nghe về các vấn đề cạnh tranh của công ty là trong các cuộc đàm phán tiền lương, khi các vấn đề được sử dụng để moi các nhượng bộ.</w:t>
      </w:r>
    </w:p>
    <w:p>
      <w:pPr>
        <w:pStyle w:val="Normal"/>
      </w:pPr>
      <w:r>
        <w:t>Thật không may, một mối đe dọa mà ai cũng nhận thấy nhưng không ai nói ra lại tạo ra nhiều lo lắng hơn một mối đe dọa đã được xác định rõ ràng và trở thành trọng tâm cho nỗ lực giải quyết vấn đề của toàn công ty. Đó là một lý do vì sao sự trung thực và khiêm tốn từ phía ban lãnh đạo cấp cao có thể là điều kiện tiên quyết đầu tiên cho sự hồi sinh. Một lý do khác là cần phải biến sự tham gia thành nhiều hơn một từ thông dụng.</w:t>
      </w:r>
    </w:p>
    <w:p>
      <w:pPr>
        <w:pStyle w:val="Normal"/>
      </w:pPr>
      <w:r>
        <w:t>Các chương trình như vòng tròn chất lượng (quality circles) và dịch vụ khách hàng toàn diện (total customer service) thường không đạt được kỳ vọng vì ban quản lý không nhận ra rằng việc triển khai thành công đòi hỏi nhiều hơn cơ cấu hành chính. Những khó khăn trong việc gắn kết các năng lực mới thường bị quy cho là vấn đề “giao tiếp”, với giả định ngầm rằng nếu giao tiếp từ trên xuống hiệu quả hơn—“chỉ cần quản lý cấp trung hiểu đúng thông điệp”—thì chương trình mới sẽ nhanh chóng bén rễ. Nhu cầu giao tiếp từ dưới lên thường bị bỏ qua, hoặc bị hiểu đơn giản chỉ là phản hồi. Ngược lại, các công ty Nhật Bản thắng, không phải vì họ có những nhà quản lý thông minh hơn, mà vì họ đã phát triển cách khai thác “trí tuệ của tổ kiến.” Họ nhận ra rằng các nhà quản lý cấp cao hơi giống các phi hành gia bay quanh Trái Đất trên tàu con thoi. Có thể các phi hành gia nhận hết vinh quang, nhưng ai cũng biết rằng bộ não thực sự đằng sau sứ mệnh nằm vững chắc dưới mặt đất.</w:t>
      </w:r>
    </w:p>
    <w:p>
      <w:pPr>
        <w:pStyle w:val="Normal"/>
      </w:pPr>
      <w:r>
        <w:t>Khi việc xây dựng chiến lược là một hoạt động tinh hoa, thì cũng khó tạo ra những chiến lược thực sự sáng tạo. Một mặt, không có đủ đầu óc và quan điểm trong các bộ phận kế hoạch cấp bộ phận hoặc cấp công ty để thách thức lối tư duy thông thường. Mặt khác, các chiến lược sáng tạo hiếm khi xuất hiện từ nghi lễ lập kế hoạch hàng năm. Điểm khởi đầu cho chiến lược của năm tới gần như luôn là chiến lược của năm nay. Các cải tiến chỉ mang tính tăng dần. Công ty bám vào các phân khúc và lãnh thổ mà họ biết, mặc dù cơ hội thực sự có thể ở nơi khác. Động lực cho bước đi tiên phong của Canon vào lĩnh vực máy photocopy cá nhân đến từ một chi nhánh bán hàng ở nước ngoài—chứ không phải từ các nhà hoạch định ở Nhật Bản.</w:t>
      </w:r>
    </w:p>
    <w:p>
      <w:pPr>
        <w:pStyle w:val="Normal"/>
      </w:pPr>
      <w:r>
        <w:t>Mục tiêu của phân cấp chiến lược vẫn còn nguyên giá trị—đảm bảo sự nhất quán từ trên xuống dưới trong tổ chức. Nhưng sự nhất quán này tốt hơn nên xuất phát từ một ý định chiến lược được diễn đạt rõ ràng hơn là từ các kế hoạch áp đặt từ trên xuống một cách cứng nhắc. Trong những năm 1990, thách thức sẽ là trao quyền cho nhân viên để họ nghĩ ra cách thức đạt được những mục tiêu đầy tham vọng.</w:t>
      </w:r>
    </w:p>
    <w:p>
      <w:pPr>
        <w:pStyle w:val="Normal"/>
      </w:pPr>
      <w:r>
        <w:t>Chúng tôi hiếm khi thấy những nhà quản lý thận trọng trong ban lãnh đạo cấp cao của các công ty vượt lên từ phía sau để thách thức các công ty hiện tại trong cuộc đua giành vị thế dẫn đầu toàn cầu. Nhưng khi nghiên cứu các tổ chức đã đầu hàng, chúng tôi luôn tìm thấy các nhà quản lý cấp cao, vì bất kỳ lý do gì, thiếu can đảm để cam kết công ty của họ với những mục tiêu anh hùng—những mục tiêu nằm ngoài tầm với của kế hoạch và nguồn lực hiện có. Các mục tiêu thận trọng mà họ đặt ra không tạo ra được áp lực và nhiệt huyết cho sự đổi mới cạnh tranh, cũng không mang lại cho tổ chức định hướng hữu ích nào. Các mục tiêu tài chính và tuyên bố sứ mệnh mơ hồ không thể cung cấp định hướng nhất quán—điều kiện tiên quyết để giành chiến thắng trong một cuộc chiến cạnh tranh toàn cầu.</w:t>
      </w:r>
    </w:p>
    <w:p>
      <w:pPr>
        <w:pStyle w:val="Normal"/>
      </w:pPr>
      <w:r>
        <w:t>Kiểu thận trọng này thường bị đổ lỗi cho thị trường tài chính. Nhưng chúng tôi tin rằng trong hầu hết các trường hợp, cái gọi là định hướng ngắn hạn của nhà đầu tư chỉ đơn giản phản ánh sự thiếu tin tưởng của họ vào khả năng của các nhà quản lý cấp cao trong việc hình dung và đạt được các mục tiêu tham vọng (stretch goals). Chủ tịch của một công ty từng phàn nàn cay đắng rằng ngay cả sau khi cải thiện tỷ suất lợi nhuận trên vốn sử dụng lên hơn 40% (bằng cách kiên quyết thoái vốn các mảng kinh doanh kém sắc và thu hẹp các mảng khác), thị trường chứng khoán vẫn giữ tỷ lệ giá trên thu nhập (P/E) của công ty ở mức 8:1. Tất nhiên, thông điệp của thị trường rất rõ ràng: “Chúng tôi không tin anh. Anh không cho thấy khả năng đạt được tăng trưởng có lợi nhuận. Chỉ cần cắt giảm bớt sự dư thừa, quản lý các chỉ số mẫu số, và có lẽ anh sẽ bị một công ty khác tiếp quản để sử dụng nguồn lực của anh sáng tạo hơn.” Rất ít điều trong thành tích của hầu hết các công ty lớn phương Tây đảm bảo được lòng tin của thị trường chứng khoán. Các nhà đầu tư không hẳn là ngắn hạn một cách vô vọng, họ hoài nghi một cách chính đáng.</w:t>
      </w:r>
    </w:p>
    <w:p>
      <w:pPr>
        <w:pStyle w:val="Normal"/>
      </w:pPr>
      <w:r>
        <w:t>Chúng tôi tin rằng sự thận trọng của ban lãnh đạo cấp cao phản ánh sự thiếu tự tin vào khả năng của chính họ trong việc lôi kéo toàn bộ tổ chức vào quá trình đổi mới (revitalization) — thay vì chỉ đơn thuần nâng cao các chỉ tiêu tài chính. Xây dựng niềm tin vào khả năng của tổ chức trong việc đạt được những mục tiêu khó khăn, tạo động lực để họ làm điều đó, tập trung sự chú ý đủ lâu để tiếp thu (internalize) các năng lực mới—đây mới là thách thức thực sự cho ban lãnh đạo cấp cao. Chỉ bằng cách vượt qua thách thức này, các nhà quản lý cấp cao mới có được sự can đảm cần thiết để cam kết bản thân và công ty của họ hướng tới vị thế dẫn đầu toàn cầu.</w:t>
      </w:r>
    </w:p>
    <w:p>
      <w:pPr>
        <w:pStyle w:val="Para 160"/>
      </w:pPr>
      <w:r>
        <w:t>Tái tạo chiến lược</w:t>
      </w:r>
    </w:p>
    <w:p>
      <w:pPr>
        <w:pStyle w:val="Para 035"/>
      </w:pPr>
      <w:r>
        <w:t>Trong mười năm qua, nghiên cứu của chúng tôi về cạnh tranh toàn cầu, liên minh quốc tế và quản lý đa quốc gia đã đưa chúng tôi đến gần với các nhà quản lý cấp cao ở Mỹ, châu Âu và Nhật Bản. Khi cố gắng tìm ra nguyên nhân của thành công và thất bại trên thị trường toàn cầu, chúng tôi ngày càng nghi ngờ rằng các nhà điều hành tại các công ty phương Tây và Viễn Đông thường vận hành với những quan niệm rất khác nhau về chiến lược cạnh tranh. Chúng tôi nghĩ rằng hiểu được những khác biệt này có thể giúp giải thích cách thức và kết quả của các cuộc cạnh tranh, cũng như bổ sung cho những giải thích truyền thống về sự trỗi dậy của Nhật Bản và sự suy giảm của phương Tây.</w:t>
      </w:r>
    </w:p>
    <w:p>
      <w:pPr>
        <w:pStyle w:val="Para 035"/>
      </w:pPr>
      <w:r>
        <w:t>Chúng tôi bắt đầu bằng cách phác họa các mô hình chiến lược ngầm (implicit strategy models) của các nhà quản lý đã tham gia nghiên cứu. Sau đó, chúng tôi xây dựng lịch sử chi tiết của các cuộc cạnh tranh được chọn. Chúng tôi tìm kiếm bằng chứng về những quan điểm khác biệt về chiến lược, lợi thế cạnh tranh và vai trò của ban lãnh đạo cấp cao.</w:t>
      </w:r>
    </w:p>
    <w:p>
      <w:pPr>
        <w:pStyle w:val="Para 035"/>
      </w:pPr>
      <w:r>
        <w:t>Hai mô hình chiến lược tương phản đã xuất hiện. Một mô hình, mà hầu hết các nhà quản lý phương Tây sẽ nhận ra, tập trung vào vấn đề duy trì sự phù hợp chiến lược (strategic fit). Mô hình còn lại tập trung vào vấn đề tận dụng (leveraging) các nguồn lực. Hai mô hình này không loại trừ lẫn nhau, nhưng chúng thể hiện một sự khác biệt đáng kể về trọng tâm—một trọng tâm ảnh hưởng sâu sắc đến cách các cuộc cạnh tranh diễn ra theo thời gian.</w:t>
      </w:r>
    </w:p>
    <w:p>
      <w:pPr>
        <w:pStyle w:val="Para 035"/>
      </w:pPr>
      <w:r>
        <w:t>Cả hai mô hình đều nhận ra vấn đề cạnh tranh trong một môi trường khắc nghiệt với nguồn lực hạn chế. Nhưng nếu mô hình thứ nhất nhấn mạnh vào việc cắt giảm tham vọng để phù hợp với nguồn lực sẵn có, thì mô hình thứ hai lại tập trung vào việc tận dụng nguồn lực để đạt được những mục tiêu có vẻ như không thể chạm tới.</w:t>
      </w:r>
    </w:p>
    <w:p>
      <w:pPr>
        <w:pStyle w:val="Para 035"/>
      </w:pPr>
      <w:r>
        <w:t>Cả hai mô hình đều thừa nhận rằng lợi thế cạnh tranh tương đối (relative competitive advantage) quyết định khả năng sinh lời tương đối. Mô hình thứ nhất nhấn mạnh việc tìm kiếm những lợi thế có tính bền vững vốn có, còn mô hình thứ hai nhấn mạnh sự cần thiết phải đẩy nhanh việc học hỏi của tổ chức (organizational learning) để vượt qua đối thủ trong việc xây dựng lợi thế mới.</w:t>
      </w:r>
    </w:p>
    <w:p>
      <w:pPr>
        <w:pStyle w:val="Para 035"/>
      </w:pPr>
      <w:r>
        <w:t>Cả hai mô hình đều nhận thức được khó khăn khi phải cạnh tranh với những đối thủ lớn hơn. Nhưng trong khi mô hình thứ nhất dẫn đến việc tìm kiếm các thị trường ngách (niche) (hoặc đơn giản là khiến công ty từ bỏ ý định thách thức một đối thủ đã cố thủ vững chắc), thì mô hình thứ hai lại tạo ra cuộc tìm kiếm những luật chơi mới có thể làm giảm giá trị lợi thế của người đương nhiệm (incumbent).</w:t>
      </w:r>
    </w:p>
    <w:p>
      <w:pPr>
        <w:pStyle w:val="Para 035"/>
      </w:pPr>
      <w:r>
        <w:t>Cả hai mô hình đều thừa nhận rằng sự cân bằng trong phạm vi hoạt động của một tổ chức giúp giảm rủi ro. Mô hình thứ nhất tìm cách giảm rủi ro tài chính bằng cách xây dựng một danh mục cân bằng giữa các mảng kinh doanh tạo ra tiền và tiêu tốn tiền. Mô hình thứ hai tìm cách giảm rủi ro cạnh tranh bằng cách đảm bảo một danh mục lợi thế được cân bằng tốt và đủ rộng.</w:t>
      </w:r>
    </w:p>
    <w:p>
      <w:pPr>
        <w:pStyle w:val="Para 035"/>
      </w:pPr>
      <w:r>
        <w:t>Cả hai mô hình đều nhận thấy cần phải tách nhỏ (disaggregate) tổ chức theo cách cho phép ban lãnh đạo cấp cao phân biệt được nhu cầu đầu tư của các đơn vị hoạch định khác nhau. Trong mô hình thứ nhất, nguồn lực được phân bổ cho các đơn vị sản phẩm – thị trường (product-market units), nơi sự liên quan giữa các đơn vị được xác định bởi sự tương đồng về sản phẩm, kênh phân phối và khách hàng. Mỗi doanh nghiệp được giả định là tự sở hữu mọi kỹ năng quan trọng cần thiết để thực thi chiến lược thành công. Trong mô hình thứ hai, các khoản đầu tư được thực hiện vào năng lực cốt lõi (core competences) (ví dụ như bộ điều khiển vi xử lý hoặc hình ảnh điện tử) cũng như vào các đơn vị sản phẩm – thị trường. Bằng cách theo dõi các khoản đầu tư này xuyên suốt các doanh nghiệp, ban lãnh đạo cấp cao đảm bảo rằng kế hoạch của từng đơn vị chiến lược không làm suy yếu các bước phát triển trong tương lai một cách ngầm định.</w:t>
      </w:r>
    </w:p>
    <w:p>
      <w:pPr>
        <w:pStyle w:val="Para 035"/>
      </w:pPr>
      <w:r>
        <w:t>Cả hai mô hình đều nhận ra sự cần thiết của việc nhất quán trong hành động giữa các cấp tổ chức. Trong mô hình thứ nhất, sự nhất quán giữa cấp công ty và cấp đơn vị kinh doanh phần lớn là vấn đề tuân thủ các mục tiêu tài chính. Sự nhất quán giữa cấp đơn vị kinh doanh và cấp chức năng đạt được bằng cách siết chặt các phương tiện mà đơn vị kinh doanh sử dụng để thực hiện chiến lược – thiết lập quy trình vận hành chuẩn, xác định rõ thị trường phục vụ, tuân thủ các thông lệ ngành được chấp nhận. Trong mô hình thứ hai, sự nhất quán giữa đơn vị kinh doanh và cấp công ty đến từ sự cam kết với một ý đồ chiến lược (strategic intent) cụ thể. Sự nhất quán giữa cấp chức năng và cấp đơn vị kinh doanh đến từ sự cam kết với các mục tiêu hoặc thách thức trung hạn, trong đó nhân viên cấp dưới được khuyến khích tự nghĩ ra cách để đạt được những mục tiêu đó.</w:t>
      </w:r>
    </w:p>
    <w:p>
      <w:pPr>
        <w:pStyle w:val="18 Block"/>
      </w:pPr>
    </w:p>
    <w:p>
      <w:pPr>
        <w:pStyle w:val="Para 160"/>
      </w:pPr>
      <w:r>
        <w:t>Quá trình đầu hàng</w:t>
      </w:r>
    </w:p>
    <w:p>
      <w:pPr>
        <w:pStyle w:val="Para 035"/>
      </w:pPr>
      <w:r>
        <w:t>Trong các cuộc chiến giành vị thế lãnh đạo toàn cầu diễn ra trong hai thập kỷ qua, chúng ta đã thấy một mô hình tấn công và rút lui cạnh tranh diễn ra rất giống nhau giữa các ngành. Chúng tôi gọi đây là quá trình đầu hàng.</w:t>
      </w:r>
    </w:p>
    <w:p>
      <w:pPr>
        <w:pStyle w:val="Para 035"/>
      </w:pPr>
      <w:r>
        <w:t>Quá trình bắt đầu với những ý đồ không lộ diện. Vì bản thân không có các mục tiêu dài hạn tập trung vào đối thủ, các công ty phương Tây đã không gán cho đối thủ những ý định như vậy. Họ cũng tính toán mối đe dọa từ các đối thủ tiềm năng dựa trên nguồn lực hiện có thay vì sự tháo vát của họ. Điều này dẫn đến việc đánh giá thấp một cách có hệ thống các đối thủ nhỏ hơn – những đối thủ đang nhanh chóng có được công nghệ thông qua các thỏa thuận cấp phép, hiểu biết thị trường từ các đối tác OEM hạ nguồn, và cải thiện chất lượng sản phẩm cũng như năng suất sản xuất thông qua các chương trình huy động toàn thể nhân viên. Vì không hề hay biết về ý đồ chiến lược và lợi thế vô hình của đối thủ, các doanh nghiệp Mỹ và châu Âu đã bị bất ngờ.</w:t>
      </w:r>
    </w:p>
    <w:p>
      <w:pPr>
        <w:pStyle w:val="Para 035"/>
      </w:pPr>
      <w:r>
        <w:t>Thêm vào sự bất ngờ cạnh tranh là việc các đối thủ mới thường tấn công vùng ngoại vi của thị trường (Honda với xe máy nhỏ, Yamaha với đại dương cầm, Toshiba với ti vi đen trắng cỡ nhỏ) trước khi đối đầu trực tiếp với các công ty hiện hữu. Các công ty hiện hữu thường hiểu sai các cuộc tấn công này, coi chúng là một phần của chiến lược thị trường ngách chứ không phải là sự tìm kiếm những “điểm yếu” (loose bricks). Các chiến lược thâm nhập thị trường phi truyền thống (nắm giữ cổ phần thiểu số tại các nước kém phát triển, sử dụng các kênh phân phối phi truyền thống, quảng cáo doanh nghiệp trên diện rộng) đã bị bỏ qua hoặc bị coi là kỳ quặc. Ví dụ, các nhà quản lý chúng tôi đã trao đổi cho biết vị thế của các công ty Nhật Bản trong ngành máy tính châu Âu là không tồn tại. Về thị phần thương hiệu thì điều đó gần như đúng, nhưng người Nhật kiểm soát tới một phần ba giá trị gia tăng sản xuất trong doanh số bán phần cứng của các doanh nghiệp máy tính có trụ sở tại châu Âu. Tương tự, các nhà sản xuất ô tô Đức tuyên bố họ không lo lắng về xu hướng hướng lên phân khúc cao cấp của các nhà sản xuất Nhật Bản. Nhưng với các mẫu xe phân khúc thấp đang chịu áp lực khủng khiếp từ các nhà sản xuất Nhật, Porsche hiện đã thông báo sẽ không còn sản xuất xe “cấp nhập môn” (entry level) nữa.</w:t>
      </w:r>
    </w:p>
    <w:p>
      <w:pPr>
        <w:pStyle w:val="Para 212"/>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965200" cy="990600"/>
            <wp:effectExtent l="0" r="0" t="0" b="0"/>
            <wp:wrapTopAndBottom/>
            <wp:docPr id="30" name="page_86.jpg" descr="image"/>
            <wp:cNvGraphicFramePr>
              <a:graphicFrameLocks noChangeAspect="1"/>
            </wp:cNvGraphicFramePr>
            <a:graphic>
              <a:graphicData uri="http://schemas.openxmlformats.org/drawingml/2006/picture">
                <pic:pic>
                  <pic:nvPicPr>
                    <pic:cNvPr id="0" name="page_86.jpg" descr="image"/>
                    <pic:cNvPicPr/>
                  </pic:nvPicPr>
                  <pic:blipFill>
                    <a:blip r:embed="rId19"/>
                    <a:stretch>
                      <a:fillRect/>
                    </a:stretch>
                  </pic:blipFill>
                  <pic:spPr>
                    <a:xfrm>
                      <a:off x="0" y="0"/>
                      <a:ext cx="965200" cy="990600"/>
                    </a:xfrm>
                    <a:prstGeom prst="rect">
                      <a:avLst/>
                    </a:prstGeom>
                  </pic:spPr>
                </pic:pic>
              </a:graphicData>
            </a:graphic>
          </wp:anchor>
        </w:drawing>
      </w:r>
    </w:p>
    <w:p>
      <w:pPr>
        <w:pStyle w:val="Para 035"/>
      </w:pPr>
      <w:r>
        <w:t>Các nhà quản lý phương Tây thường hiểu sai chiến thuật của đối thủ. Họ tin rằng các công ty Nhật Bản và Hàn Quốc chỉ cạnh tranh dựa trên chi phí và chất lượng. Điều này thường dẫn đến phản ứng một phần đối với các sáng kiến của đối thủ: chuyển sản xuất ra nước ngoài, thuê ngoài (outsourcing), hoặc thiết lập một chương trình chất lượng. Hiếm khi người ta nhận thức đầy đủ mức độ của mối đe dọa cạnh tranh—nhiều tầng lợi thế, sự mở rộng sang các phân khúc sản phẩm liên quan, sự phát triển các vị thế thương hiệu toàn cầu. Việc bắt chước các chiến thuật hiện hữu của đối thủ đã đưa các doanh nghiệp phương Tây vào một cái bẫy chạy theo vĩnh viễn. Từng công ty một, các doanh nghiệp đã thua trận và dần xem việc đầu hàng là điều không thể tránh khỏi. Tất nhiên, đầu hàng không phải là điều tất yếu, nhưng cuộc tấn công được dàn dựng theo cách che giấu ý đồ cuối cùng và né tránh đối đầu trực tiếp.</w:t>
      </w:r>
    </w:p>
    <w:p>
      <w:pPr>
        <w:pStyle w:val="18 Block"/>
      </w:pPr>
    </w:p>
    <w:p>
      <w:bookmarkStart w:id="693" w:name="NOTES"/>
      <w:pPr>
        <w:pStyle w:val="Para 213"/>
      </w:pPr>
      <w:r>
        <w:t>GHI CHÚ</w:t>
      </w:r>
      <w:bookmarkEnd w:id="693"/>
    </w:p>
    <w:p>
      <w:pPr>
        <w:pStyle w:val="Para 010"/>
      </w:pPr>
      <w:hyperlink w:anchor="1_2">
        <w:r>
          <w:rPr>
            <w:rStyle w:val="Text2"/>
          </w:rPr>
          <w:bookmarkStart w:id="694" w:name="1_3"/>
          <w:t>1.</w:t>
          <w:bookmarkEnd w:id="694"/>
        </w:r>
      </w:hyperlink>
      <w:r>
        <w:t xml:space="preserve"> Trong số những người đầu tiên áp dụng khái niệm chiến lược vào quản lý có H. Igor Ansoff trong</w:t>
      </w:r>
      <w:r>
        <w:rPr>
          <w:rStyle w:val="Text0"/>
        </w:rPr>
        <w:t> tác phẩm Corporate Strategy: An Analytic Approach to Business Policy for Growth and Expansion</w:t>
      </w:r>
      <w:r>
        <w:t xml:space="preserve"> (New York: McGraw-Hill, 1965) và Kenneth R. Andrews trong</w:t>
      </w:r>
      <w:r>
        <w:rPr>
          <w:rStyle w:val="Text0"/>
        </w:rPr>
        <w:t> tác phẩm The Concept of Corporate Strategy</w:t>
      </w:r>
      <w:r>
        <w:t xml:space="preserve"> (Homewood, Ill.: Dow Jones-Irwin, 1971).</w:t>
      </w:r>
    </w:p>
    <w:p>
      <w:pPr>
        <w:pStyle w:val="Para 010"/>
      </w:pPr>
      <w:hyperlink w:anchor="2">
        <w:r>
          <w:rPr>
            <w:rStyle w:val="Text2"/>
          </w:rPr>
          <w:bookmarkStart w:id="695" w:name="2_1"/>
          <w:t>2.</w:t>
          <w:bookmarkEnd w:id="695"/>
        </w:r>
      </w:hyperlink>
      <w:r>
        <w:t xml:space="preserve"> Robert A. Burgelman, “A Process Model of Internal Corporate Venturing in the Diversified Major Firm,”</w:t>
      </w:r>
      <w:r>
        <w:rPr>
          <w:rStyle w:val="Text0"/>
        </w:rPr>
        <w:t> Administrative Science Quarterly,</w:t>
      </w:r>
      <w:r>
        <w:t> June 1983.</w:t>
      </w:r>
    </w:p>
    <w:p>
      <w:pPr>
        <w:pStyle w:val="Para 010"/>
      </w:pPr>
      <w:hyperlink w:anchor="3">
        <w:r>
          <w:rPr>
            <w:rStyle w:val="Text2"/>
          </w:rPr>
          <w:bookmarkStart w:id="696" w:name="3_1"/>
          <w:t>3.</w:t>
          <w:bookmarkEnd w:id="696"/>
        </w:r>
      </w:hyperlink>
      <w:r>
        <w:t xml:space="preserve"> Ví dụ, xem Michael E. Porter,</w:t>
      </w:r>
      <w:r>
        <w:rPr>
          <w:rStyle w:val="Text0"/>
        </w:rPr>
        <w:t> Competitive Strategy</w:t>
      </w:r>
      <w:r>
        <w:t xml:space="preserve"> (New York: Free Press, 1980).</w:t>
      </w:r>
    </w:p>
    <w:p>
      <w:pPr>
        <w:pStyle w:val="Para 010"/>
      </w:pPr>
      <w:hyperlink w:anchor="4">
        <w:r>
          <w:rPr>
            <w:rStyle w:val="Text2"/>
          </w:rPr>
          <w:bookmarkStart w:id="697" w:name="4_1"/>
          <w:t>4.</w:t>
          <w:bookmarkEnd w:id="697"/>
        </w:r>
      </w:hyperlink>
      <w:r>
        <w:t xml:space="preserve"> Các khuôn khổ chiến lược để phân bổ nguồn lực trong các công ty đa dạng hóa được tóm tắt trong Charles W. Hofer và Dan E. Schendel,</w:t>
      </w:r>
      <w:r>
        <w:rPr>
          <w:rStyle w:val="Text0"/>
        </w:rPr>
        <w:t> Strategy Formulation: Analytical Concepts</w:t>
      </w:r>
      <w:r>
        <w:t xml:space="preserve"> (St. Paul, Minn.: West Publishing, 1978).</w:t>
      </w:r>
    </w:p>
    <w:p>
      <w:pPr>
        <w:pStyle w:val="Para 010"/>
      </w:pPr>
      <w:hyperlink w:anchor="5">
        <w:r>
          <w:rPr>
            <w:rStyle w:val="Text2"/>
          </w:rPr>
          <w:bookmarkStart w:id="698" w:name="5_1"/>
          <w:t>5.</w:t>
          <w:bookmarkEnd w:id="698"/>
        </w:r>
      </w:hyperlink>
      <w:r>
        <w:t xml:space="preserve"> Ví dụ, xem Peter Lorange và Richard F. Vancil,</w:t>
      </w:r>
      <w:r>
        <w:rPr>
          <w:rStyle w:val="Text0"/>
        </w:rPr>
        <w:t> Strategic Planning Systems</w:t>
      </w:r>
      <w:r>
        <w:t xml:space="preserve"> (Englewood Cliffs, N.J.: Prentice-Hall, 1977).</w:t>
      </w:r>
    </w:p>
    <w:p>
      <w:bookmarkStart w:id="699" w:name="Top_of_10_08_about_xhtml"/>
      <w:bookmarkStart w:id="700" w:name="ABOUT_THESE_AUTHORS_Gary_Hamel_i"/>
      <w:pPr>
        <w:pStyle w:val="Para 161"/>
        <w:pageBreakBefore w:val="on"/>
      </w:pPr>
      <w:r>
        <w:t>VỀ CÁC TÁC GIẢ NÀY</w:t>
      </w:r>
      <w:bookmarkEnd w:id="699"/>
      <w:bookmarkEnd w:id="700"/>
    </w:p>
    <w:p>
      <w:pPr>
        <w:pStyle w:val="Para 162"/>
      </w:pPr>
      <w:r>
        <w:rPr>
          <w:rStyle w:val="Text0"/>
        </w:rPr>
        <w:t>Gary Hamel</w:t>
      </w:r>
      <w:r>
        <w:t xml:space="preserve"> là Giáo sư thỉnh giảng về Quản lý Chiến lược và Quốc tế tại London Business School; đồng sáng lập Strategos, một công ty tư vấn quốc tế; và là giám đốc của Management Innovation Lab.</w:t>
      </w:r>
    </w:p>
    <w:p>
      <w:pPr>
        <w:pStyle w:val="Para 162"/>
      </w:pPr>
      <w:r>
        <w:rPr>
          <w:rStyle w:val="Text0"/>
        </w:rPr>
        <w:t>C.K. Prahalad</w:t>
      </w:r>
      <w:r>
        <w:t xml:space="preserve"> là Giáo sư Đại học Xuất sắc Paul và Ruth McCracken về Chiến lược tại Ross School of Business của Đại học Michigan.</w:t>
      </w:r>
    </w:p>
    <w:p>
      <w:bookmarkStart w:id="701" w:name="Top_of_10_09_also_xhtml"/>
      <w:bookmarkStart w:id="702" w:name="ALSO_BY_THESE_AUTHORS_Gary_Hamel"/>
      <w:pPr>
        <w:pStyle w:val="Para 161"/>
        <w:pageBreakBefore w:val="on"/>
      </w:pPr>
      <w:r>
        <w:t>CŨNG CỦA CÁC TÁC GIẢ NÀY</w:t>
      </w:r>
      <w:bookmarkEnd w:id="701"/>
      <w:bookmarkEnd w:id="702"/>
    </w:p>
    <w:p>
      <w:pPr>
        <w:pStyle w:val="Para 163"/>
      </w:pPr>
      <w:r>
        <w:t>Gary Hamel</w:t>
      </w:r>
    </w:p>
    <w:p>
      <w:pPr>
        <w:pStyle w:val="Para 164"/>
      </w:pPr>
      <w:r>
        <w:t>CÁC BÀI VIẾT TRÊN HARVARD BUS</w:t>
      </w:r>
      <w:r>
        <w:rPr>
          <w:rStyle w:val="Text0"/>
        </w:rPr>
        <w:t xml:space="preserve">INESS REVIEW</w:t>
      </w:r>
    </w:p>
    <w:p>
      <w:pPr>
        <w:pStyle w:val="Para 039"/>
      </w:pPr>
      <w:r>
        <w:t>“Core Competence of the Corporation”</w:t>
      </w:r>
    </w:p>
    <w:p>
      <w:pPr>
        <w:pStyle w:val="Para 039"/>
      </w:pPr>
      <w:r>
        <w:t>với C.K. Prahalad</w:t>
      </w:r>
    </w:p>
    <w:p>
      <w:pPr>
        <w:pStyle w:val="Para 085"/>
      </w:pPr>
      <w:r>
        <w:t>“Moon Shots for Management”</w:t>
      </w:r>
    </w:p>
    <w:p>
      <w:pPr>
        <w:pStyle w:val="Para 085"/>
      </w:pPr>
      <w:r>
        <w:t>“Quest for Resilience”</w:t>
      </w:r>
    </w:p>
    <w:p>
      <w:pPr>
        <w:pStyle w:val="Para 039"/>
      </w:pPr>
      <w:r>
        <w:t>với Liisa Valikangas</w:t>
      </w:r>
    </w:p>
    <w:p>
      <w:pPr>
        <w:pStyle w:val="Para 085"/>
      </w:pPr>
      <w:r>
        <w:t>“Why, What, and How of Management Innovation”</w:t>
      </w:r>
    </w:p>
    <w:p>
      <w:pPr>
        <w:pStyle w:val="17 Block"/>
      </w:pPr>
    </w:p>
    <w:p>
      <w:pPr>
        <w:pStyle w:val="Para 165"/>
      </w:pPr>
      <w:r>
        <w:t>SÁCH CỦA HARVARD BUSINESS PRESS</w:t>
      </w:r>
    </w:p>
    <w:p>
      <w:pPr>
        <w:pStyle w:val="Para 166"/>
      </w:pPr>
      <w:r>
        <w:t>Alliance Advantage: The Act of Creating Value Through Partnering</w:t>
      </w:r>
    </w:p>
    <w:p>
      <w:pPr>
        <w:pStyle w:val="Para 039"/>
      </w:pPr>
      <w:r>
        <w:t>với Yves L. Doz</w:t>
      </w:r>
    </w:p>
    <w:p>
      <w:pPr>
        <w:pStyle w:val="Para 086"/>
      </w:pPr>
      <w:r>
        <w:t>Competing for the Future</w:t>
      </w:r>
    </w:p>
    <w:p>
      <w:pPr>
        <w:pStyle w:val="Para 039"/>
      </w:pPr>
      <w:r>
        <w:t>với C.K. Prahalad</w:t>
      </w:r>
    </w:p>
    <w:p>
      <w:pPr>
        <w:pStyle w:val="Para 086"/>
      </w:pPr>
      <w:r>
        <w:t>The Future of Management</w:t>
      </w:r>
    </w:p>
    <w:p>
      <w:pPr>
        <w:pStyle w:val="Para 086"/>
      </w:pPr>
      <w:r>
        <w:t>Leading the Revolution</w:t>
      </w:r>
    </w:p>
    <w:p>
      <w:pPr>
        <w:pStyle w:val="Para 163"/>
      </w:pPr>
      <w:r>
        <w:t>C.K. Prahalad</w:t>
      </w:r>
    </w:p>
    <w:p>
      <w:pPr>
        <w:pStyle w:val="Para 164"/>
      </w:pPr>
      <w:r>
        <w:t>CÁC BÀI VIẾT TRÊN HARVARD BUS</w:t>
      </w:r>
      <w:r>
        <w:rPr>
          <w:rStyle w:val="Text0"/>
        </w:rPr>
        <w:t xml:space="preserve">INESS REVIEW</w:t>
      </w:r>
    </w:p>
    <w:p>
      <w:pPr>
        <w:pStyle w:val="Para 039"/>
      </w:pPr>
      <w:r>
        <w:t>“Core Competence of the Corporation”</w:t>
      </w:r>
    </w:p>
    <w:p>
      <w:pPr>
        <w:pStyle w:val="Para 039"/>
      </w:pPr>
      <w:r>
        <w:t>với Gary Hamel</w:t>
      </w:r>
    </w:p>
    <w:p>
      <w:pPr>
        <w:pStyle w:val="Para 085"/>
      </w:pPr>
      <w:r>
        <w:t>“Serving the World’s Poor, Profitably”</w:t>
      </w:r>
    </w:p>
    <w:p>
      <w:pPr>
        <w:pStyle w:val="Para 039"/>
      </w:pPr>
      <w:r>
        <w:t>với Allen Hammond</w:t>
      </w:r>
    </w:p>
    <w:p>
      <w:pPr>
        <w:pStyle w:val="Para 085"/>
      </w:pPr>
      <w:r>
        <w:t>“Vì sao Phát triển Bền vững Ngày nay là Động lực Chính của Đổi mới”</w:t>
      </w:r>
    </w:p>
    <w:p>
      <w:pPr>
        <w:pStyle w:val="Para 039"/>
      </w:pPr>
      <w:r>
        <w:t>với Ram Nidumolu và M.R. Rangaswami</w:t>
      </w:r>
    </w:p>
    <w:p>
      <w:pPr>
        <w:pStyle w:val="17 Block"/>
      </w:pPr>
    </w:p>
    <w:p>
      <w:pPr>
        <w:pStyle w:val="Para 165"/>
      </w:pPr>
      <w:r>
        <w:t>Harvard Business Review Press Books</w:t>
      </w:r>
    </w:p>
    <w:p>
      <w:pPr>
        <w:pStyle w:val="Para 166"/>
      </w:pPr>
      <w:r>
        <w:t>Cạnh tranh vì Tương lai</w:t>
      </w:r>
    </w:p>
    <w:p>
      <w:pPr>
        <w:pStyle w:val="Para 039"/>
      </w:pPr>
      <w:r>
        <w:t>với Gary Hamel</w:t>
      </w:r>
    </w:p>
    <w:p>
      <w:pPr>
        <w:pStyle w:val="Para 086"/>
      </w:pPr>
      <w:r>
        <w:t>Sự chấm dứt của Chủ nghĩa Đế quốc Doanh nghiệp</w:t>
      </w:r>
    </w:p>
    <w:p>
      <w:pPr>
        <w:pStyle w:val="Para 039"/>
      </w:pPr>
      <w:r>
        <w:t>với Kenneth Lieberthal</w:t>
      </w:r>
    </w:p>
    <w:p>
      <w:pPr>
        <w:pStyle w:val="Para 086"/>
      </w:pPr>
      <w:r>
        <w:t>Tương lai của Cạnh tranh: Đồng sáng tạo Giá trị Độc đáo cùng Khách hàng</w:t>
      </w:r>
    </w:p>
    <w:p>
      <w:pPr>
        <w:pStyle w:val="Para 039"/>
      </w:pPr>
      <w:r>
        <w:t>với Venkatram Ramaswamy</w:t>
      </w:r>
    </w:p>
    <w:p>
      <w:bookmarkStart w:id="703" w:name="Top_of_10_10_article_xhtml"/>
      <w:bookmarkStart w:id="704" w:name="Article_Summary_The_Idea_in_Brie"/>
      <w:pPr>
        <w:pStyle w:val="Para 214"/>
        <w:pageBreakBefore w:val="on"/>
      </w:pPr>
      <w:r>
        <w:t>Tóm tắt Bài viết</w:t>
      </w:r>
      <w:bookmarkEnd w:id="703"/>
      <w:bookmarkEnd w:id="704"/>
    </w:p>
    <w:p>
      <w:pPr>
        <w:pStyle w:val="Para 167"/>
      </w:pPr>
      <w:r>
        <w:t>Ý tưởng cốt lõi</w:t>
      </w:r>
    </w:p>
    <w:p>
      <w:pPr>
        <w:pStyle w:val="Para 104"/>
      </w:pPr>
      <w:r>
        <w:t>Nếu công ty của bạn đang chật vật để vượt qua các đối thủ đáng gờm, hãy cẩn trọng với những sai sót của các phương pháp hoạch định chiến lược truyền thống. Chúng khiến các nhà quản lý đánh giá sai mối đe dọa từ những đối thủ sáng tạo và kiên quyết hơn, đồng thời khiến họ hạ thấp tham vọng cạnh tranh để phù hợp với nguồn lực hiện có.</w:t>
      </w:r>
    </w:p>
    <w:p>
      <w:pPr>
        <w:pStyle w:val="Para 104"/>
      </w:pPr>
      <w:r>
        <w:t xml:space="preserve">Các nhà quản lý đưa công ty lên vị trí dẫn đầu tiếp cận chiến lược từ một góc độ rất khác. Họ nuôi dưỡng những tham vọng vượt xa nguồn lực và năng lực hiện tại của công ty. Họ tiếp lửa cho một ý chí chiến thắng ám ảnh ở mọi cấp độ tổ chức—và duy trì nó qua nhiều thập kỷ. Họ xác định một ý đồ chiến lược dài hạn nhằm khơi gợi</w:t>
      </w:r>
      <w:r>
        <w:rPr>
          <w:rStyle w:val="Text0"/>
        </w:rPr>
        <w:t> trí tưởng tượng</w:t>
      </w:r>
      <w:r>
        <w:t xml:space="preserve"> của nhân viên và làm rõ tiêu chí thành công—ví dụ, Canon đặt mục tiêu “Đánh bại Xerox.” Kết quả? Công ty của họ vươn lên dẫn đầu và giữ vững vị trí đó—khiến những</w:t>
      </w:r>
      <w:r>
        <w:rPr>
          <w:rStyle w:val="Text0"/>
        </w:rPr>
        <w:t> kẻ</w:t>
      </w:r>
      <w:r>
        <w:t xml:space="preserve"> về sau rơi vào vòng đuổi bắt không bao giờ kết thúc.</w:t>
      </w:r>
    </w:p>
    <w:p>
      <w:pPr>
        <w:pStyle w:val="Para 167"/>
      </w:pPr>
      <w:r>
        <w:t>Ý tưởng trong Thực tiễn</w:t>
      </w:r>
    </w:p>
    <w:p>
      <w:pPr>
        <w:pStyle w:val="Para 168"/>
      </w:pPr>
      <w:r>
        <w:t>Biến Ý đồ Chiến lược thành Hiện thực</w:t>
      </w:r>
    </w:p>
    <w:p>
      <w:pPr>
        <w:pStyle w:val="Para 104"/>
      </w:pPr>
      <w:r>
        <w:t>Hãy hình dung ý đồ chiến lược như một cuộc đua marathon chạy theo từng vòng 400 mét. Bạn không thể biết địa hình ở dặm thứ 26 trông như thế nào, vì vậy bạn phải tập trung sự chú ý của công ty vào 400 mét tiếp theo. Làm sao? Đưa ra các thử thách cấp công ty—mỗi thử thách chỉ rõ ngọn đồi kế tiếp trên đường đua:</w:t>
      </w:r>
    </w:p>
    <w:p>
      <w:pPr>
        <w:pStyle w:val="06 Block"/>
      </w:pPr>
    </w:p>
    <w:p>
      <w:pPr>
        <w:pStyle w:val="Para 057"/>
      </w:pPr>
      <w:r>
        <w:t>•Tạo</w:t>
      </w:r>
      <w:r>
        <w:rPr>
          <w:rStyle w:val="Text1"/>
        </w:rPr>
        <w:t> cảm giác cấp thiết. Tránh các</w:t>
      </w:r>
      <w:r>
        <w:t xml:space="preserve"> cuộc khủng hoảng trong tương lai bằng cách phóng đại các chỉ số hiện tại của mối đe dọa tiềm ẩn. Nhà sản xuất thiết bị hạng nặng Komatsu đã lập ngân sách dựa trên tỷ giá hối đoái trong trường hợp xấu nhất với đồng yên bị định giá cao.</w:t>
      </w:r>
    </w:p>
    <w:p>
      <w:pPr>
        <w:pStyle w:val="Para 057"/>
      </w:pPr>
      <w:r>
        <w:t>•Cá</w:t>
      </w:r>
      <w:r>
        <w:rPr>
          <w:rStyle w:val="Text1"/>
        </w:rPr>
        <w:t> nhân hóa thử thách.</w:t>
      </w:r>
      <w:r>
        <w:t xml:space="preserve"> Khi nhân viên thấy rõ đối thủ hàng đầu đang làm gì, họ sẽ trở nên tập trung cá nhân vào việc chiến thắng. Ford đã tiếp lửa cho công nhân bằng video về nhà máy hiệu quả nhất của Mazda.</w:t>
      </w:r>
    </w:p>
    <w:p>
      <w:pPr>
        <w:pStyle w:val="Para 057"/>
      </w:pPr>
      <w:r>
        <w:t>•Trang</w:t>
      </w:r>
      <w:r>
        <w:rPr>
          <w:rStyle w:val="Text1"/>
        </w:rPr>
        <w:t> bị cho nhân viên những kỹ năng</w:t>
      </w:r>
      <w:r>
        <w:t xml:space="preserve"> cần thiết. Cung cấp đào tạo về công cụ thống kê, giải quyết vấn đề và xây dựng đội nhóm.</w:t>
      </w:r>
    </w:p>
    <w:p>
      <w:pPr>
        <w:pStyle w:val="Para 057"/>
      </w:pPr>
      <w:r>
        <w:t>•Giải</w:t>
      </w:r>
      <w:r>
        <w:rPr>
          <w:rStyle w:val="Text1"/>
        </w:rPr>
        <w:t> quyết từng thử thách một.</w:t>
      </w:r>
      <w:r>
        <w:t xml:space="preserve"> Bạn sẽ tránh được sự quá tải của tổ chức và các ưu tiên xung đột.</w:t>
      </w:r>
    </w:p>
    <w:p>
      <w:pPr>
        <w:pStyle w:val="Para 168"/>
      </w:pPr>
      <w:r>
        <w:t>Đi trước Đối thủ Cạnh tranh</w:t>
      </w:r>
    </w:p>
    <w:p>
      <w:pPr>
        <w:pStyle w:val="Para 104"/>
      </w:pPr>
      <w:r>
        <w:t>Với nguồn lực khan hiếm hơn đối thủ, bạn cần liên tục chơi khôn hơn để vượt qua các đối thủ có tiền nhiều hơn. Đổi mới cạnh tranh có thể giúp ích. Hãy cân nhắc các cách tiếp cận sau:</w:t>
      </w:r>
    </w:p>
    <w:p>
      <w:pPr>
        <w:pStyle w:val="06 Block"/>
      </w:pPr>
    </w:p>
    <w:p>
      <w:pPr>
        <w:pStyle w:val="Para 057"/>
      </w:pPr>
      <w:r>
        <w:t>•Xây</w:t>
      </w:r>
      <w:r>
        <w:rPr>
          <w:rStyle w:val="Text1"/>
        </w:rPr>
        <w:t> dựng nhiều lớp lợi thế.</w:t>
      </w:r>
      <w:r>
        <w:t xml:space="preserve"> Đừng chỉ dựa vào một nguồn lợi thế duy nhất như lao động giá rẻ. Hãy xây dựng thương hiệu, tăng kênh phân phối và điều chỉnh sản phẩm cho phù hợp với các thị trường đặc thù.</w:t>
      </w:r>
    </w:p>
    <w:p>
      <w:pPr>
        <w:pStyle w:val="Para 057"/>
      </w:pPr>
      <w:r>
        <w:t>•Chiếm</w:t>
      </w:r>
      <w:r>
        <w:rPr>
          <w:rStyle w:val="Text1"/>
        </w:rPr>
        <w:t> lĩnh vùng đất trống. Honda</w:t>
      </w:r>
      <w:r>
        <w:t xml:space="preserve"> xác định xe máy “phân khối nhỏ” (low end) là thị trường chưa ai tranh chấp. Trong khi bán xe 50cc tại Mỹ, hãng này đua những chiếc xe lớn hơn ở châu Âu—tích lũy kỹ năng thiết kế và công nghệ cần thiết để thống trị toàn bộ ngành. Các đối thủ không bao giờ thấy được ý đồ chiến lược và năng lực ngày càng tăng của Honda về động cơ và hệ truyền động.</w:t>
      </w:r>
    </w:p>
    <w:p>
      <w:pPr>
        <w:pStyle w:val="Para 057"/>
      </w:pPr>
      <w:r>
        <w:t>•Thay</w:t>
      </w:r>
      <w:r>
        <w:rPr>
          <w:rStyle w:val="Text1"/>
        </w:rPr>
        <w:t> đổi cách thức cạnh tranh.</w:t>
      </w:r>
      <w:r>
        <w:t xml:space="preserve"> Trong khi Xerox sản xuất hàng loạt máy photocopy và cho các trung tâm sao chụp của doanh nghiệp thuê thông qua lực lượng bán hàng khổng lồ, Canon lại tiêu chuẩn hóa máy photocopy và linh kiện để giảm chi phí, bán thẳng sản phẩm qua các đại lý thiết bị văn phòng, và hướng đến những người muốn có máy riêng. Bằng cách phát triển những năng lực trái ngược với Xerox, Canon đã tạo ra một "công thức" thành công mới, khiến Xerox không thể phản ứng nhanh chóng.</w:t>
      </w:r>
    </w:p>
    <w:p>
      <w:pPr>
        <w:pStyle w:val="Para 057"/>
      </w:pPr>
      <w:r>
        <w:t>•Cạnh</w:t>
      </w:r>
      <w:r>
        <w:rPr>
          <w:rStyle w:val="Text1"/>
        </w:rPr>
        <w:t> tranh thông qua hợp</w:t>
      </w:r>
      <w:r>
        <w:t xml:space="preserve"> tác. Liên minh của nhà sản xuất điện tử Fujitsu với Siemens và hãng máy tính Anh STC cùng với Amdahl tại Mỹ đã tăng cường năng lực sản xuất và mở cửa thị trường phương Tây.</w:t>
      </w:r>
    </w:p>
    <w:p>
      <w:bookmarkStart w:id="705" w:name="Top_of_11_Title_xhtml"/>
      <w:bookmarkStart w:id="706" w:name="Harvard_Business_Review_CLASSICS_9"/>
      <w:pPr>
        <w:pStyle w:val="Para 141"/>
        <w:pageBreakBefore w:val="on"/>
      </w:pPr>
      <w:r>
        <w:t>Harvard Business Review</w:t>
      </w:r>
      <w:bookmarkEnd w:id="705"/>
      <w:bookmarkEnd w:id="706"/>
    </w:p>
    <w:p>
      <w:pPr>
        <w:pStyle w:val="Para 142"/>
      </w:pPr>
      <w:r>
        <w:t>KINH ĐIỂN</w:t>
      </w:r>
    </w:p>
    <w:p>
      <w:pPr>
        <w:pStyle w:val="Para 052"/>
      </w:pPr>
      <w:r>
        <w:t>KỶ LUẬT CỦA CÁC</w:t>
        <w:br w:clear="none"/>
        <w:t xml:space="preserve"> ĐỘI NHÓM</w:t>
      </w:r>
    </w:p>
    <w:p>
      <w:pPr>
        <w:pStyle w:val="Para 143"/>
      </w:pPr>
      <w:r>
        <w:t>Jon R. Katzenbach and Douglas K. Smith</w:t>
      </w:r>
    </w:p>
    <w:p>
      <w:pPr>
        <w:pStyle w:val="Para 144"/>
      </w:pPr>
      <w:r>
        <w:t>Harvard Business Review Press</w:t>
        <w:br w:clear="none"/>
        <w:t xml:space="preserve"> Boston, Massachusetts</w:t>
      </w:r>
    </w:p>
    <w:p>
      <w:bookmarkStart w:id="707" w:name="Top_of_11_Copyrights_xhtml"/>
      <w:bookmarkStart w:id="708" w:name="Copyright_2008_Harvard_Business_4"/>
      <w:pPr>
        <w:pStyle w:val="Para 215"/>
        <w:pageBreakBefore w:val="on"/>
      </w:pPr>
      <w:r>
        <w:t>Bản quyền 2008 Harvard Business School Publishing Corporation</w:t>
      </w:r>
      <w:bookmarkEnd w:id="707"/>
      <w:bookmarkEnd w:id="708"/>
    </w:p>
    <w:p>
      <w:pPr>
        <w:pStyle w:val="Para 034"/>
      </w:pPr>
      <w:r>
        <w:t xml:space="preserve">Được xuất bản lần đầu trên</w:t>
      </w:r>
      <w:r>
        <w:rPr>
          <w:rStyle w:val="Text0"/>
        </w:rPr>
        <w:t> Harvard Business Review vào</w:t>
      </w:r>
      <w:r>
        <w:t xml:space="preserve"> tháng 3 năm 1993</w:t>
      </w:r>
    </w:p>
    <w:p>
      <w:pPr>
        <w:pStyle w:val="Para 034"/>
      </w:pPr>
      <w:r>
        <w:t>Reprint #R0507P</w:t>
      </w:r>
    </w:p>
    <w:p>
      <w:pPr>
        <w:pStyle w:val="Para 034"/>
      </w:pPr>
      <w:r>
        <w:t>Bảo lưu mọi quyền.</w:t>
      </w:r>
    </w:p>
    <w:p>
      <w:pPr>
        <w:pStyle w:val="Para 087"/>
      </w:pPr>
      <w:r>
        <w:t xml:space="preserve">Không một phần nào của ấn phẩm này được sao chép, lưu trữ hoặc đưa vào hệ thống truy xuất, hoặc truyền đi dưới bất kỳ hình thức nào hoặc bằng bất kỳ phương tiện nào (điện tử, cơ khí, photocopy, ghi âm, hoặc cách khác) mà không có sự cho phép trước của nhà xuất bản. Yêu cầu xin phép nên gửi tới</w:t>
      </w:r>
      <w:r>
        <w:rPr>
          <w:rStyle w:val="Text2"/>
        </w:rPr>
        <w:t> permissions@hbsp.harvard.edu, hoặc</w:t>
      </w:r>
      <w:r>
        <w:t> gửi thư tới Permissions, Harvard Business School Publishing, 60 Harvard Way, Boston, Massachusetts 02163.</w:t>
      </w:r>
    </w:p>
    <w:p>
      <w:pPr>
        <w:pStyle w:val="Para 087"/>
      </w:pPr>
      <w:r>
        <w:t>ISBN 978-1-4221-7975-8</w:t>
      </w:r>
    </w:p>
    <w:p>
      <w:pPr>
        <w:pStyle w:val="Para 087"/>
      </w:pPr>
      <w:r>
        <w:t>Thông tin biên mục của Thư viện Quốc hội sẽ được cập nhật sau.</w:t>
      </w:r>
    </w:p>
    <w:p>
      <w:bookmarkStart w:id="709" w:name="Top_of_11_Review_xhtml"/>
      <w:bookmarkStart w:id="710" w:name="THE_HARVARD_BUSINESS_REVIEW_CLAS_10"/>
      <w:pPr>
        <w:pStyle w:val="Heading 1"/>
        <w:pageBreakBefore w:val="on"/>
      </w:pPr>
      <w:r>
        <w:t>LOẠT</w:t>
        <w:br w:clear="none"/>
        <w:t xml:space="preserve"> SÁCH KINH ĐIỂN CỦA HARVARD</w:t>
        <w:br w:clear="none"/>
        <w:t xml:space="preserve"> BUSINESS REVIEW</w:t>
      </w:r>
      <w:bookmarkEnd w:id="709"/>
      <w:bookmarkEnd w:id="710"/>
    </w:p>
    <w:p>
      <w:pPr>
        <w:pStyle w:val="Normal"/>
      </w:pPr>
      <w:r>
        <w:t xml:space="preserve">Từ năm 1922,</w:t>
      </w:r>
      <w:r>
        <w:rPr>
          <w:rStyle w:val="Text0"/>
        </w:rPr>
        <w:t> Harvard Business Review</w:t>
      </w:r>
      <w:r>
        <w:t xml:space="preserve"> là nguồn hàng đầu về những ý tưởng đột phá trong thực tiễn quản lý — nhiều trong số đó vẫn còn vang vọng và ảnh hưởng đến chúng ta ngày nay. Loạt sách HBR Classics mang đến cho bạn cơ hội đưa những tác phẩm nền tảng này vào tủ sách quản lý lâu dài của mình. Mỗi tập sách chứa đựng một ý tưởng đột phá đã định hình các thông lệ tốt nhất và truyền cảm hứng cho vô số nhà quản lý trên toàn thế giới — và sẽ thay đổi cách bạn nghĩ về thế giới kinh doanh ngày nay.</w:t>
      </w:r>
    </w:p>
    <w:p>
      <w:bookmarkStart w:id="711" w:name="Early_in_the_1980s__Bill_Greenwo"/>
      <w:bookmarkStart w:id="712" w:name="Top_of_11_Chapter01_xhtml"/>
      <w:pPr>
        <w:pStyle w:val="Normal"/>
        <w:pageBreakBefore w:val="on"/>
      </w:pPr>
      <w:r>
        <w:t xml:space="preserve">Vào đầu những năm 1980, Bill Greenwood và một nhóm nhỏ những nhân viên đường sắt nổi loạn đã đối đầu với hầu hết ban lãnh đạo cấp cao của Burlington Northern và tạo ra một mảng kinh doanh trị giá hàng tỷ đô la từ dịch vụ vận tải đường sắt kiểu "cõng" (piggybacking), bất chấp sự phản đối, thậm chí là sự bực bội, lan rộng trong công ty. Nhóm sản phẩm y tế tại Hewlett-Packard đạt được thành tích dẫn đầu phần lớn nhờ những nỗ lực đáng kể của Dean Morton, Lew Platt, Ben Holmes, Dick Alberding và một số đồng nghiệp của họ, những người đã hồi sinh một mảng kinh doanh chăm sóc sức khỏe mà hầu hết người khác đã từ bỏ. Tại Knight Ridder, tầm nhìn "ám ảnh khách hàng" của</w:t>
      </w:r>
      <w:r>
        <w:rPr>
          <w:rStyle w:val="Text0"/>
        </w:rPr>
        <w:t> Jim Batten đã bén rễ</w:t>
      </w:r>
      <w:r>
        <w:t xml:space="preserve"> tại Tallahassee Democrat khi 14 nhân viên tuyến đầu nhiệt huyết biến một cam kết loại bỏ sai sót thành sứ mệnh thay đổi lớn và kéo cả tòa báo đi theo.</w:t>
      </w:r>
      <w:bookmarkEnd w:id="711"/>
      <w:bookmarkEnd w:id="712"/>
    </w:p>
    <w:p>
      <w:pPr>
        <w:pStyle w:val="Para 001"/>
      </w:pPr>
      <w:r>
        <w:t>Đó là những câu chuyện và công việc của các nhóm— những nhóm thực thụ hoạt động hiệu quả, không phải những tập thể mơ hồ mà chúng ta gọi là nhóm chỉ vì nghĩ rằng cái nhãn đó tạo động lực và năng lượng. Sự khác biệt giữa các nhóm hoạt động hiệu quả và các nhóm khác không hiệu quả là một chủ đề mà hầu hết chúng ta ít chú ý đến. Một phần vấn đề là “nhóm” là một từ và khái niệm quá quen thuộc với mọi người. (Xem hình “Không phải tập thể nào cũng là nhóm: Cách phân biệt.”)</w:t>
      </w:r>
    </w:p>
    <w:p>
      <w:pPr>
        <w:pStyle w:val="Para 001"/>
      </w:pPr>
      <w:r>
        <w:t xml:space="preserve">Hoặc ít nhất đó là điều chúng tôi nghĩ khi bắt tay vào nghiên cứu cho cuốn sách The Wisdom</w:t>
      </w:r>
      <w:r>
        <w:rPr>
          <w:rStyle w:val="Text0"/>
        </w:rPr>
        <w:t> of Teams. Chúng</w:t>
      </w:r>
      <w:r>
        <w:t> tôi muốn khám phá điều gì tạo nên sự khác biệt giữa các mức độ hiệu quả của nhóm, nhóm hoạt động tốt nhất ở đâu và như thế nào, và ban lãnh đạo cấp cao có thể làm gì để nâng cao hiệu quả của họ. Chúng tôi đã trò chuyện với hàng trăm người thuộc hơn 50 nhóm khác nhau tại hơn 30 công ty và hơn thế nữa, từ Motorola, Hewlett-Packard đến Chiến dịch Bão táp Sa mạc và Hội Nữ Hướng đạo sinh.</w:t>
      </w:r>
    </w:p>
    <w:p>
      <w:pPr>
        <w:pStyle w:val="Para 001"/>
      </w:pPr>
      <w:r>
        <w:t>Chúng tôi nhận thấy rằng có một nguyên tắc cơ bản giúp các nhóm hoạt động hiệu quả. Chúng tôi cũng nhận thấy rằng nhóm và hiệu quả cao là không thể tách rời: Bạn không thể có cái này mà thiếu cái kia. Nhưng mọi người dùng từ “nhóm” một cách quá lỏng lẻo đến mức cản trở việc học hỏi và áp dụng nguyên tắc dẫn đến hiệu quả cao. Để các nhà quản lý đưa ra quyết định tốt hơn về việc có nên khuyến khích và sử dụng nhóm hay không, khi nào và như thế nào, điều quan trọng là phải xác định rõ ràng hơn nhóm là gì và không phải là gì.</w:t>
      </w:r>
    </w:p>
    <w:p>
      <w:pPr>
        <w:pStyle w:val="Para 001"/>
      </w:pPr>
      <w:r>
        <w:t>Hầu hết các nhà điều hành đều ủng hộ tinh thần đồng đội. Và họ nên làm vậy. Tinh thần đồng đội đại diện cho một tập hợp các giá trị khuyến khích lắng nghe và phản hồi mang tính xây dựng đối với quan điểm của người khác, tin tưởng người khác, hỗ trợ lẫn nhau, và ghi nhận lợi ích cũng như thành tích của đồng nghiệp. Những giá trị này giúp các nhóm hoạt động hiệu quả, đồng thời cũng thúc đẩy hiệu suất cá nhân và hiệu suất của toàn bộ tổ chức. Nhưng bản thân các giá trị tinh thần đồng đội không chỉ dành riêng cho các nhóm, cũng không đủ để đảm bảo hiệu quả của nhóm. (Xem “Xây dựng hiệu quả nhóm” ở cuối bài viết này.)</w:t>
      </w:r>
    </w:p>
    <w:p>
      <w:pPr>
        <w:pStyle w:val="Para 001"/>
      </w:pPr>
      <w:r>
        <w:t xml:space="preserve">Một nhóm cũng không chỉ đơn giản là bất kỳ tập thể nào làm việc cùng nhau. Các ủy ban, hội đồng và lực lượng đặc nhiệm không nhất thiết là các nhóm. Các tập thể không trở thành nhóm chỉ vì ai đó gọi họ như vậy. Toàn bộ lực lượng lao động của bất kỳ tổ chức lớn và phức tạp nào không bao giờ là</w:t>
      </w:r>
      <w:r>
        <w:rPr>
          <w:rStyle w:val="Text0"/>
        </w:rPr>
        <w:t> một nhóm,</w:t>
      </w:r>
      <w:r>
        <w:t xml:space="preserve"> nhưng hãy nghĩ xem câu sáo rỗng đó được nhắc đến thường xuyên như thế nào.</w:t>
      </w:r>
    </w:p>
    <w:p>
      <w:pPr>
        <w:pStyle w:val="Para 001"/>
      </w:pPr>
      <w:r>
        <w:t>Để hiểu cách các nhóm tạo ra hiệu quả vượt trội, chúng ta phải phân biệt giữa nhóm và các hình thức tập thể làm việc khác. Sự khác biệt nằm ở kết quả thực hiện. Hiệu quả của một tập thể làm việc là hàm số của những gì các thành viên làm với tư cách cá nhân. Hiệu quả của một nhóm bao gồm cả kết quả cá nhân lẫn điều chúng ta gọi là “sản phẩm công việc tập thể”. Sản phẩm công việc tập thể là thứ mà hai hoặc nhiều thành viên phải cùng nhau thực hiện, chẳng hạn như phỏng vấn, khảo sát hoặc thí nghiệm. Dù là gì đi nữa, sản phẩm công việc tập thể phản ánh sự đóng góp chung, thực chất của các thành viên trong nhóm.</w:t>
      </w:r>
    </w:p>
    <w:p>
      <w:pPr>
        <w:pStyle w:val="Para 001"/>
      </w:pPr>
      <w:r>
        <w:t>Các nhóm làm việc (working groups) vừa phổ biến vừa hiệu quả trong các tổ chức lớn, nơi mà trách nhiệm cá nhân là quan trọng nhất. Các nhóm làm việc tốt nhất tụ họp để chia sẻ thông tin, quan điểm và hiểu biết; để đưa ra quyết định giúp mỗi người làm việc tốt hơn; và để củng cố các tiêu chuẩn thực hiện cá nhân. Nhưng trọng tâm luôn là các mục tiêu và trách nhiệm cá nhân. Các thành viên nhóm làm việc không chịu trách nhiệm về kết quả ngoài kết quả của chính họ. Họ cũng không cố gắng phát triển các đóng góp hiệu suất tăng thêm đòi hỏi sự kết hợp của hai hoặc nhiều thành viên.</w:t>
      </w:r>
    </w:p>
    <w:p>
      <w:pPr>
        <w:pStyle w:val="Para 001"/>
      </w:pPr>
      <w:r>
        <w:t>Các nhóm (teams) khác biệt cơ bản so với các nhóm làm việc (working groups) vì chúng đòi hỏi cả trách nhiệm cá nhân lẫn trách nhiệm chung. Các nhóm dựa vào nhiều hơn là thảo luận, tranh luận và ra quyết định của nhóm, nhiều hơn là chia sẻ thông tin và các tiêu chuẩn thực hiện tốt nhất. Các nhóm tạo ra các sản phẩm công việc riêng biệt thông qua sự đóng góp chung của các thành viên. Điều này tạo ra khả năng đạt được mức hiệu suất lớn hơn tổng của tất cả các thành tích cá nhân tốt nhất của các thành viên trong nhóm. Nói một cách đơn giản, một nhóm không chỉ là tổng của các phần của nó.</w:t>
      </w:r>
    </w:p>
    <w:p>
      <w:pPr>
        <w:pStyle w:val="Para 001"/>
      </w:pPr>
      <w:r>
        <w:t xml:space="preserve">Bước đầu tiên trong việc phát triển một cách tiếp cận kỷ luật đối với quản lý nhóm là xem các nhóm như những đơn vị hiệu suất riêng biệt chứ không chỉ là những tập hợp giá trị tích cực. Sau khi quan sát và làm việc với nhiều nhóm trong thực tế, cả thành công lẫn thất bại, chúng tôi đưa ra điều sau đây. Hãy coi đây là một định nghĩa làm việc, hay tốt hơn, là một kỷ luật thiết yếu mà các nhóm thực</w:t>
      </w:r>
      <w:r>
        <w:rPr>
          <w:rStyle w:val="Text0"/>
        </w:rPr>
        <w:t> sự chia sẻ: Một nhóm là một số ít người có các kỹ năng bổ sung cho nhau, cam kết với một mục đích chung, một tập hợp các mục tiêu hiệu suất và một cách tiếp cận mà họ tự chịu trách nhiệm lẫn</w:t>
      </w:r>
      <w:r>
        <w:t> nhau.</w:t>
      </w:r>
    </w:p>
    <w:p>
      <w:pPr>
        <w:pStyle w:val="Para 001"/>
      </w:pPr>
      <w:r>
        <w:t>Bản chất của một nhóm là sự cam kết chung. Không có nó, các nhóm hoạt động như những cá nhân; có nó, họ trở thành một đơn vị mạnh mẽ của hiệu suất tập thể. Loại cam kết này đòi hỏi một mục đích mà các thành viên trong nhóm có thể tin tưởng. Dù mục đích là “biến sự đóng góp của các nhà cung cấp thành sự hài lòng của khách hàng,” “làm cho công ty của chúng ta trở thành một công ty mà chúng ta có thể tự hào lần nữa,” hay “chứng minh rằng mọi trẻ em đều có thể học,” các mục đích đáng tin cậy của nhóm đều có yếu tố liên quan đến chiến thắng, dẫn đầu, cách mạng hóa, hoặc đi đầu.</w:t>
      </w:r>
    </w:p>
    <w:p>
      <w:pPr>
        <w:pStyle w:val="Para 001"/>
      </w:pPr>
      <w:r>
        <w:t>Các nhóm phát triển định hướng, đà tiến và cam kết bằng cách làm việc để định hình một mục đích có ý nghĩa. Tuy nhiên, việc xây dựng quyền sở hữu và cam kết với mục đích của nhóm không mâu thuẫn với việc nhận định hướng ban đầu từ bên ngoài nhóm. Giả định thường được khẳng định rằng một nhóm không thể “sở hữu” mục đích của mình trừ khi ban quản lý để nó yên, thực ra lại gây nhầm lẫn cho nhiều nhóm tiềm năng hơn là giúp ích. Thực tế, đó là trường hợp ngoại lệ—ví dụ, các tình huống kinh doanh khởi nghiệp—khi một nhóm tự tạo ra một mục đích hoàn toàn tự thân.</w:t>
      </w:r>
    </w:p>
    <w:p>
      <w:pPr>
        <w:pStyle w:val="Para 001"/>
      </w:pPr>
      <w:r>
        <w:t>Hầu hết các đội nhóm thành công đều định hình mục đích của mình để đáp ứng một yêu cầu hoặc cơ hội được đặt ra trước họ, thường là từ ban quản lý cấp cao. Điều này giúp đội nhóm bắt đầu bằng cách phác thảo rộng rãi kỳ vọng về hiệu suất của công ty. Ban quản lý chịu trách nhiệm làm rõ nhiệm vụ (charter), lý do và thách thức về hiệu suất cho đội nhóm, nhưng ban quản lý cũng phải để lại đủ sự linh hoạt để đội nhóm phát triển cam kết theo cách riêng của họ với mục đích đó, bộ mục tiêu cụ thể, thời gian và cách tiếp cận.</w:t>
      </w:r>
    </w:p>
    <w:p>
      <w:pPr>
        <w:pStyle w:val="Para 001"/>
      </w:pPr>
      <w:r>
        <w:t>Các đội nhóm xuất sắc nhất đầu tư rất nhiều thời gian và công sức để khám phá, định hình và thống nhất một mục đích chung thuộc về họ, cả ở mức tập thể lẫn cá nhân. Hoạt động ‘định hình mục đích’ (purposing) này tiếp diễn trong suốt vòng đời của đội nhóm. Ngược lại, các đội nhóm thất bại hiếm khi xây dựng được một mục đích chung. Dù vì lý do gì—thiếu tập trung vào hiệu suất, thiếu nỗ lực, hay lãnh đạo kém—họ không gắn kết với nhau quanh một khát vọng đầy thách thức.</w:t>
      </w:r>
    </w:p>
    <w:p>
      <w:pPr>
        <w:pStyle w:val="Para 001"/>
      </w:pPr>
      <w:r>
        <w:t>Các đội nhóm xuất sắc cũng chuyển mục đích chung của mình thành các mục tiêu hiệu suất cụ thể, chẳng hạn như giảm tỷ lệ phế phẩm từ nhà cung cấp xuống 50% hoặc tăng điểm toán của học sinh tốt nghiệp từ 40% lên 95%. Thực tế, nếu một đội nhóm không thiết lập được các mục tiêu hiệu suất cụ thể, hoặc nếu các mục tiêu này không liên quan trực tiếp đến mục đích tổng thể của đội, các thành viên sẽ trở nên bối rối, rời rạc và quay lại mức hiệu suất tầm thường. Ngược lại, khi mục đích và mục tiêu bổ trợ cho nhau và kết hợp với cam kết của đội, chúng trở thành một động cơ mạnh mẽ thúc đẩy hiệu suất.</w:t>
      </w:r>
    </w:p>
    <w:p>
      <w:pPr>
        <w:pStyle w:val="Para 001"/>
      </w:pPr>
      <w:r>
        <w:t>Biến những chỉ đạo chung chung thành các mục tiêu hiệu suất cụ thể và đo lường được là bước đầu tiên chắc chắn nhất cho một đội nhóm muốn định hình mục đích có ý nghĩa với các thành viên. Các mục tiêu cụ thể, như đưa sản phẩm mới ra thị trường trong thời gian chưa bằng một nửa thời gian bình thường, phản hồi mọi khách hàng trong vòng 24 giờ, hoặc đạt tỷ lệ lỗi bằng không đồng thời cắt giảm chi phí 40%, đều tạo ra những điểm tựa vững chắc cho đội nhóm. Có nhiều lý do:</w:t>
      </w:r>
    </w:p>
    <w:p>
      <w:pPr>
        <w:numPr>
          <w:ilvl w:val="0"/>
          <w:numId w:val="21"/>
        </w:numPr>
        <w:pStyle w:val="Para 073"/>
      </w:pPr>
      <w:r>
        <w:t>Các mục tiêu hiệu suất cụ thể của đội giúp xác định một tập hợp các sản phẩm công việc khác biệt cả so với sứ mệnh toàn tổ chức lẫn mục tiêu công việc cá nhân. Nhờ đó, các sản phẩm công việc này đòi hỏi nỗ lực tập thể của các thành viên để tạo ra một điều gì đó cụ thể, mà bản thân điều đó đem lại giá trị thực cho kết quả. Ngược lại, chỉ đơn thuần họp mặt thường xuyên để ra quyết định sẽ không duy trì được hiệu suất của đội nhóm.</w:t>
      </w:r>
    </w:p>
    <w:p>
      <w:pPr>
        <w:numPr>
          <w:ilvl w:val="0"/>
          <w:numId w:val="21"/>
        </w:numPr>
        <w:pStyle w:val="Para 073"/>
      </w:pPr>
      <w:r>
        <w:t>Sự cụ thể của các mục tiêu hiệu suất tạo điều kiện cho giao tiếp rõ ràng và xung đột mang tính xây dựng trong đội nhóm. Ví dụ, khi một đội cấp nhà máy đặt mục tiêu giảm thời gian chuyển đổi máy móc trung bình xuống còn hai giờ, sự rõ ràng của mục tiêu buộc đội phải tập trung vào những gì cần thiết để đạt được mục tiêu hoặc xem xét lại mục tiêu. Khi các mục tiêu rõ ràng, các cuộc thảo luận có thể tập trung vào cách theo đuổi hoặc có nên thay đổi chúng; còn khi mục tiêu mơ hồ hoặc không tồn tại, những cuộc thảo luận như vậy sẽ kém hiệu quả hơn nhiều.</w:t>
      </w:r>
    </w:p>
    <w:p>
      <w:pPr>
        <w:numPr>
          <w:ilvl w:val="0"/>
          <w:numId w:val="21"/>
        </w:numPr>
        <w:pStyle w:val="Para 073"/>
      </w:pPr>
      <w:r>
        <w:t>Tính khả thi của các mục tiêu cụ thể giúp các nhóm duy trì sự tập trung vào việc đạt được kết quả. Một nhóm phát triển sản phẩm tại Bộ phận Peripheral Systems của Eli Lilly đã đặt ra những tiêu chuẩn rõ ràng cho việc đưa ra thị trường một đầu dò siêu âm để giúp các bác sĩ xác định vị trí các tĩnh mạch và động mạch sâu. Đầu dò phải có tín hiệu âm thanh xuyên qua một độ sâu mô nhất định, có khả năng được sản xuất với tốc độ 100 chiếc mỗi ngày và có chi phí đơn vị thấp hơn một mức đã định trước. Vì nhóm có thể đo lường tiến độ của mình so với từng mục tiêu cụ thể này, họ biết mình đang ở đâu trong suốt quá trình phát triển. Hoặc họ đã đạt được mục tiêu hoặc chưa.</w:t>
      </w:r>
    </w:p>
    <w:p>
      <w:pPr>
        <w:numPr>
          <w:ilvl w:val="0"/>
          <w:numId w:val="21"/>
        </w:numPr>
        <w:pStyle w:val="Para 073"/>
      </w:pPr>
      <w:r>
        <w:t>Như Outward Bound và các chương trình xây dựng đội nhóm khác minh họa, các mục tiêu cụ thể có hiệu ứng san bằng, thúc đẩy hành vi nhóm. Khi một nhóm nhỏ tự thử thách để vượt qua bức tường hoặc giảm thời gian chu kỳ 50%, các chức danh, đặc quyền và các phù hiệu khác của họ dần mờ nhạt. Các nhóm thành công sẽ đánh giá từng cá nhân có thể đóng góp tốt nhất điều gì và bằng cách nào cho mục tiêu của nhóm, và quan trọng hơn, họ làm điều đó dựa trên chính mục tiêu hiệu quả, chứ không dựa trên địa vị hay tính cách của một người.</w:t>
      </w:r>
    </w:p>
    <w:p>
      <w:pPr>
        <w:numPr>
          <w:ilvl w:val="0"/>
          <w:numId w:val="21"/>
        </w:numPr>
        <w:pStyle w:val="Para 073"/>
      </w:pPr>
      <w:r>
        <w:t>Các mục tiêu cụ thể cho phép một nhóm đạt được những chiến thắng nhỏ trong khi theo đuổi mục đích lớn hơn. Những chiến thắng nhỏ này vô cùng giá trị để xây dựng cam kết và vượt qua những trở ngại không thể tránh khỏi trên con đường thực hiện mục đích dài hạn. Ví dụ, nhóm Knight Ridder được nhắc đến ngay từ đầu đã biến một mục tiêu hẹp là loại bỏ sai sót thành một mục đích dịch vụ khách hàng hấp dẫn.</w:t>
      </w:r>
    </w:p>
    <w:p>
      <w:pPr>
        <w:numPr>
          <w:ilvl w:val="0"/>
          <w:numId w:val="21"/>
        </w:numPr>
        <w:pStyle w:val="Para 073"/>
      </w:pPr>
      <w:r>
        <w:t>Các mục tiêu hiệu quả có sức thuyết phục. Chúng là biểu tượng của thành tích, tạo động lực và tiếp thêm năng lượng. Chúng thách thức các thành viên trong nhóm cam kết, với tư cách một nhóm, để tạo ra sự khác biệt. Sự kịch tính, khẩn trương và một chút lo sợ thất bại lành mạnh kết hợp để thúc đẩy các nhóm cùng hướng đến một mục tiêu khả thi nhưng đầy thử thách. Không ai khác ngoài nhóm có thể biến điều đó thành hiện thực. Đó là thử thách của họ.</w:t>
      </w:r>
    </w:p>
    <w:p>
      <w:pPr>
        <w:pStyle w:val="Para 001"/>
      </w:pPr>
      <w:r>
        <w:t>Sự kết hợp giữa mục đích và các mục tiêu cụ thể là điều thiết yếu cho hiệu quả. Mỗi yếu tố phụ thuộc vào yếu tố kia để duy trì sự phù hợp và sức sống. Các mục tiêu hiệu quả rõ ràng giúp nhóm theo dõi tiến độ và tự chịu trách nhiệm; những khát vọng rộng lớn hơn, thậm chí cao cả hơn trong mục đích của nhóm mang lại cả ý nghĩa và năng lượng cảm xúc.</w:t>
      </w:r>
    </w:p>
    <w:p>
      <w:pPr>
        <w:pStyle w:val="Para 001"/>
      </w:pPr>
      <w:r>
        <w:t>Hầu như tất cả các nhóm hiệu quả mà chúng tôi đã gặp, đọc, nghe hoặc từng là thành viên đều có quy mô từ 2 đến 25 người. Ví dụ, nhóm vận tải kết hợp (piggybacking) của Burlington Northern có 7 thành viên, và nhóm báo Knight Ridder có 14 người. Phần lớn trong số đó có ít hơn mười người. Quy mô nhỏ thừa nhận là một chỉ dẫn thực tế hơn là điều kiện tuyệt đối để thành công. Một số lượng lớn, ví dụ 50 người trở lên, về mặt lý thuyết có thể trở thành một nhóm. Nhưng các nhóm có quy mô như vậy thường có xu hướng tách thành các nhóm nhỏ (subteams) hơn là hoạt động như một đơn vị duy nhất.</w:t>
      </w:r>
    </w:p>
    <w:p>
      <w:pPr>
        <w:pStyle w:val="Para 001"/>
      </w:pPr>
      <w:r>
        <w:t>Vì sao? Khi số lượng người đông, họ sẽ khó tương tác với nhau một cách hiệu quả trong nhóm, chứ chưa nói đến việc thực sự làm việc cùng nhau. Mười người có khả năng cao hơn nhiều so với năm mươi người trong việc vượt qua những khác biệt cá nhân, chức năng và thứ bậc để hướng tới một kế hoạch chung, và cùng nhau chịu trách nhiệm về kết quả.</w:t>
      </w:r>
    </w:p>
    <w:p>
      <w:pPr>
        <w:pStyle w:val="Para 001"/>
      </w:pPr>
      <w:r>
        <w:t>Các nhóm lớn cũng gặp phải những vấn đề về hậu cần, chẳng hạn như tìm đủ không gian và thời gian để họp. Và họ phải đối mặt với những ràng buộc phức tạp hơn, như hành vi đám đông hoặc bầy đàn, điều này ngăn cản việc chia sẻ quan điểm một cách sâu sắc – thứ cần thiết để xây dựng một đội ngũ. Kết quả là, khi họ cố gắng phát triển một mục đích chung, họ thường chỉ tạo ra những 'sứ mệnh' hời hợt và những ý định tốt đẹp nhưng không thể chuyển thành các mục tiêu cụ thể. Họ nhanh chóng đạt đến điểm mà việc họp hành trở thành gánh nặng – một dấu hiệu rõ ràng rằng hầu hết mọi người trong nhóm đều không chắc chắn tại sao họ lại tụ họp, ngoài việc muốn hòa hợp tốt hơn. Ai đã từng trải qua những bài tập kiểu này sẽ hiểu nó bực bội đến mức nào. Sự thất bại này thường nuôi dưỡng sự hoài nghi, cản trở những nỗ lực làm việc nhóm trong tương lai.</w:t>
      </w:r>
    </w:p>
    <w:p>
      <w:pPr>
        <w:pStyle w:val="Para 001"/>
      </w:pPr>
      <w:r>
        <w:t>Bên cạnh việc có quy mô phù hợp, các đội nhóm cần phát triển sự kết hợp kỹ năng đúng đắn; nghĩa là, mỗi kỹ năng bổ trợ cần thiết để hoàn thành công việc của nhóm. Nghe thì có vẻ hiển nhiên, nhưng đây lại là lỗi thường gặp ở các đội nhóm tiềm năng. Các yêu cầu về kỹ năng rơi vào ba loại khá rõ ràng.</w:t>
      </w:r>
    </w:p>
    <w:p>
      <w:pPr>
        <w:pStyle w:val="Heading 3"/>
      </w:pPr>
      <w:r>
        <w:t>Chuyên môn kỹ thuật hoặc chức năng</w:t>
      </w:r>
    </w:p>
    <w:p>
      <w:pPr>
        <w:pStyle w:val="Para 001"/>
      </w:pPr>
      <w:r>
        <w:t>Sẽ thật vô lý nếu một nhóm bác sĩ đi tranh tụng một vụ phân biệt đối xử trong việc làm tại tòa án. Thế nhưng, các đội ngũ gồm bác sĩ và luật sư thường xử lý các vụ sơ suất y khoa hoặc thương tích cá nhân. Tương tự, các nhóm phát triển sản phẩm chỉ gồm nhân viên marketing hoặc kỹ sư thường ít thành công hơn những nhóm có sự bổ trợ kỹ năng của cả hai.</w:t>
      </w:r>
    </w:p>
    <w:p>
      <w:pPr>
        <w:pStyle w:val="Heading 3"/>
      </w:pPr>
      <w:r>
        <w:t>Kỹ năng giải quyết vấn đề và</w:t>
        <w:br w:clear="none"/>
        <w:t xml:space="preserve"> ra quyết định</w:t>
      </w:r>
    </w:p>
    <w:p>
      <w:pPr>
        <w:pStyle w:val="Para 001"/>
      </w:pPr>
      <w:r>
        <w:t>Các đội nhóm phải có khả năng xác định những vấn đề và cơ hội họ đang đối mặt, đánh giá các lựa chọn để tiến về phía trước, sau đó đưa ra những đánh đổi và quyết định cần thiết về cách tiếp tục. Hầu hết các đội cần một số thành viên có những kỹ năng này ngay từ đầu, mặc dù nhiều người sẽ phát triển chúng tốt nhất ngay trong công việc.</w:t>
      </w:r>
    </w:p>
    <w:p>
      <w:pPr>
        <w:pStyle w:val="Heading 3"/>
      </w:pPr>
      <w:r>
        <w:t>Kỹ năng tương tác cá nhân</w:t>
      </w:r>
    </w:p>
    <w:p>
      <w:pPr>
        <w:pStyle w:val="Para 001"/>
      </w:pPr>
      <w:r>
        <w:t>Sự hiểu biết chung và mục đích chung không thể nảy sinh nếu thiếu giao tiếp hiệu quả và xung đột mang tính xây dựng, những điều này phụ thuộc vào kỹ năng tương tác cá nhân. Những kỹ năng này bao gồm: dám chấp nhận rủi ro, phê bình mang tính góp ý, khách quan, lắng nghe tích cực, tin tưởng người khác (cho họ sự hoài nghi có lợi), và công nhận sở thích cũng như thành tích của người khác.</w:t>
      </w:r>
    </w:p>
    <w:p>
      <w:pPr>
        <w:pStyle w:val="Para 001"/>
      </w:pPr>
      <w:r>
        <w:t>Rõ ràng, một đội nhóm không thể bắt đầu nếu thiếu một bộ kỹ năng tối thiểu, đặc biệt là kỹ năng chuyên môn và chức năng. Tuy nhiên, hãy nghĩ xem bạn đã từng tham gia bao nhiêu lần vào một đội nhóm mà các thành viên được chọn chủ yếu dựa trên sự hợp nhau về mặt cá nhân hoặc vị trí chính thức trong tổ chức, mà sự phối hợp kỹ năng của các thành viên lại không được quan tâm nhiều.</w:t>
      </w:r>
    </w:p>
    <w:p>
      <w:pPr>
        <w:pStyle w:val="Para 001"/>
      </w:pPr>
      <w:r>
        <w:t>Việc quá nhấn mạnh kỹ năng khi lựa chọn đội cũng phổ biến không kém. Tuy nhiên, trong tất cả các đội thành công mà chúng tôi từng gặp, không một đội nào có đầy đủ mọi kỹ năng cần thiết ngay từ đầu. Ví dụ, đội Burlington Northern ban đầu không có thành viên nào là chuyên gia tiếp thị mặc dù thách thức về hiệu quả của họ lại thuộc về lĩnh vực tiếp thị. Thực tế, chúng tôi nhận thấy rằng các đội là công cụ mạnh mẽ để phát triển các kỹ năng cần thiết nhằm đáp ứng thách thức về hiệu quả của đội. Do đó, việc lựa chọn thành viên của đội nên dựa nhiều vào tiềm năng kỹ năng cũng như các kỹ năng đã được chứng minh.</w:t>
      </w:r>
    </w:p>
    <w:p>
      <w:pPr>
        <w:pStyle w:val="Para 001"/>
      </w:pPr>
      <w:r>
        <w:t>Các đội hiệu quả phát triển cam kết mạnh mẽ đối với một cách tiếp cận chung; tức là cách họ sẽ làm việc cùng nhau để hoàn thành mục đích. Các thành viên trong đội phải đồng ý về việc ai sẽ làm công việc cụ thể nào, lịch trình được thiết lập và tuân thủ ra sao, những kỹ năng nào cần được phát triển, cách thức để được tiếp tục là thành viên của đội, và đội sẽ ra quyết định và điều chỉnh quyết định như thế nào. Yếu tố cam kết này quan trọng đối với hiệu quả của đội cũng như cam kết của đội đối với mục đích và mục tiêu.</w:t>
      </w:r>
    </w:p>
    <w:p>
      <w:pPr>
        <w:pStyle w:val="Para 001"/>
      </w:pPr>
      <w:r>
        <w:t>Việc thống nhất về chi tiết công việc và cách chúng kết hợp với nhau để tích hợp kỹ năng cá nhân và nâng cao hiệu quả của đội nằm ở trọng tâm của việc định hình một cách tiếp cận chung. Có lẽ hiển nhiên rằng một cách tiếp cận chỉ giao toàn bộ công việc thực sự cho một vài thành viên (hoặc nhân viên bên ngoài) và do đó chỉ dựa vào việc đánh giá và họp hành như những khía cạnh 'làm việc cùng nhau' duy nhất thì không thể duy trì một đội thực thụ. Mỗi thành viên của một đội thành công đều làm một lượng công việc thực sự tương đương; tất cả thành viên, bao gồm cả trưởng đội, đều đóng góp cụ thể vào sản phẩm công việc của đội. Đây là một yếu tố rất quan trọng của logic cảm xúc thúc đẩy hiệu quả của đội.</w:t>
      </w:r>
    </w:p>
    <w:p>
      <w:pPr>
        <w:pStyle w:val="Para 001"/>
      </w:pPr>
      <w:r>
        <w:t>Khi các cá nhân bước vào một tình huống đội, đặc biệt là trong môi trường kinh doanh, mỗi người đều có nhiệm vụ công việc sẵn có cũng như điểm mạnh và điểm yếu phản ánh nhiều tài năng, nền tảng, tính cách, và định kiến khác nhau. Chỉ thông qua việc cùng nhau khám phá và thấu hiểu cách áp dụng mọi nguồn nhân lực vào một mục đích chung, một đội mới có thể phát triển và đồng thuận về cách tiếp cận tốt nhất để đạt được mục tiêu. Trọng tâm của những tương tác lâu dài và đôi khi khó khăn này là quá trình xây dựng cam kết, trong đó đội thẳng thắn tìm hiểu ai phù hợp nhất với từng nhiệm vụ cũng như các vai trò cá nhân sẽ kết hợp với nhau như thế nào. Về bản chất, đội thiết lập một hợp đồng xã hội giữa các thành viên, liên quan đến mục đích của họ và định hướng cũng như ràng buộc cách họ phải làm việc cùng nhau.</w:t>
      </w:r>
    </w:p>
    <w:p>
      <w:pPr>
        <w:pStyle w:val="Para 001"/>
      </w:pPr>
      <w:r>
        <w:t>Không một nhóm nào trở thành một đội thực thụ cho đến khi nó có thể tự chịu trách nhiệm như một đội. Giống như mục đích chung và cách tiếp cận chung, trách nhiệm giải trình lẫn nhau là một bài thử thách nghiêm khắc. Ví dụ, hãy nghĩ về sự khác biệt tinh tế nhưng quan trọng giữa 'sếp bắt tôi phải chịu trách nhiệm' và 'chúng tôi tự chịu trách nhiệm.' Trường hợp đầu có thể dẫn đến trường hợp thứ hai, nhưng nếu không có trường hợp thứ hai, thì không thể có một đội thực thụ.</w:t>
      </w:r>
    </w:p>
    <w:p>
      <w:pPr>
        <w:pStyle w:val="Para 001"/>
      </w:pPr>
      <w:r>
        <w:t>Các công ty như Hewlett-Packard và Motorola có một đặc tính hiệu suất ăn sâu, cho phép các đội nhóm hình thành một cách tự nhiên bất cứ khi nào có một thách thức hiệu suất rõ ràng đòi hỏi nỗ lực tập thể thay vì cá nhân. Ở những công ty này, yếu tố trách nhiệm lẫn nhau là điều phổ biến. "Cùng chung một con thuyền" là cách họ chơi trò chơi hiệu suất của mình.</w:t>
      </w:r>
    </w:p>
    <w:p>
      <w:pPr>
        <w:pStyle w:val="Para 001"/>
      </w:pPr>
      <w:r>
        <w:t>Về cốt lõi, trách nhiệm của đội nhóm là về những lời hứa chân thành mà chúng ta đưa ra với bản thân và người khác, những lời hứa làm nền tảng cho hai khía cạnh quan trọng của đội nhóm hiệu quả: cam kết và sự tin tưởng. Hầu hết chúng ta bước vào một tình huống tiềm năng của đội nhóm một cách thận trọng vì chủ nghĩa cá nhân ăn sâu và kinh nghiệm khiến chúng ta ngần ngại đặt số phận của mình vào tay người khác hoặc chịu trách nhiệm cho người khác. Đội nhóm không thành công bằng cách phớt lờ hoặc mong muốn hành vi đó biến mất.</w:t>
      </w:r>
    </w:p>
    <w:p>
      <w:pPr>
        <w:pStyle w:val="Para 001"/>
      </w:pPr>
      <w:r>
        <w:t>Trách nhiệm lẫn nhau không thể bị ép buộc cũng như không thể bắt mọi người tin tưởng lẫn nhau. Nhưng khi một đội nhóm chia sẻ mục đích, mục tiêu và cách tiếp cận chung, trách nhiệm lẫn nhau sẽ phát triển như một đối tác tự nhiên. Trách nhiệm phát sinh từ và củng cố thời gian, năng lượng và hành động đầu tư vào việc tìm hiểu đội nhóm đang cố gắng đạt được điều gì và cách tốt nhất để thực hiện nó.</w:t>
      </w:r>
    </w:p>
    <w:p>
      <w:pPr>
        <w:pStyle w:val="Para 001"/>
      </w:pPr>
      <w:r>
        <w:t>Khi mọi người làm việc cùng nhau hướng tới một mục tiêu chung, sự tin tưởng và cam kết sẽ theo sau. Do đó, các đội nhóm có mục đích và cách tiếp cận chung mạnh mẽ chắc chắn sẽ tự chịu trách nhiệm, cả với tư cách cá nhân lẫn đội nhóm, về hiệu suất của đội. Cảm giác trách nhiệm lẫn nhau này cũng tạo ra những phần thưởng phong phú từ thành tựu chung mà tất cả các thành viên đều chia sẻ. Điều mà chúng tôi nghe đi nghe lại từ các thành viên của các đội nhóm hiệu quả là họ thấy trải nghiệm đó tràn đầy năng lượng và tạo động lực theo những cách mà công việc "bình thường" của họ không bao giờ có thể sánh được.</w:t>
      </w:r>
    </w:p>
    <w:p>
      <w:pPr>
        <w:pStyle w:val="Para 001"/>
      </w:pPr>
      <w:r>
        <w:t>Mặt khác, các nhóm được thành lập chủ yếu vì mục đích trở thành một đội nhóm hay để nâng cao công việc, giao tiếp, hiệu quả tổ chức, hoặc sự xuất sắc hiếm khi trở thành đội nhóm hiệu quả, như được chứng minh bằng những cảm xúc tiêu cực còn sót lại trong nhiều công ty sau khi thử nghiệm các vòng tròn chất lượng (quality circles) mà không bao giờ chuyển "chất lượng" thành các mục tiêu cụ thể. Chỉ khi các mục tiêu hiệu suất phù hợp được đặt ra, quá trình thảo luận về các mục tiêu và cách tiếp cận chúng mới mang lại cho các thành viên trong đội một sự lựa chọn ngày càng rõ ràng: Họ có thể không đồng ý với mục tiêu và con đường mà đội lựa chọn và trên thực tế, rút lui, hoặc họ có thể tham gia và chịu trách nhiệm cùng với và với các đồng đội của mình.</w:t>
      </w:r>
    </w:p>
    <w:p>
      <w:pPr>
        <w:pStyle w:val="Para 001"/>
      </w:pPr>
      <w:r>
        <w:t>Kỷ luật của đội nhóm mà chúng tôi đã phác thảo là rất quan trọng cho sự thành công của tất cả các đội. Tuy nhiên, cũng hữu ích để đi thêm một bước nữa. Hầu hết các đội nhóm có thể được phân loại theo một trong ba cách: đội nhóm đề xuất, đội nhóm tạo ra hoặc thực hiện, và đội nhóm điều hành. Theo kinh nghiệm của chúng tôi, mỗi loại phải đối mặt với một loạt thách thức đặc trưng.</w:t>
      </w:r>
    </w:p>
    <w:p>
      <w:pPr>
        <w:pStyle w:val="Heading 3"/>
      </w:pPr>
      <w:r>
        <w:t>Các nhóm chuyên đề xuất</w:t>
      </w:r>
    </w:p>
    <w:p>
      <w:pPr>
        <w:pStyle w:val="Para 001"/>
      </w:pPr>
      <w:r>
        <w:t>Các nhóm này bao gồm đội đặc nhiệm (task force), nhóm dự án, và các nhóm kiểm toán, chất lượng hoặc an toàn được giao nhiệm vụ nghiên cứu và giải quyết các vấn đề cụ thể. Các nhóm chuyên đề xuất hầu như luôn có thời hạn hoàn thành được xác định trước. Có hai vấn đề quan trọng đặc trưng cho các nhóm này: khởi đầu nhanh chóng và mang tính xây dựng, và xử lý việc bàn giao cuối cùng cần thiết để các đề xuất được triển khai.</w:t>
      </w:r>
    </w:p>
    <w:p>
      <w:pPr>
        <w:pStyle w:val="Para 001"/>
      </w:pPr>
      <w:r>
        <w:t>Chìa khóa của vấn đề đầu tiên nằm ở sự rõ ràng về nhiệm vụ của nhóm và thành phần tham gia. Ngoài việc muốn biết tại sao và bằng cách nào nỗ lực của họ lại quan trọng, đội đặc nhiệm cần được xác định rõ ràng về những người mà ban quản lý mong đợi sẽ tham gia cùng như cam kết về thời gian. Ban quản lý có thể giúp đỡ bằng cách đảm bảo nhóm bao gồm những người có kỹ năng và tầm ảnh hưởng cần thiết để xây dựng các đề xuất thực tế có sức nặng trong toàn tổ chức. Hơn nữa, ban quản lý có thể giúp nhóm nhận được sự hợp tác cần thiết bằng cách mở đường và vượt qua các rào cản chính trị.</w:t>
      </w:r>
    </w:p>
    <w:p>
      <w:pPr>
        <w:pStyle w:val="Para 001"/>
      </w:pPr>
      <w:r>
        <w:t>Bỏ lỡ việc bàn giao gần như luôn là vấn đề cản trở các nhóm chuyên đề xuất. Để tránh điều này, việc chuyển giao trách nhiệm thực hiện các đề xuất cho những người phải triển khai chúng đòi hỏi thời gian và sự quan tâm của ban lãnh đạo cấp cao. Ban lãnh đạo cấp cao càng cho rằng các đề xuất sẽ 'tự nhiên được thực hiện', thì chúng càng ít có khả năng thành hiện thực. Các thành viên đội đặc nhiệm càng tham gia vào việc triển khai đề xuất của chính họ bao nhiêu, thì các đề xuất đó càng có khả năng được thực hiện bấy nhiêu.</w:t>
      </w:r>
    </w:p>
    <w:p>
      <w:pPr>
        <w:pStyle w:val="Para 001"/>
      </w:pPr>
      <w:r>
        <w:t>Trong chừng mực những người bên ngoài đội đặc nhiệm sẽ phải 'gánh vác' công việc, việc lôi kéo họ tham gia vào quá trình từ sớm và thường xuyên là điều vô cùng quan trọng, chắc chắn là trước khi các đề xuất được hoàn thiện. Sự tham gia này có thể diễn ra dưới nhiều hình thức, bao gồm tham gia phỏng vấn, hỗ trợ phân tích, đóng góp và góp ý về các ý tưởng, cũng như thực hiện các thử nghiệm và dùng thử. Tối thiểu, bất kỳ ai chịu trách nhiệm triển khai nên được phổ biến về mục đích, cách tiếp cận và mục tiêu của đội đặc nhiệm từ lúc bắt đầu, đồng thời được xem xét tiến độ thường xuyên.</w:t>
      </w:r>
    </w:p>
    <w:p>
      <w:pPr>
        <w:pStyle w:val="Heading 3"/>
      </w:pPr>
      <w:r>
        <w:t>Các nhóm chuyên tạo ra và thực hiện</w:t>
      </w:r>
    </w:p>
    <w:p>
      <w:pPr>
        <w:pStyle w:val="Para 001"/>
      </w:pPr>
      <w:r>
        <w:t>Các nhóm này bao gồm những người ở tuyến đầu hoặc gần tuyến đầu, chịu trách nhiệm thực hiện các hoạt động sản xuất, phát triển, vận hành, tiếp thị, bán hàng, dịch vụ và các hoạt động tạo giá trị khác của doanh nghiệp. Ngoại trừ một số trường hợp như nhóm phát triển sản phẩm mới hoặc nhóm thiết kế quy trình, các nhóm chuyên tạo ra và thực hiện thường không có thời hạn hoàn thành cố định vì hoạt động của họ là liên tục.</w:t>
      </w:r>
    </w:p>
    <w:p>
      <w:pPr>
        <w:pStyle w:val="Para 001"/>
      </w:pPr>
      <w:r>
        <w:t>Khi quyết định nơi mà hiệu suất đội nhóm có thể có tác động lớn nhất, ban lãnh đạo cấp cao nên tập trung vào cái mà chúng tôi gọi là 'điểm giao giá trị quan trọng' (critical delivery point) của công ty — tức là những nơi trong tổ chức mà chi phí và giá trị của các sản phẩm, dịch vụ của công ty được xác định một cách trực tiếp nhất. Các điểm giao giá trị quan trọng này có thể bao gồm nơi quản lý tài khoản, thực hiện dịch vụ khách hàng, thiết kế sản phẩm và xác định năng suất. Nếu hiệu suất tại các điểm giao giá trị quan trọng phụ thuộc vào việc kết hợp nhiều kỹ năng, góc nhìn và phán đoán trong thời gian thực, thì việc sử dụng đội nhóm là phương án thông minh nhất.</w:t>
      </w:r>
    </w:p>
    <w:p>
      <w:pPr>
        <w:pStyle w:val="Para 001"/>
      </w:pPr>
      <w:r>
        <w:t>Khi một tổ chức cần một số lượng lớn các nhóm tại những thời điểm này, thách thức to lớn trong việc tối đa hóa hiệu suất của quá nhiều nhóm sẽ đòi hỏi một bộ quy trình quản lý được xây dựng cẩn thận và tập trung vào hiệu suất. Vấn đề đối với ban lãnh đạo cấp cao là làm thế nào để xây dựng các hệ thống và quy trình hỗ trợ cần thiết mà không rơi vào cái bẫy của việc tỏ ra đề cao các nhóm chỉ nhằm mục đích có các nhóm.</w:t>
      </w:r>
    </w:p>
    <w:p>
      <w:pPr>
        <w:pStyle w:val="Para 001"/>
      </w:pPr>
      <w:r>
        <w:t>Yêu cầu cấp thiết ở đây, quay trở lại cuộc thảo luận trước đó của chúng ta về kỷ luật cơ bản của các nhóm, là sự tập trung không ngừng vào hiệu suất. Nếu ban quản lý không chú ý thường xuyên đến mối liên kết giữa nhóm và hiệu suất, tổ chức sẽ tin rằng “năm nay, chúng ta đang làm ‘nhóm’.” Ban lãnh đạo cấp cao có thể hỗ trợ bằng cách thiết lập các quy trình như chế độ lương và đào tạo cho các nhóm đáp ứng nhu cầu thực tế của họ, nhưng hơn tất cả, ban lãnh đạo cấp cao phải nêu ra những yêu cầu rõ ràng và thuyết phục đối với chính các nhóm, sau đó thường xuyên theo dõi tiến độ của họ trên cả hai phương diện: những nguyên tắc cơ bản của nhóm và kết quả hiệu suất. Điều này có nghĩa là phải tập trung vào những nhóm cụ thể và những thách thức hiệu suất cụ thể. Nếu không, “hiệu suất” cũng giống như “nhóm”, sẽ trở thành một khẩu hiệu sáo rỗng.</w:t>
      </w:r>
    </w:p>
    <w:p>
      <w:pPr>
        <w:pStyle w:val="Heading 3"/>
      </w:pPr>
      <w:r>
        <w:t>Các nhóm điều hành</w:t>
      </w:r>
    </w:p>
    <w:p>
      <w:pPr>
        <w:pStyle w:val="Para 001"/>
      </w:pPr>
      <w:r>
        <w:t>Mặc dù nhiều nhà lãnh đạo gọi nhóm trực thuộc của mình là một đội, nhưng thực tế rất ít nhóm thực sự là như vậy. Hơn nữa, những nhóm đã thực sự trở thành đội lại hiếm khi tự nhận mình là một đội, bởi họ quá tập trung vào kết quả thực hiện. Tuy nhiên, cơ hội để trở thành đội như vậy dành cho tất cả các nhóm, từ cấp cao nhất của doanh nghiệp đến cấp bộ phận hoặc khối chức năng. Cho dù nhóm đó phụ trách hàng nghìn người hay chỉ một nhúm người, chỉ cần nhóm giám sát một hoạt động kinh doanh, một chương trình đang triển khai, hoặc một hoạt động chức năng quan trọng, thì nó chính là một đội điều hành.</w:t>
      </w:r>
    </w:p>
    <w:p>
      <w:pPr>
        <w:pStyle w:val="Para 001"/>
      </w:pPr>
      <w:r>
        <w:t>Vấn đề chính mà các đội này phải đối mặt là xác định xem liệu cách tiếp cận theo đội thực thụ có phải là cách đúng đắn hay không. Nhiều nhóm điều hành công việc có thể hoạt động hiệu quả hơn nếu họ là một nhóm làm việc (working group) thay vì là một đội. Điểm mấu chốt là liệu tổng hợp những nỗ lực tốt nhất của từng cá nhân có đủ để đáp ứng thách thức về hiệu suất trước mắt, hay nhóm phải tạo ra sự cải thiện đáng kể về hiệu suất, điều này đòi hỏi các sản phẩm công việc chung thực sự. Mặc dù lựa chọn đội hứa hẹn mang lại hiệu suất cao hơn, nhưng nó cũng đi kèm nhiều rủi ro hơn, và các nhà quản lý phải cực kỳ thành thực khi đánh giá những sự đánh đổi này.</w:t>
      </w:r>
    </w:p>
    <w:p>
      <w:pPr>
        <w:pStyle w:val="Para 001"/>
      </w:pPr>
      <w:r>
        <w:t>Các thành viên có thể phải vượt qua sự miễn cưỡng tự nhiên khi muốn giao phó vận mệnh của mình cho người khác. Cái giá của việc giả vờ làm theo phương pháp đội nhóm là rất cao: Lạc quan nhất, các thành viên bị phân tâm khỏi mục tiêu cá nhân, chi phí vượt quá lợi ích, và mọi người bực bội vì bị áp đặt lên thời gian và ưu tiên của họ. Bi quan nhất, sự thù địch nghiêm trọng nảy sinh, làm suy yếu ngay cả những kết quả cá nhân tốt nhất tiềm năng của phương pháp nhóm làm việc.</w:t>
      </w:r>
    </w:p>
    <w:p>
      <w:pPr>
        <w:pStyle w:val="Para 001"/>
      </w:pPr>
      <w:r>
        <w:t>Nhóm làm việc (working group) tiềm ẩn ít rủi ro hơn. Các nhóm làm việc hiệu quả cần rất ít thời gian để xác định mục đích của mình, vì nhà lãnh đạo thường thiết lập mục đích đó. Các cuộc họp được triển khai dựa trên các chương trình nghị sự đã được sắp xếp thứ tự ưu tiên hợp lý. Các quyết định được thực hiện thông qua việc phân công nhiệm vụ và trách nhiệm cụ thể cho từng cá nhân. Vì vậy, trong hầu hết các trường hợp, nếu có thể đáp ứng được các kỳ vọng về hiệu suất thông qua việc từng cá nhân hoàn thành tốt công việc của mình, thì cách tiếp cận theo nhóm làm việc sẽ thoải mái hơn, ít rủi ro hơn và ít gây xáo trộn hơn so với việc cố gắng đạt đến những mức hiệu suất đội ngũ khó nắm bắt hơn. Thực vậy, nếu không có nhu cầu về hiệu suất đòi hỏi cách tiếp cận theo đội ngũ (team), thì những nỗ lực nhằm cải thiện hiệu quả của nhóm làm việc sẽ hợp lý hơn nhiều so với việc loay hoay tìm cách trở thành một đội ngũ.</w:t>
      </w:r>
    </w:p>
    <w:p>
      <w:pPr>
        <w:pStyle w:val="Para 001"/>
      </w:pPr>
      <w:r>
        <w:t>Tuy nhiên, chúng tôi tin rằng mức hiệu suất vượt trội mà các đội ngũ có thể đạt được đang trở nên vô cùng quan trọng đối với ngày càng nhiều công ty, đặc biệt là khi họ trải qua những thay đổi lớn mà hiệu quả của công ty phụ thuộc vào sự thay đổi hành vi trên diện rộng. Khi ban lãnh đạo cấp cao sử dụng đội ngũ để điều hành công việc, họ cần đảm bảo rằng đội ngũ đó xác định được các mục đích và mục tiêu cụ thể.</w:t>
      </w:r>
    </w:p>
    <w:p>
      <w:pPr>
        <w:pStyle w:val="Para 001"/>
      </w:pPr>
      <w:r>
        <w:t>Đây là vấn đề lớn thứ hai đối với các đội ngũ điều hành công việc. Các đội ngũ như vậy thường nhầm lẫn sứ mệnh rộng lớn của toàn bộ tổ chức với mục đích cụ thể của nhóm nhỏ ở cấp cao nhất. Nguyên tắc của đội ngũ (team discipline) cho chúng ta biết rằng để một đội ngũ thực sự hình thành, phải có một mục đích chung mang tính khác biệt và cụ thể cho nhóm nhỏ đó, đồng thời đòi hỏi các thành viên phải xắn tay áo lên và hoàn thành điều gì đó vượt ra ngoài các sản phẩm cuối cùng của từng cá nhân. Nếu một nhóm các nhà quản lý chỉ nhìn vào kết quả kinh tế của bộ phận mà họ điều hành để đánh giá hiệu quả tổng thể, thì nhóm đó sẽ không có mục tiêu hiệu suất đội ngũ nào của riêng mình.</w:t>
      </w:r>
    </w:p>
    <w:p>
      <w:pPr>
        <w:pStyle w:val="Para 001"/>
      </w:pPr>
      <w:r>
        <w:t>Trong khi những nguyên tắc cơ bản của đội ngũ không khác biệt đối với họ, thì các đội ngũ ở cấp cao nhất chắc chắn là khó khăn nhất. Sự phức tạp của những thách thức dài hạn, những đòi hỏi nặng nề về thời gian của các nhà điều hành, và chủ nghĩa cá nhân sâu sắc của những người cấp cao cấu kết với nhau gây bất lợi cho các đội ngũ ở cấp cao nhất. Đồng thời, các đội ngũ ở cấp cao nhất lại là mạnh mẽ nhất. Ban đầu, chúng tôi nghĩ những đội ngũ như vậy gần như không thể có. Điều đó là vì chúng tôi đã nhìn vào các đội ngũ theo định nghĩa của cơ cấu tổ chức chính thức; tức là, nhà lãnh đạo và tất cả cấp dưới trực tiếp của họ được xem là một đội ngũ. Sau đó, chúng tôi phát hiện ra rằng các đội ngũ thực sự ở cấp cao nhất thường nhỏ hơn và ít chính thức hơn: Whitehead và Weinberg tại Goldman Sachs; Hewlett và Packard tại HP; Krasnoff, Pall, và Hardy tại Pall Corporation; Kendall, Pearson, và Calloway tại Pepsi; Haas và Haas tại Levi Strauss; Batten và Ridder tại Knight Ridder. Họ chủ yếu là nhóm hai hoặc ba người, thỉnh thoảng có thêm người thứ tư.</w:t>
      </w:r>
    </w:p>
    <w:p>
      <w:pPr>
        <w:pStyle w:val="Para 001"/>
      </w:pPr>
      <w:r>
        <w:t>Tuy nhiên, các đội nhóm thực thụ ở cấp cao nhất của các tổ chức lớn và phức tạp vẫn còn rất hiếm hoi. Quá nhiều nhóm ở cấp cao nhất của các tập đoàn lớn đang tự giới hạn mình một cách không cần thiết, khiến họ không đạt được mức hiệu suất thực sự của một đội nhóm. Nguyên nhân là vì họ cho rằng tất cả nhân viên báo cáo trực tiếp phải nằm trong đội, mục tiêu của đội phải giống hệt mục tiêu của công ty, vị trí của các thành viên thay vì kỹ năng mới quyết định vai trò của họ, một đội phải luôn là một đội, và đội trưởng thì không phải làm việc thực tế.</w:t>
      </w:r>
    </w:p>
    <w:p>
      <w:pPr>
        <w:pStyle w:val="Para 001"/>
      </w:pPr>
      <w:r>
        <w:t>Dù những giả định này có thể dễ hiểu, nhưng hầu hết chúng đều không có cơ sở. Chúng không áp dụng được cho các đội nhóm cấp cao mà chúng tôi quan sát. Khi được thay thế bằng những giả định thực tế và linh hoạt hơn, cho phép áp dụng kỷ luật đội nhóm, thì hiệu suất thực sự của đội ở cấp cao có thể xảy ra và đã xảy ra. Hơn nữa, khi ngày càng nhiều công ty đối mặt với nhu cầu quản lý sự thay đổi lớn trong toàn tổ chức, chúng ta sẽ thấy nhiều đội nhóm thực thụ ở cấp cao hơn.</w:t>
      </w:r>
    </w:p>
    <w:p>
      <w:pPr>
        <w:pStyle w:val="Para 001"/>
      </w:pPr>
      <w:r>
        <w:t>Chúng tôi tin rằng đội nhóm sẽ trở thành đơn vị hiệu suất chính trong các tổ chức hiệu suất cao. Nhưng điều đó không có nghĩa là đội nhóm sẽ lấn át cơ hội cá nhân hay hệ thống thứ bậc và quy trình chính thức. Thay vào đó, đội nhóm sẽ nâng cao các cấu trúc hiện có mà không thay thế chúng. Cơ hội cho đội nhóm xuất hiện ở bất cứ nơi nào mà hệ thống thứ bậc hoặc ranh giới tổ chức cản trở các kỹ năng và góc nhìn cần thiết để đạt kết quả tối ưu. Vì vậy, đổi mới sản phẩm mới đòi hỏi phải duy trì sự xuất sắc của từng bộ phận thông qua cơ cấu, đồng thời xóa bỏ thành kiến phòng ban thông qua đội nhóm. Và năng suất tuyến đầu đòi hỏi phải duy trì định hướng và chỉ dẫn thông qua hệ thống thứ bậc, đồng thời khai thác năng lượng và sự linh hoạt thông qua các đội tự quản.</w:t>
      </w:r>
    </w:p>
    <w:p>
      <w:pPr>
        <w:pStyle w:val="Para 001"/>
      </w:pPr>
      <w:r>
        <w:t>Chúng tôi tin chắc rằng mọi công ty đều phải đối mặt với những thách thức hiệu suất cụ thể, và đội nhóm chính là công cụ thiết thực và mạnh mẽ nhất mà ban lãnh đạo cấp cao có thể sử dụng. Vì vậy, vai trò quan trọng của các nhà quản lý cấp cao là phải quan tâm đến hiệu suất của công ty và loại đội nhóm có thể mang lại hiệu suất đó. Điều này có nghĩa là ban lãnh đạo cấp cao phải nhận ra tiềm năng độc đáo của đội nhóm trong việc tạo ra kết quả, triển khai đội nhóm một cách chiến lược khi chúng là công cụ tốt nhất cho công việc, và nuôi dưỡng kỷ luật cơ bản của đội nhóm để giúp chúng hoạt động hiệu quả. Bằng cách đó, ban lãnh đạo cấp cao sẽ tạo ra một môi trường giúp nâng cao hiệu suất của cả đội nhóm, cá nhân và tổ chức.</w:t>
      </w:r>
    </w:p>
    <w:p>
      <w:pPr>
        <w:pStyle w:val="Para 216"/>
      </w:pPr>
      <w:r>
        <w:t>Xây dựng hiệu suất đội nhóm</w:t>
      </w:r>
    </w:p>
    <w:p>
      <w:pPr>
        <w:pStyle w:val="Para 035"/>
      </w:pPr>
      <w:r>
        <w:t>Mặc dù không có công thức có sẵn nào để xây dựng hiệu suất đội nhóm, chúng tôi đã quan sát thấy một số cách tiếp cận được nhiều đội nhóm thành công chia sẻ.</w:t>
      </w:r>
    </w:p>
    <w:p>
      <w:pPr>
        <w:pStyle w:val="Para 058"/>
      </w:pPr>
      <w:r>
        <w:rPr>
          <w:rStyle w:val="Text1"/>
        </w:rPr>
        <w:t>Hãy xác lập tính cấp thiết, các tiêu chuẩn hiệu suất khắt khe và định</w:t>
      </w:r>
      <w:r>
        <w:t xml:space="preserve"> hướng rõ ràng. Tất cả thành viên trong đội cần phải tin rằng đội có những mục đích cấp thiết và đáng giá, và họ muốn biết những kỳ vọng là gì. Quả thực, mục đích càng cấp thiết và ý nghĩa, đội càng có nhiều khả năng phát huy hết tiềm năng hiệu suất của mình, như trường hợp của một đội dịch vụ khách hàng được thông báo rằng sự tăng trưởng hơn nữa của toàn công ty sẽ là bất khả thi nếu không có những cải thiện lớn trong lĩnh vực đó. Các đội nhóm hoạt động tốt nhất trong một bối cảnh có sức thuyết phục. Đó là lý do tại sao các công ty có văn hóa đề cao hiệu suất thường dễ dàng hình thành đội nhóm.</w:t>
      </w:r>
    </w:p>
    <w:p>
      <w:pPr>
        <w:pStyle w:val="Para 058"/>
      </w:pPr>
      <w:r>
        <w:rPr>
          <w:rStyle w:val="Text1"/>
        </w:rPr>
        <w:t>Chọn thành viên dựa trên kỹ năng và tiềm năng phát triển kỹ năng, không</w:t>
      </w:r>
      <w:r>
        <w:t xml:space="preserve"> phải tính cách. Không đội nhóm nào thành công nếu thiếu tất cả các kỹ năng cần thiết để đạt được mục đích và mục tiêu hiệu suất. Tuy nhiên, hầu hết các đội nhóm thường xác định kỹ năng họ cần sau khi đã thành lập. Nhà quản lý khôn ngoan sẽ chọn người dựa trên kỹ năng hiện có và tiềm năng cải thiện kỹ năng hiện tại cũng như học hỏi kỹ năng mới.</w:t>
      </w:r>
    </w:p>
    <w:p>
      <w:pPr>
        <w:pStyle w:val="Para 058"/>
      </w:pPr>
      <w:r>
        <w:rPr>
          <w:rStyle w:val="Text1"/>
        </w:rPr>
        <w:t>Hãy đặc biệt chú ý đến những cuộc họp và hành động đầu tiên. Ấn tượng ban đầu luôn có ý nghĩa rất lớn. Khi</w:t>
      </w:r>
      <w:r>
        <w:t xml:space="preserve"> các thành viên tiềm năng lần đầu tụ họp, mọi người đều quan sát tín hiệu từ người khác để xác nhận, tạm dừng hoặc xóa bỏ những giả định và lo lắng. Họ đặc biệt chú ý đến những người có quyền lực: trưởng nhóm và các nhà điều hành – những người thành lập, giám sát hoặc gây ảnh hưởng đến đội nhóm. Và như mọi khi, hành động của những nhà lãnh đạo này quan trọng hơn lời nói của họ. Nếu một nhà điều hành cấp cao rời khỏi buổi khởi động đội nhóm để nghe điện thoại sau mười phút bắt đầu và không bao giờ quay lại, mọi người sẽ hiểu thông điệp.</w:t>
      </w:r>
    </w:p>
    <w:p>
      <w:pPr>
        <w:pStyle w:val="Para 058"/>
      </w:pPr>
      <w:r>
        <w:rPr>
          <w:rStyle w:val="Text1"/>
        </w:rPr>
        <w:t>Đặt ra một số quy tắc ứng xử rõ ràng.</w:t>
      </w:r>
      <w:r>
        <w:t xml:space="preserve"> Tất cả các đội nhóm hiệu quả đều xây dựng quy tắc ứng xử ngay từ đầu để giúp họ đạt được mục đích và mục tiêu hiệu suất. Các quy tắc ban đầu quan trọng nhất liên quan đến việc tham gia (ví dụ: 'không bị gián đoạn bởi điện thoại'), thảo luận ('không có chủ đề cấm kỵ'), bảo mật ('những thứ duy nhất rời khỏi phòng này là những gì chúng ta đồng thuận'), cách tiếp cận phân tích ('sự thật luôn thân thiện'), định hướng kết quả cuối cùng ('mọi người đều có nhiệm vụ và hoàn thành chúng'), đối đầu mang tính xây dựng ('không chỉ tay vào nhau'), và thường là quan trọng nhất – sự đóng góp ('mọi người đều làm việc thực sự').</w:t>
      </w:r>
    </w:p>
    <w:p>
      <w:pPr>
        <w:pStyle w:val="Para 058"/>
      </w:pPr>
      <w:r>
        <w:rPr>
          <w:rStyle w:val="Text1"/>
        </w:rPr>
        <w:t>Thiết lập và nắm bắt ngay một vài nhiệm vụ và mục tiêu thiên về hiệu suất. Hầu</w:t>
      </w:r>
      <w:r>
        <w:t xml:space="preserve"> hết các đội nhóm hiệu quả đều ghi nhận sự tiến bộ của họ nhờ vào những sự kiện quan trọng hướng đến hiệu suất. Những sự kiện này có thể được khởi động bằng cách ngay lập tức đặt ra một vài mục tiêu đầy thách thức nhưng có thể đạt được sớm. Không có đội nhóm thực sự nào mà lại thiếu kết quả hiệu suất, vì vậy kết quả đến càng sớm thì đội nhóm càng sớm gắn kết.</w:t>
      </w:r>
    </w:p>
    <w:p>
      <w:pPr>
        <w:pStyle w:val="Para 058"/>
      </w:pPr>
      <w:r>
        <w:rPr>
          <w:rStyle w:val="Text1"/>
        </w:rPr>
        <w:t>Thường xuyên thách thức nhóm bằng những sự thật và thông tin mới.</w:t>
      </w:r>
      <w:r>
        <w:t xml:space="preserve"> Thông tin mới giúp đội nhóm xác định lại và làm phong phú thêm hiểu biết của họ về thách thức hiệu suất, từ đó giúp định hình mục đích chung, đặt ra mục tiêu rõ ràng hơn và cải thiện cách tiếp cận chung. Một đội cải tiến chất lượng nhà máy biết rằng chi phí cho chất lượng kém là rất cao, nhưng phải đến khi họ nghiên cứu các loại lỗi khác nhau và gắn giá cho từng loại thì họ mới biết nên đi tiếp theo hướng nào. Ngược lại, các đội nhóm mắc sai lầm khi họ cho rằng tất cả thông tin cần thiết đều nằm trong kinh nghiệm và kiến thức tập thể của các thành viên.</w:t>
      </w:r>
    </w:p>
    <w:p>
      <w:pPr>
        <w:pStyle w:val="Para 058"/>
      </w:pPr>
      <w:r>
        <w:rPr>
          <w:rStyle w:val="Text1"/>
        </w:rPr>
        <w:t>Hãy dành thật nhiều thời gian</w:t>
      </w:r>
      <w:r>
        <w:t xml:space="preserve"> bên nhau. Lẽ thường cho chúng ta biết rằng các thành viên trong nhóm phải dành nhiều thời gian bên nhau, cả có lịch trình lẫn không, đặc biệt là lúc ban đầu. Thật vậy, những sáng tạo đột phá cũng như sự gắn kết cá nhân cần đến những tương tác ngẫu hứng và thoải mái, cũng giống như việc phân tích bảng tính và phỏng vấn khách hàng. Các nhà điều hành và quản lý bận rộn thường cố tình giảm thiểu thời gian họ ở bên nhau. Những đội nhóm thành công mà chúng tôi quan sát đều dành cho mình thời gian để học cách trở thành một đội nhóm. Khoảng thời gian này không nhất thiết phải trực tiếp gặp mặt; thời gian qua email, fax và điện thoại cũng được tính là thời gian ở bên nhau.</w:t>
      </w:r>
    </w:p>
    <w:p>
      <w:pPr>
        <w:pStyle w:val="Para 058"/>
      </w:pPr>
      <w:r>
        <w:rPr>
          <w:rStyle w:val="Text1"/>
        </w:rPr>
        <w:t>Khai thác sức mạnh của phản hồi tích cực, sự công nhận và khen thưởng.</w:t>
      </w:r>
      <w:r>
        <w:t xml:space="preserve"> Củng cố tích cực (positive reinforcement) hoạt động hiệu quả trong bối cảnh nhóm cũng như bất kỳ đâu khác. Việc trao “ngôi sao vàng” giúp định hình những hành vi mới quan trọng đối với hiệu suất của nhóm. Ví dụ, nếu mọi người trong nhóm tinh ý nhận ra nỗ lực ban đầu của một người nhút nhát khi đứng lên phát biểu và đóng góp, họ có thể dành sự củng cố tích cực chân thành để khuyến khích những đóng góp tiếp theo. Có nhiều cách để công nhận và khen thưởng hiệu suất của nhóm ngoài việc trả lương trực tiếp, từ việc mời một nhà điều hành cấp cao nói chuyện trực tiếp với nhóm về tính cấp bách của nhiệm vụ đến việc sử dụng các giải thưởng để ghi nhận đóng góp. Tuy nhiên, cuối cùng, sự hài lòng mà cả nhóm chia sẻ từ chính hiệu suất của mình mới là phần thưởng đáng trân trọng nhất.</w:t>
      </w:r>
    </w:p>
    <w:p>
      <w:pPr>
        <w:pStyle w:val="Para 248"/>
      </w:pPr>
      <w:r>
        <w:t/>
      </w:r>
    </w:p>
    <w:p>
      <w:pPr>
        <w:pStyle w:val="Para 217"/>
      </w:pPr>
      <w:r>
        <w:t>HÌNH 1</w:t>
      </w:r>
    </w:p>
    <w:p>
      <w:pPr>
        <w:pStyle w:val="Para 218"/>
      </w:pPr>
      <w:r>
        <w:t>Không phải mọi nhóm đều là đội: Cách phân biệt</w:t>
      </w:r>
    </w:p>
    <w:tbl>
      <w:tblPr>
        <w:tblW w:type="auto" w:w="0"/>
      </w:tblPr>
      <w:tr>
        <w:tc>
          <w:tcPr>
            <w:tcW w:type="pct" w:w="2000"/>
            <w:tcBorders>
              <w:bottom w:val="single" w:sz="8" w:color="auto"/>
            </w:tcBorders>
            <w:tcMar>
              <w:top w:type="dxa" w:w="80"/>
            </w:tcMar>
            <w:vAlign w:val="top"/>
          </w:tcPr>
          <w:p>
            <w:pPr>
              <w:pStyle w:val="Para 169"/>
            </w:pPr>
            <w:r>
              <w:t xml:space="preserve">Nhóm làm việc</w:t>
              <w:br w:clear="none"/>
            </w:r>
          </w:p>
        </w:tc>
        <w:tc>
          <w:tcPr>
            <w:tcW w:type="pct" w:w="500"/>
            <w:tcBorders>
              <w:bottom w:val="single" w:sz="8" w:color="auto"/>
            </w:tcBorders>
            <w:tcMar>
              <w:top w:type="dxa" w:w="80"/>
            </w:tcMar>
            <w:vAlign w:val="top"/>
          </w:tcPr>
          <w:p>
            <w:pPr>
              <w:pStyle w:val="Para 219"/>
            </w:pPr>
            <w:r>
              <w:t xml:space="preserve"> </w:t>
              <w:br w:clear="none"/>
            </w:r>
          </w:p>
        </w:tc>
        <w:tc>
          <w:tcPr>
            <w:tcW w:type="pct" w:w="2500"/>
            <w:tcBorders>
              <w:bottom w:val="single" w:sz="8" w:color="auto"/>
            </w:tcBorders>
            <w:tcMar>
              <w:top w:type="dxa" w:w="80"/>
            </w:tcMar>
            <w:vAlign w:val="top"/>
          </w:tcPr>
          <w:p>
            <w:pPr>
              <w:pStyle w:val="Para 169"/>
            </w:pPr>
            <w:r>
              <w:t xml:space="preserve">Đội</w:t>
              <w:br w:clear="none"/>
            </w:r>
          </w:p>
        </w:tc>
      </w:tr>
      <w:tr>
        <w:tc>
          <w:tcPr>
            <w:tcW w:type="pct" w:w="2000"/>
            <w:tcBorders>
              <w:top w:val="single" w:sz="8" w:color="auto"/>
            </w:tcBorders>
            <w:tcMar>
              <w:top w:type="dxa" w:w="320"/>
            </w:tcMar>
            <w:vAlign w:val="top"/>
          </w:tcPr>
          <w:p>
            <w:pPr>
              <w:pStyle w:val="Para 016"/>
            </w:pPr>
            <w:r>
              <w:t xml:space="preserve">Lãnh đạo mạnh mẽ, định hướng rõ ràng</w:t>
              <w:br w:clear="none"/>
            </w:r>
          </w:p>
        </w:tc>
        <w:tc>
          <w:tcPr>
            <w:tcW w:type="pct" w:w="500"/>
            <w:tcBorders>
              <w:top w:val="single" w:sz="8" w:color="auto"/>
            </w:tcBorders>
            <w:tcMar>
              <w:top w:type="dxa" w:w="320"/>
            </w:tcMar>
            <w:vAlign w:val="top"/>
          </w:tcPr>
          <w:p>
            <w:pPr>
              <w:pStyle w:val="Para 016"/>
            </w:pPr>
            <w:r>
              <w:t xml:space="preserve"> </w:t>
              <w:br w:clear="none"/>
            </w:r>
          </w:p>
        </w:tc>
        <w:tc>
          <w:tcPr>
            <w:tcW w:type="pct" w:w="2500"/>
            <w:tcBorders>
              <w:top w:val="single" w:sz="8" w:color="auto"/>
            </w:tcBorders>
            <w:tcMar>
              <w:top w:type="dxa" w:w="320"/>
            </w:tcMar>
            <w:vAlign w:val="top"/>
          </w:tcPr>
          <w:p>
            <w:pPr>
              <w:pStyle w:val="Para 016"/>
            </w:pPr>
            <w:r>
              <w:t xml:space="preserve">Vai trò lãnh đạo được chia sẻ</w:t>
              <w:br w:clear="none"/>
            </w:r>
          </w:p>
        </w:tc>
      </w:tr>
      <w:tr>
        <w:tc>
          <w:tcPr>
            <w:tcW w:type="pct" w:w="2000"/>
            <w:tcMar>
              <w:top w:type="dxa" w:w="320"/>
            </w:tcMar>
            <w:vAlign w:val="top"/>
          </w:tcPr>
          <w:p>
            <w:pPr>
              <w:pStyle w:val="Para 016"/>
            </w:pPr>
            <w:r>
              <w:t xml:space="preserve">Trách nhiệm cá nhân</w:t>
              <w:br w:clear="none"/>
            </w:r>
          </w:p>
        </w:tc>
        <w:tc>
          <w:tcPr>
            <w:tcW w:type="pct" w:w="500"/>
            <w:tcMar>
              <w:top w:type="dxa" w:w="320"/>
            </w:tcMar>
            <w:vAlign w:val="top"/>
          </w:tcPr>
          <w:p>
            <w:pPr>
              <w:pStyle w:val="Para 016"/>
            </w:pPr>
            <w:r>
              <w:t xml:space="preserve"> </w:t>
              <w:br w:clear="none"/>
            </w:r>
          </w:p>
        </w:tc>
        <w:tc>
          <w:tcPr>
            <w:tcW w:type="pct" w:w="2500"/>
            <w:tcMar>
              <w:top w:type="dxa" w:w="320"/>
            </w:tcMar>
            <w:vAlign w:val="top"/>
          </w:tcPr>
          <w:p>
            <w:pPr>
              <w:pStyle w:val="Para 016"/>
            </w:pPr>
            <w:r>
              <w:t xml:space="preserve">Trách nhiệm cá nhân và tương hỗ</w:t>
              <w:br w:clear="none"/>
            </w:r>
          </w:p>
        </w:tc>
      </w:tr>
      <w:tr>
        <w:tc>
          <w:tcPr>
            <w:tcW w:type="pct" w:w="2000"/>
            <w:tcMar>
              <w:top w:type="dxa" w:w="320"/>
            </w:tcMar>
            <w:vAlign w:val="top"/>
          </w:tcPr>
          <w:p>
            <w:pPr>
              <w:pStyle w:val="Para 016"/>
            </w:pPr>
            <w:r>
              <w:t xml:space="preserve">Mục đích của nhóm trùng với sứ mệnh tổng thể của tổ chức</w:t>
              <w:br w:clear="none"/>
            </w:r>
          </w:p>
        </w:tc>
        <w:tc>
          <w:tcPr>
            <w:tcW w:type="pct" w:w="500"/>
            <w:tcMar>
              <w:top w:type="dxa" w:w="320"/>
            </w:tcMar>
            <w:vAlign w:val="top"/>
          </w:tcPr>
          <w:p>
            <w:pPr>
              <w:pStyle w:val="Para 016"/>
            </w:pPr>
            <w:r>
              <w:t xml:space="preserve"> </w:t>
              <w:br w:clear="none"/>
            </w:r>
          </w:p>
        </w:tc>
        <w:tc>
          <w:tcPr>
            <w:tcW w:type="pct" w:w="2500"/>
            <w:tcMar>
              <w:top w:type="dxa" w:w="320"/>
            </w:tcMar>
            <w:vAlign w:val="top"/>
          </w:tcPr>
          <w:p>
            <w:pPr>
              <w:pStyle w:val="Para 016"/>
            </w:pPr>
            <w:r>
              <w:t xml:space="preserve">Mục đích cụ thể của đội mà chính đội đảm trách</w:t>
              <w:br w:clear="none"/>
            </w:r>
          </w:p>
        </w:tc>
      </w:tr>
      <w:tr>
        <w:tc>
          <w:tcPr>
            <w:tcW w:type="pct" w:w="2000"/>
            <w:tcMar>
              <w:top w:type="dxa" w:w="320"/>
            </w:tcMar>
            <w:vAlign w:val="top"/>
          </w:tcPr>
          <w:p>
            <w:pPr>
              <w:pStyle w:val="Para 016"/>
            </w:pPr>
            <w:r>
              <w:t xml:space="preserve">Sản phẩm công việc cá nhân</w:t>
              <w:br w:clear="none"/>
            </w:r>
          </w:p>
        </w:tc>
        <w:tc>
          <w:tcPr>
            <w:tcW w:type="pct" w:w="500"/>
            <w:tcMar>
              <w:top w:type="dxa" w:w="320"/>
            </w:tcMar>
            <w:vAlign w:val="top"/>
          </w:tcPr>
          <w:p>
            <w:pPr>
              <w:pStyle w:val="Para 016"/>
            </w:pPr>
            <w:r>
              <w:t xml:space="preserve"> </w:t>
              <w:br w:clear="none"/>
            </w:r>
          </w:p>
        </w:tc>
        <w:tc>
          <w:tcPr>
            <w:tcW w:type="pct" w:w="2500"/>
            <w:tcMar>
              <w:top w:type="dxa" w:w="320"/>
            </w:tcMar>
            <w:vAlign w:val="top"/>
          </w:tcPr>
          <w:p>
            <w:pPr>
              <w:pStyle w:val="Para 016"/>
            </w:pPr>
            <w:r>
              <w:t xml:space="preserve">Sản phẩm công việc tập thể</w:t>
              <w:br w:clear="none"/>
            </w:r>
          </w:p>
        </w:tc>
      </w:tr>
      <w:tr>
        <w:tc>
          <w:tcPr>
            <w:tcW w:type="pct" w:w="2000"/>
            <w:tcMar>
              <w:top w:type="dxa" w:w="320"/>
            </w:tcMar>
            <w:vAlign w:val="top"/>
          </w:tcPr>
          <w:p>
            <w:pPr>
              <w:pStyle w:val="Para 016"/>
            </w:pPr>
            <w:r>
              <w:t xml:space="preserve">Điều hành các cuộc họp hiệu quả</w:t>
              <w:br w:clear="none"/>
            </w:r>
          </w:p>
        </w:tc>
        <w:tc>
          <w:tcPr>
            <w:tcW w:type="pct" w:w="500"/>
            <w:tcMar>
              <w:top w:type="dxa" w:w="320"/>
            </w:tcMar>
            <w:vAlign w:val="top"/>
          </w:tcPr>
          <w:p>
            <w:pPr>
              <w:pStyle w:val="Para 016"/>
            </w:pPr>
            <w:r>
              <w:t xml:space="preserve"> </w:t>
              <w:br w:clear="none"/>
            </w:r>
          </w:p>
        </w:tc>
        <w:tc>
          <w:tcPr>
            <w:tcW w:type="pct" w:w="2500"/>
            <w:tcMar>
              <w:top w:type="dxa" w:w="320"/>
            </w:tcMar>
            <w:vAlign w:val="top"/>
          </w:tcPr>
          <w:p>
            <w:pPr>
              <w:pStyle w:val="Para 016"/>
            </w:pPr>
            <w:r>
              <w:t xml:space="preserve">Khuyến khích thảo luận mở và các cuộc họp giải quyết vấn đề tích cực</w:t>
              <w:br w:clear="none"/>
            </w:r>
          </w:p>
        </w:tc>
      </w:tr>
      <w:tr>
        <w:tc>
          <w:tcPr>
            <w:tcW w:type="pct" w:w="2000"/>
            <w:tcMar>
              <w:top w:type="dxa" w:w="320"/>
            </w:tcMar>
            <w:vAlign w:val="top"/>
          </w:tcPr>
          <w:p>
            <w:pPr>
              <w:pStyle w:val="Para 016"/>
            </w:pPr>
            <w:r>
              <w:t xml:space="preserve">Đo lường hiệu quả gián tiếp thông qua ảnh hưởng đến người khác (ví dụ như kết quả tài chính của doanh nghiệp)</w:t>
              <w:br w:clear="none"/>
            </w:r>
          </w:p>
        </w:tc>
        <w:tc>
          <w:tcPr>
            <w:tcW w:type="pct" w:w="500"/>
            <w:tcMar>
              <w:top w:type="dxa" w:w="320"/>
            </w:tcMar>
            <w:vAlign w:val="top"/>
          </w:tcPr>
          <w:p>
            <w:pPr>
              <w:pStyle w:val="Para 016"/>
            </w:pPr>
            <w:r>
              <w:t xml:space="preserve"> </w:t>
              <w:br w:clear="none"/>
            </w:r>
          </w:p>
        </w:tc>
        <w:tc>
          <w:tcPr>
            <w:tcW w:type="pct" w:w="2500"/>
            <w:tcMar>
              <w:top w:type="dxa" w:w="320"/>
            </w:tcMar>
            <w:vAlign w:val="top"/>
          </w:tcPr>
          <w:p>
            <w:pPr>
              <w:pStyle w:val="Para 016"/>
            </w:pPr>
            <w:r>
              <w:t xml:space="preserve">Đo lường hiệu suất trực tiếp bằng cách đánh giá các sản phẩm công việc tập thể</w:t>
              <w:br w:clear="none"/>
            </w:r>
          </w:p>
        </w:tc>
      </w:tr>
      <w:tr>
        <w:tc>
          <w:tcPr>
            <w:tcW w:type="pct" w:w="2000"/>
            <w:tcMar>
              <w:top w:type="dxa" w:w="320"/>
            </w:tcMar>
            <w:vAlign w:val="top"/>
          </w:tcPr>
          <w:p>
            <w:pPr>
              <w:pStyle w:val="Para 016"/>
            </w:pPr>
            <w:r>
              <w:t xml:space="preserve">Thảo luận, quyết định và giao việc</w:t>
              <w:br w:clear="none"/>
            </w:r>
          </w:p>
        </w:tc>
        <w:tc>
          <w:tcPr>
            <w:tcW w:type="pct" w:w="500"/>
            <w:tcMar>
              <w:top w:type="dxa" w:w="320"/>
            </w:tcMar>
            <w:vAlign w:val="top"/>
          </w:tcPr>
          <w:p>
            <w:pPr>
              <w:pStyle w:val="Para 016"/>
            </w:pPr>
            <w:r>
              <w:t xml:space="preserve"> </w:t>
              <w:br w:clear="none"/>
            </w:r>
          </w:p>
        </w:tc>
        <w:tc>
          <w:tcPr>
            <w:tcW w:type="pct" w:w="2500"/>
            <w:tcMar>
              <w:top w:type="dxa" w:w="320"/>
            </w:tcMar>
            <w:vAlign w:val="top"/>
          </w:tcPr>
          <w:p>
            <w:pPr>
              <w:pStyle w:val="Para 016"/>
            </w:pPr>
            <w:r>
              <w:t xml:space="preserve">Thảo luận, quyết định và cùng nhau làm việc thực sự</w:t>
              <w:br w:clear="none"/>
            </w:r>
          </w:p>
        </w:tc>
      </w:tr>
    </w:tbl>
    <w:p>
      <w:pPr>
        <w:pStyle w:val="Para 249"/>
      </w:pPr>
      <w:r>
        <w:t/>
      </w:r>
    </w:p>
    <w:p>
      <w:bookmarkStart w:id="713" w:name="ABOUT_THE_AUTHORS_Jon_R__Katzenb"/>
      <w:bookmarkStart w:id="714" w:name="Top_of_11_Author_xhtml"/>
      <w:pPr>
        <w:pStyle w:val="Heading 1"/>
        <w:pageBreakBefore w:val="on"/>
      </w:pPr>
      <w:r>
        <w:t>VỀ CÁC TÁC GIẢ</w:t>
      </w:r>
      <w:bookmarkEnd w:id="713"/>
      <w:bookmarkEnd w:id="714"/>
    </w:p>
    <w:p>
      <w:pPr>
        <w:pStyle w:val="Para 008"/>
      </w:pPr>
      <w:r>
        <w:rPr>
          <w:rStyle w:val="Text0"/>
        </w:rPr>
        <w:t>Jon R. Katzenbach</w:t>
      </w:r>
      <w:r>
        <w:t xml:space="preserve"> là nhà sáng lập và đối tác cao cấp của Katzenbach Partners, một công ty tư vấn chiến lược và tổ chức, đồng thời là cựu giám đốc của McKinsey &amp; Company.</w:t>
      </w:r>
    </w:p>
    <w:p>
      <w:pPr>
        <w:pStyle w:val="Para 008"/>
      </w:pPr>
      <w:r>
        <w:rPr>
          <w:rStyle w:val="Text0"/>
        </w:rPr>
        <w:t>Douglas K. Smith</w:t>
      </w:r>
      <w:r>
        <w:t xml:space="preserve"> là một nhà tư vấn tổ chức và cựu đối tác tại McKinsey &amp; Company.</w:t>
      </w:r>
    </w:p>
    <w:p>
      <w:bookmarkStart w:id="715" w:name="Top_of_11_Author1_xhtml"/>
      <w:bookmarkStart w:id="716" w:name="ALSO_BY_THESE_AUTHORS_Jon_R__Kat"/>
      <w:pPr>
        <w:pStyle w:val="Heading 1"/>
        <w:pageBreakBefore w:val="on"/>
      </w:pPr>
      <w:r>
        <w:t>CÁC TÁC PHẨM KHÁC CỦA CÁC TÁC GIẢ</w:t>
      </w:r>
      <w:bookmarkEnd w:id="715"/>
      <w:bookmarkEnd w:id="716"/>
    </w:p>
    <w:p>
      <w:pPr>
        <w:pStyle w:val="Para 062"/>
      </w:pPr>
      <w:r>
        <w:t>Jon R. Katzenbach</w:t>
      </w:r>
    </w:p>
    <w:p>
      <w:pPr>
        <w:pStyle w:val="Para 062"/>
      </w:pPr>
      <w:r>
        <w:t>Sách của Harvard Business Review Press</w:t>
      </w:r>
    </w:p>
    <w:p>
      <w:pPr>
        <w:pStyle w:val="Para 088"/>
      </w:pPr>
      <w:r>
        <w:t>Peak Performance: Aligning the Hearts and Minds</w:t>
        <w:br w:clear="none"/>
        <w:t xml:space="preserve"> of Your Employees</w:t>
      </w:r>
    </w:p>
    <w:p>
      <w:pPr>
        <w:pStyle w:val="Para 088"/>
      </w:pPr>
      <w:r>
        <w:t>Teams at the Top: Unleashing the Potential of Both</w:t>
        <w:br w:clear="none"/>
        <w:t xml:space="preserve"> Teams and Individual Leaders</w:t>
      </w:r>
    </w:p>
    <w:p>
      <w:pPr>
        <w:pStyle w:val="Para 088"/>
      </w:pPr>
      <w:r>
        <w:t>The Wisdom of Teams: Creating the High-</w:t>
        <w:br w:clear="none"/>
        <w:t>Performance Organization</w:t>
        <w:br w:clear="none"/>
      </w:r>
      <w:r>
        <w:rPr>
          <w:rStyle w:val="Text0"/>
        </w:rPr>
        <w:t xml:space="preserve"> with Douglas K. Smith</w:t>
      </w:r>
    </w:p>
    <w:p>
      <w:pPr>
        <w:pStyle w:val="Para 088"/>
      </w:pPr>
      <w:r>
        <w:t>The Work of Teams</w:t>
      </w:r>
    </w:p>
    <w:p>
      <w:pPr>
        <w:pStyle w:val="Para 220"/>
      </w:pPr>
      <w:r>
        <w:t>Các bài viết trên Harvard Bus</w:t>
      </w:r>
      <w:r>
        <w:rPr>
          <w:rStyle w:val="Text0"/>
        </w:rPr>
        <w:t xml:space="preserve">iness Review</w:t>
      </w:r>
    </w:p>
    <w:p>
      <w:pPr>
        <w:pStyle w:val="Para 008"/>
      </w:pPr>
      <w:r>
        <w:t>“Truyền lửa cho tuyến đầu”</w:t>
        <w:br w:clear="none"/>
        <w:t xml:space="preserve"> với Jason A. Santamaria</w:t>
      </w:r>
    </w:p>
    <w:p>
      <w:pPr>
        <w:pStyle w:val="Para 008"/>
      </w:pPr>
      <w:r>
        <w:t>“Sự lầm tưởng về đội ngũ quản lý cấp cao”</w:t>
      </w:r>
    </w:p>
    <w:p>
      <w:pPr>
        <w:pStyle w:val="Para 062"/>
      </w:pPr>
      <w:r>
        <w:t>Douglas K. Smith</w:t>
      </w:r>
    </w:p>
    <w:p>
      <w:pPr>
        <w:pStyle w:val="Para 062"/>
      </w:pPr>
      <w:r>
        <w:t>Sách của Harvard Business Review Press</w:t>
      </w:r>
    </w:p>
    <w:p>
      <w:pPr>
        <w:pStyle w:val="Para 088"/>
      </w:pPr>
      <w:r>
        <w:t>Trí tuệ của các đội nhóm: Tạo dựng</w:t>
        <w:br w:clear="none"/>
        <w:t> tổ chức hiệu suất cao</w:t>
        <w:br w:clear="none"/>
      </w:r>
      <w:r>
        <w:rPr>
          <w:rStyle w:val="Text0"/>
        </w:rPr>
        <w:t xml:space="preserve"> với Jon R. Katzenbach</w:t>
      </w:r>
    </w:p>
    <w:p>
      <w:bookmarkStart w:id="717" w:name="Article_Summary_____________The"/>
      <w:bookmarkStart w:id="718" w:name="Top_of_11_Summary_xhtml"/>
      <w:pPr>
        <w:pStyle w:val="Para 221"/>
        <w:pageBreakBefore w:val="on"/>
      </w:pPr>
      <w:r>
        <w:t>Tóm tắt bài viết</w:t>
      </w:r>
      <w:bookmarkEnd w:id="717"/>
      <w:bookmarkEnd w:id="718"/>
    </w:p>
    <w:p>
      <w:pPr>
        <w:pStyle w:val="Para 170"/>
      </w:pPr>
      <w:r>
        <w:t>Ý tưởng chính</w:t>
      </w:r>
    </w:p>
    <w:p>
      <w:pPr>
        <w:pStyle w:val="Para 171"/>
      </w:pPr>
      <w:r>
        <w:t xml:space="preserve">Từ 'đội</w:t>
      </w:r>
      <w:r>
        <w:rPr>
          <w:rStyle w:val="Text0"/>
        </w:rPr>
        <w:t> nhóm'</w:t>
      </w:r>
      <w:r>
        <w:t xml:space="preserve"> (team) được nhắc đến một cách tùy tiện đến mức nhiều nhà quản lý không nhận thức được ý nghĩa thực sự—hoặc tiềm năng thực sự—của nó. Với một nhóm làm việc thông thường, hiệu suất phụ thuộc vào những gì các thành viên làm với tư cách cá nhân. Ngược lại, hiệu suất của một đội nhóm đòi hỏi cả trách nhiệm cá nhân lẫn trách nhiệm chung.</w:t>
      </w:r>
    </w:p>
    <w:p>
      <w:pPr>
        <w:pStyle w:val="Para 122"/>
      </w:pPr>
      <w:r>
        <w:t xml:space="preserve">Mặc dù điều này có vẻ không có gì đặc biệt, trách nhiệm chung có thể dẫn đến những kết quả đáng kinh ngạc. Nó cho phép một đội nhóm đạt được mức hiệu suất vượt xa mức tốt nhất của từng thành viên trong đội. Để đạt được những lợi ích này, các thành viên trong nhóm phải làm nhiều hơn là lắng nghe, phản hồi tích cực và hỗ trợ lẫn nhau. Ngoài việc chia sẻ những giá trị xây dựng đội nhóm này, họ cần có chung</w:t>
      </w:r>
      <w:r>
        <w:rPr>
          <w:rStyle w:val="Text0"/>
        </w:rPr>
        <w:t> một kỷ luật thiết</w:t>
      </w:r>
      <w:r>
        <w:t> yếu.</w:t>
      </w:r>
    </w:p>
    <w:p>
      <w:pPr>
        <w:pStyle w:val="Para 170"/>
      </w:pPr>
      <w:r>
        <w:t>Ý tưởng trong thực tiễn</w:t>
      </w:r>
    </w:p>
    <w:p>
      <w:pPr>
        <w:pStyle w:val="Para 171"/>
      </w:pPr>
      <w:r>
        <w:t>Kỷ luật thiết yếu của một đội nhóm bao gồm năm đặc điểm:</w:t>
      </w:r>
    </w:p>
    <w:p>
      <w:pPr>
        <w:pStyle w:val="Para 089"/>
      </w:pPr>
      <w:r>
        <w:t xml:space="preserve">1.</w:t>
      </w:r>
      <w:r>
        <w:rPr>
          <w:rStyle w:val="Text0"/>
        </w:rPr>
        <w:t> Một mục đích chung có ý nghĩa mà đội nhóm đã giúp định hình. Hầu</w:t>
      </w:r>
      <w:r>
        <w:t xml:space="preserve"> hết các đội nhóm phản ứng với một nhiệm vụ ban đầu từ bên ngoài nhóm. Nhưng để thành công, đội nhóm phải “làm chủ” mục đích này và phát triển cách tiếp cận riêng cho nó.</w:t>
      </w:r>
    </w:p>
    <w:p>
      <w:pPr>
        <w:pStyle w:val="Para 089"/>
      </w:pPr>
      <w:r>
        <w:t xml:space="preserve">2.</w:t>
      </w:r>
      <w:r>
        <w:rPr>
          <w:rStyle w:val="Text0"/>
        </w:rPr>
        <w:t> Các mục tiêu hiệu suất cụ thể xuất phát từ mục đích chung. Ví dụ,</w:t>
      </w:r>
      <w:r>
        <w:t xml:space="preserve"> đưa một sản phẩm mới ra thị trường trong thời gian ít hơn một nửa thời gian bình thường. Các mục tiêu hấp dẫn truyền cảm hứng và thử thách đội nhóm, tạo cho họ cảm giác khẩn trương. Chúng cũng có tác dụng bình đẳng hóa, yêu cầu các thành viên tập trung vào nỗ lực tập thể cần thiết thay vì những khác biệt về chức danh hay vị thế.</w:t>
      </w:r>
    </w:p>
    <w:p>
      <w:pPr>
        <w:pStyle w:val="Para 089"/>
      </w:pPr>
      <w:r>
        <w:t xml:space="preserve">3.</w:t>
      </w:r>
      <w:r>
        <w:rPr>
          <w:rStyle w:val="Text0"/>
        </w:rPr>
        <w:t> Sự kết hợp các kỹ năng bổ sung</w:t>
      </w:r>
      <w:r>
        <w:t xml:space="preserve"> cho nhau. Bao gồm chuyên môn kỹ thuật hoặc chức năng, kỹ năng giải quyết vấn đề và ra quyết định, cùng các kỹ năng giao tiếp. Các đội nhóm thành công hiếm khi có đủ mọi kỹ năng cần thiết ngay từ đầu—họ phát triển chúng khi học được điều mà thử thách đòi hỏi.</w:t>
      </w:r>
    </w:p>
    <w:p>
      <w:pPr>
        <w:pStyle w:val="Para 089"/>
      </w:pPr>
      <w:r>
        <w:t xml:space="preserve">4.</w:t>
      </w:r>
      <w:r>
        <w:rPr>
          <w:rStyle w:val="Text0"/>
        </w:rPr>
        <w:t> Cam kết mạnh mẽ về cách thức hoàn thành công</w:t>
      </w:r>
      <w:r>
        <w:t xml:space="preserve"> việc. Các đội nhóm phải thống nhất ai sẽ làm công việc gì, cách lập và tôn trọng lịch trình, cách đưa ra và điều chỉnh quyết định. Trong một đội nhóm thực thụ, mỗi thành viên đều làm một lượng công việc thực tế tương đương; tất cả thành viên, kể cả trưởng nhóm, đều đóng góp cụ thể vào kết quả làm việc chung của đội.</w:t>
      </w:r>
    </w:p>
    <w:p>
      <w:pPr>
        <w:pStyle w:val="Para 089"/>
      </w:pPr>
      <w:r>
        <w:t xml:space="preserve">5.</w:t>
      </w:r>
      <w:r>
        <w:rPr>
          <w:rStyle w:val="Text0"/>
        </w:rPr>
        <w:t> Trách nhiệm chung. Sự</w:t>
      </w:r>
      <w:r>
        <w:t xml:space="preserve"> tin tưởng và cam kết không thể bị ép buộc. Quá trình thống nhất các mục tiêu phù hợp chính là môi trường tôi luyện, nơi các thành viên rèn luyện trách nhiệm lẫn nhau—không chỉ với trưởng nhóm.</w:t>
      </w:r>
    </w:p>
    <w:p>
      <w:pPr>
        <w:pStyle w:val="Para 122"/>
      </w:pPr>
      <w:r>
        <w:t>Một khi kỷ luật thiết yếu đã được thiết lập, đội nhóm có thể tự do tập trung vào những thách thức quan trọng mà họ phải đối mặt:</w:t>
      </w:r>
    </w:p>
    <w:p>
      <w:pPr>
        <w:pStyle w:val="Para 123"/>
      </w:pPr>
      <w:r>
        <w:t>• Đối với một nhóm có mục đích đưa ra khuyến nghị, điều đó có nghĩa là bắt đầu nhanh chóng và mang tính xây dựng, đồng thời bàn giao rõ ràng cho những người sẽ triển khai các khuyến nghị.</w:t>
      </w:r>
    </w:p>
    <w:p>
      <w:pPr>
        <w:pStyle w:val="Para 123"/>
      </w:pPr>
      <w:r>
        <w:t>• Đối với một nhóm tạo ra hoặc thực hiện công việc, đó là việc tập trung rõ ràng vào các mục tiêu hiệu quả cụ thể.</w:t>
      </w:r>
    </w:p>
    <w:p>
      <w:pPr>
        <w:pStyle w:val="Para 123"/>
      </w:pPr>
      <w:r>
        <w:t>• Đối với một nhóm quản lý vận hành, nhiệm vụ chính là phân biệt các thách thức cần áp dụng phương pháp làm việc nhóm thực sự với những thách thức không cần.</w:t>
      </w:r>
    </w:p>
    <w:p>
      <w:pPr>
        <w:pStyle w:val="Para 122"/>
      </w:pPr>
      <w:r>
        <w:t>Nếu một nhiệm vụ không đòi hỏi kết quả làm việc chung, thì một nhóm làm việc (working group) có thể là lựa chọn hiệu quả hơn. Các cơ hội làm việc nhóm thường là những tình huống mà hệ thống thứ bậc hoặc ranh giới tổ chức cản trở các kỹ năng và góc nhìn cần thiết để đạt kết quả tối ưu. Vì vậy, không có gì ngạc nhiên khi các nhóm đã trở thành đơn vị năng suất chính trong các tổ chức hiệu suất cao.</w:t>
      </w:r>
    </w:p>
    <w:p>
      <w:bookmarkStart w:id="719" w:name="sbo_rt_content_11"/>
      <w:bookmarkStart w:id="720" w:name="a12"/>
      <w:bookmarkStart w:id="721" w:name="Top_of_12_00_Cover_xhtml"/>
      <w:pPr>
        <w:pStyle w:val="Para 051"/>
        <w:pageBreakBefore w:val="on"/>
      </w:pPr>
      <w:r>
        <w:drawing>
          <wp:anchor distL="0" distR="0" distT="0" distB="0" simplePos="0" relativeHeight="1" behindDoc="0" locked="0" layoutInCell="1" allowOverlap="1">
            <wp:simplePos x="0" y="0"/>
            <wp:positionH relativeFrom="margin">
              <wp:align>left</wp:align>
            </wp:positionH>
            <wp:positionV relativeFrom="line">
              <wp:align>top</wp:align>
            </wp:positionV>
            <wp:extent cx="5486400" cy="8229600"/>
            <wp:effectExtent l="0" r="0" t="0" b="0"/>
            <wp:wrapTopAndBottom/>
            <wp:docPr id="31" name="12chap_cover.jpg" descr="cover"/>
            <wp:cNvGraphicFramePr>
              <a:graphicFrameLocks noChangeAspect="1"/>
            </wp:cNvGraphicFramePr>
            <a:graphic>
              <a:graphicData uri="http://schemas.openxmlformats.org/drawingml/2006/picture">
                <pic:pic>
                  <pic:nvPicPr>
                    <pic:cNvPr id="0" name="12chap_cover.jpg" descr="cover"/>
                    <pic:cNvPicPr/>
                  </pic:nvPicPr>
                  <pic:blipFill>
                    <a:blip r:embed="rId20"/>
                    <a:stretch>
                      <a:fillRect/>
                    </a:stretch>
                  </pic:blipFill>
                  <pic:spPr>
                    <a:xfrm>
                      <a:off x="0" y="0"/>
                      <a:ext cx="5486400" cy="8229600"/>
                    </a:xfrm>
                    <a:prstGeom prst="rect">
                      <a:avLst/>
                    </a:prstGeom>
                  </pic:spPr>
                </pic:pic>
              </a:graphicData>
            </a:graphic>
          </wp:anchor>
        </w:drawing>
      </w:r>
      <w:bookmarkEnd w:id="719"/>
      <w:bookmarkEnd w:id="720"/>
      <w:bookmarkEnd w:id="721"/>
    </w:p>
    <w:p>
      <w:bookmarkStart w:id="722" w:name="Harvard_Business_Review_CLASSICS_10"/>
      <w:bookmarkStart w:id="723" w:name="Top_of_12_02_Title_xhtml"/>
      <w:pPr>
        <w:pStyle w:val="Para 032"/>
        <w:pageBreakBefore w:val="on"/>
      </w:pPr>
      <w:r>
        <w:bookmarkStart w:id="724" w:name="page12_iii"/>
        <w:t/>
        <w:bookmarkEnd w:id="724"/>
        <w:t>Harvard Business Review</w:t>
      </w:r>
      <w:bookmarkEnd w:id="722"/>
      <w:bookmarkEnd w:id="723"/>
    </w:p>
    <w:p>
      <w:pPr>
        <w:pStyle w:val="Para 033"/>
      </w:pPr>
      <w:r>
        <w:t>KINH ĐIỂN</w:t>
      </w:r>
    </w:p>
    <w:p>
      <w:pPr>
        <w:pStyle w:val="Para 036"/>
      </w:pPr>
      <w:r>
        <w:t>LÃNH ĐẠO ĐẠI DƯƠNG XANH</w:t>
      </w:r>
    </w:p>
    <w:p>
      <w:pPr>
        <w:pStyle w:val="Para 026"/>
      </w:pPr>
      <w:r>
        <w:t>W. Chan Kim và</w:t>
        <w:br w:clear="none"/>
        <w:t> Renée Mauborgne</w:t>
      </w:r>
    </w:p>
    <w:p>
      <w:pPr>
        <w:pStyle w:val="Para 012"/>
      </w:pPr>
      <w:r>
        <w:t>Harvard Business Review Press</w:t>
      </w:r>
    </w:p>
    <w:p>
      <w:pPr>
        <w:pStyle w:val="Para 012"/>
      </w:pPr>
      <w:r>
        <w:t>Boston, Massachusetts</w:t>
      </w:r>
    </w:p>
    <w:p>
      <w:bookmarkStart w:id="725" w:name="Top_of_12_03_Copyright_xhtml"/>
      <w:bookmarkStart w:id="726" w:name="HBR_Press_Quantity_Sales_Discoun_6"/>
      <w:pPr>
        <w:pStyle w:val="Para 065"/>
        <w:pageBreakBefore w:val="on"/>
      </w:pPr>
      <w:r>
        <w:rPr>
          <w:rStyle w:val="Text1"/>
        </w:rPr>
        <w:bookmarkStart w:id="727" w:name="page12_iv"/>
        <w:t/>
        <w:bookmarkEnd w:id="727"/>
      </w:r>
      <w:r>
        <w:t>Chiết khấu cho số lượng bán của HBR Press</w:t>
      </w:r>
      <w:bookmarkEnd w:id="725"/>
      <w:bookmarkEnd w:id="726"/>
    </w:p>
    <w:p>
      <w:pPr>
        <w:pStyle w:val="Para 006"/>
      </w:pPr>
      <w:r>
        <w:t>Các ấn phẩm của Harvard Business Review Press được chiết khấu theo số lượng đáng kể khi mua với số lượng lớn để làm quà tặng cho khách hàng, chương trình khuyến mãi, và quà tặng kèm. Các ấn bản đặc biệt, bao gồm sách có logo công ty, bìa tùy chỉnh, và thư của công ty hoặc CEO được in ở trang đầu, cũng như các trích đoạn từ sách hiện có, cũng có thể được tạo với số lượng lớn cho các nhu cầu đặc biệt.</w:t>
      </w:r>
    </w:p>
    <w:p>
      <w:pPr>
        <w:pStyle w:val="Para 093"/>
      </w:pPr>
      <w:r>
        <w:t xml:space="preserve">Để biết chi tiết và thông tin chiết khấu cho cả định dạng bản in và ebook, vui lòng liên hệ</w:t>
      </w:r>
      <w:r>
        <w:rPr>
          <w:rStyle w:val="Text2"/>
        </w:rPr>
        <w:t> booksales@harvardbusiness.org, số</w:t>
      </w:r>
      <w:r>
        <w:t xml:space="preserve"> điện</w:t>
        <w:t> thoại 800-988-0886,</w:t>
        <w:t xml:space="preserve"> h</w:t>
      </w:r>
      <w:hyperlink r:id="rId32">
        <w:r>
          <w:rPr>
            <w:rStyle w:val="Text2"/>
          </w:rPr>
          <w:t>oặc www.hbr.org/bulksale</w:t>
        </w:r>
      </w:hyperlink>
      <w:r>
        <w:t>s.</w:t>
      </w:r>
    </w:p>
    <w:p>
      <w:pPr>
        <w:pStyle w:val="Para 006"/>
      </w:pPr>
      <w:r>
        <w:t>Bản quyền 2017 Harvard Business School Publishing Corporation. Bài viết</w:t>
        <w:br w:clear="none"/>
        <w:t xml:space="preserve"> được xuất bản lần đầu trên</w:t>
      </w:r>
      <w:r>
        <w:rPr>
          <w:rStyle w:val="Text0"/>
        </w:rPr>
        <w:t> Harvard Business Review</w:t>
      </w:r>
      <w:r>
        <w:t xml:space="preserve"> vào tháng 5 năm</w:t>
        <w:br w:clear="none"/>
        <w:t xml:space="preserve"> 2014. Tái bản #R1405C.</w:t>
        <w:br w:clear="none"/>
        <w:t xml:space="preserve"> Bảo lưu mọi quyền.</w:t>
      </w:r>
    </w:p>
    <w:p>
      <w:pPr>
        <w:pStyle w:val="Para 006"/>
      </w:pPr>
      <w:r>
        <w:t xml:space="preserve">Không một phần nào của ấn phẩm này được phép sao chép, lưu trữ hoặc đưa vào hệ thống truy xuất, hoặc truyền tải dưới bất kỳ hình thức nào, hoặc bằng bất kỳ phương tiện nào (điện tử, cơ học, sao chụp, ghi âm, hoặc cách khác), mà không có sự cho phép trước của nhà xuất bản. Các yêu cầu xin phép nên được gửi đến</w:t>
      </w:r>
      <w:r>
        <w:rPr>
          <w:rStyle w:val="Text2"/>
        </w:rPr>
        <w:t> permissions@hbsp.harvard.edu,</w:t>
      </w:r>
      <w:r>
        <w:t> hoặc gửi thư đến Permissions, Harvard Business School Publishing, 60 Harvard Way, Boston, Massachusetts 02163.</w:t>
      </w:r>
    </w:p>
    <w:p>
      <w:pPr>
        <w:pStyle w:val="Para 060"/>
      </w:pPr>
      <w:r>
        <w:t>Các địa chỉ web được tham chiếu trong cuốn sách này còn hoạt động và chính xác tại thời điểm xuất bản nhưng có thể thay đổi.</w:t>
      </w:r>
    </w:p>
    <w:p>
      <w:pPr>
        <w:pStyle w:val="Para 060"/>
      </w:pPr>
      <w:r>
        <w:t>Dữ liệu biên mục trước khi xuất bản (Cataloging-in-Publication) sẽ được cung cấp sau.</w:t>
      </w:r>
    </w:p>
    <w:p>
      <w:pPr>
        <w:pStyle w:val="Para 006"/>
      </w:pPr>
      <w:r>
        <w:t>ISBN: 978-1-63369-264-0</w:t>
      </w:r>
    </w:p>
    <w:p>
      <w:pPr>
        <w:pStyle w:val="Para 010"/>
      </w:pPr>
      <w:r>
        <w:t>eISBN: 978-1-63369-265-7</w:t>
      </w:r>
    </w:p>
    <w:p>
      <w:bookmarkStart w:id="728" w:name="Top_of_12_04_series_xhtml"/>
      <w:bookmarkStart w:id="729" w:name="THE_HARVARD_BUSINESS_REVIEW_CLAS_11"/>
      <w:pPr>
        <w:pStyle w:val="Para 052"/>
        <w:pageBreakBefore w:val="on"/>
      </w:pPr>
      <w:r>
        <w:bookmarkStart w:id="730" w:name="page12_v"/>
        <w:t/>
        <w:bookmarkEnd w:id="730"/>
        <w:t>LOẠT BÀI KINH ĐIỂN HARVARD BUSINESS REVIEW</w:t>
      </w:r>
      <w:bookmarkEnd w:id="728"/>
      <w:bookmarkEnd w:id="729"/>
    </w:p>
    <w:p>
      <w:pPr>
        <w:pStyle w:val="Para 048"/>
      </w:pPr>
      <w:r>
        <w:t xml:space="preserve">Từ năm 1922,</w:t>
      </w:r>
      <w:r>
        <w:rPr>
          <w:rStyle w:val="Text0"/>
        </w:rPr>
        <w:t> Harvard Business Review đã</w:t>
      </w:r>
      <w:r>
        <w:t xml:space="preserve"> là nguồn hàng đầu về những ý tưởng đột phá trong thực tiễn quản lý—nhiều trong số đó vẫn còn có giá trị và ảnh hưởng đến chúng ta ngày nay. Loạt bài Kinh điển HBR (HBR Classics) mang đến cho bạn cơ hội đưa những bài viết nền tảng này vào tủ sách quản lý thường trực của mình. Mỗi tập sách chứa đựng một ý tưởng mang tính đột phá đã định hình các phương pháp thực hành tốt nhất và truyền cảm hứng cho vô số nhà quản lý trên toàn thế giới—và sẽ thay đổi cách bạn suy nghĩ về thế giới kinh doanh ngày</w:t>
        <w:bookmarkStart w:id="731" w:name="page12_vi"/>
        <w:t> nay.</w:t>
        <w:bookmarkEnd w:id="731"/>
        <w:bookmarkStart w:id="732" w:name="page12_vii"/>
        <w:t/>
        <w:bookmarkEnd w:id="732"/>
        <w:bookmarkStart w:id="733" w:name="page12_viii"/>
        <w:t/>
        <w:bookmarkEnd w:id="733"/>
      </w:r>
    </w:p>
    <w:p>
      <w:bookmarkStart w:id="734" w:name="It_s_a_sad_truth_about_the_workp"/>
      <w:bookmarkStart w:id="735" w:name="Top_of_12_05_Chapter1_xhtml"/>
      <w:pPr>
        <w:pStyle w:val="Para 120"/>
        <w:pageBreakBefore w:val="on"/>
      </w:pPr>
      <w:r>
        <w:bookmarkStart w:id="736" w:name="page12_1"/>
        <w:t>Đó</w:t>
        <w:bookmarkEnd w:id="736"/>
        <w:t xml:space="preserve"> là một sự thật đáng buồn tại nơi làm việc: chỉ 30% nhân viên thực sự tận tâm với công việc. Theo báo cáo 'State of the</w:t>
      </w:r>
      <w:r>
        <w:rPr>
          <w:rStyle w:val="Text0"/>
        </w:rPr>
        <w:t> American Workplace' năm 2013</w:t>
      </w:r>
      <w:r>
        <w:t xml:space="preserve"> của Gallup, 50% nhân viên chỉ ngồi cho đủ giờ, trong khi 20% còn lại bộc lộ sự bất mãn theo những cách phản tác dụng, gây ảnh hưởng tiêu cực đến đồng nghiệp, nghỉ việc nhiều ngày và khiến khách hàng bỏ đi vì dịch vụ kém. Gallup ước tính riêng nhóm 20% này đã khiến nền kinh tế</w:t>
        <w:bookmarkStart w:id="737" w:name="page12_2"/>
        <w:t> </w:t>
        <w:bookmarkEnd w:id="737"/>
        <w:t>Mỹ thiệt hại khoảng nửa nghìn tỷ đô la mỗi năm.</w:t>
      </w:r>
      <w:bookmarkEnd w:id="734"/>
      <w:bookmarkEnd w:id="735"/>
    </w:p>
    <w:p>
      <w:pPr>
        <w:pStyle w:val="Normal"/>
      </w:pPr>
      <w:r>
        <w:t>Đâu là lý do khiến nhân viên mất gắn kết lan rộng? Theo Gallup, lãnh đạo kém là một nguyên nhân chính.</w:t>
      </w:r>
    </w:p>
    <w:p>
      <w:pPr>
        <w:pStyle w:val="Normal"/>
      </w:pPr>
      <w:r>
        <w:t>Hầu hết các nhà điều hành—không chỉ ở Mỹ—đều nhận ra rằng một trong những thách thức lớn nhất của họ là thu hẹp khoảng cách mênh mông giữa tiềm năng và tài năng, năng lượng thực tế của những người họ dẫn dắt. Như một CEO đã nói: 'Chúng tôi có một lực lượng lao động đông đảo, từ trên xuống dưới đều khao khát làm tốt công việc. Nếu chúng tôi có thể chuyển hóa họ—khai thác tiềm năng thông qua lãnh đạo hiệu quả—sẽ có rất nhiều người làm được rất nhiều điều tốt đẹp.'</w:t>
      </w:r>
    </w:p>
    <w:p>
      <w:pPr>
        <w:pStyle w:val="Normal"/>
      </w:pPr>
      <w:r>
        <w:t xml:space="preserve">Tất nhiên, các nhà quản lý không cố ý trở thành lãnh đạo kém. Vấn đề là họ thiếu sự hiểu biết rõ ràng về những thay đổi cần thiết để phát huy tốt nhất tiềm năng của mọi</w:t>
        <w:bookmarkStart w:id="738" w:name="page12_3"/>
        <w:t> </w:t>
        <w:bookmarkEnd w:id="738"/>
        <w:t>người và đạt được tác động cao. Chúng tôi tin rằng các nhà lãnh đạo có thể đạt được sự hiểu biết này thông qua một phương pháp mà chúng tôi gọi là 'lãnh đạo đại dương xanh' (blue ocean leadership). Phương pháp này dựa trên nghiên cứu của chúng tôi về chiến lược đại dương xanh (blue ocean strategy), mô hình tạo ra không gian thị trường mới bằng cách chuyển những người không phải khách hàng thành khách hàng, và áp dụng các khái niệm cùng khung phân tích của nó để giúp các nhà lãnh đạo giải phóng đại dương xanh của tài năng và năng lượng chưa được khai thác trong tổ chức của họ—một cách nhanh chóng và với chi phí thấp.</w:t>
      </w:r>
    </w:p>
    <w:p>
      <w:pPr>
        <w:pStyle w:val="Normal"/>
      </w:pPr>
      <w:r>
        <w:t xml:space="preserve">Hiểu biết cốt lõi là lãnh đạo, về bản chất, có thể được xem như một dịch vụ mà mọi người trong tổ chức 'mua' hoặc 'không mua'. Theo nghĩa đó, mỗi nhà lãnh đạo đều có khách hàng: những sếp mà nhà lãnh đạo phải đạt hiệu quả công việc, và những người dưới quyền cần sự hướng dẫn và hỗ trợ của nhà lãnh đạo để đạt được mục tiêu. Khi mọi người đánh giá cao cách</w:t>
        <w:bookmarkStart w:id="739" w:name="page12_4"/>
        <w:t> </w:t>
        <w:bookmarkEnd w:id="739"/>
        <w:t>lãnh đạo của bạn, họ trên thực tế 'mua' sự lãnh đạo của bạn. Họ được truyền cảm hứng để vượt trội và hành động với cam kết. Nhưng khi nhân viên không 'mua' sự lãnh đạo của bạn, họ sẽ mất gắn kết, trở thành những người không còn 'mua' sự lãnh đạo của bạn nữa. Một khi chúng tôi bắt đầu suy nghĩ về lãnh đạo theo cách này, chúng tôi nhận ra rằng các khái niệm và khung phân tích chúng tôi đang phát triển để tạo nhu cầu mới bằng cách chuyển những người không phải khách hàng thành khách hàng có thể được điều chỉnh để giúp các nhà lãnh đạo chuyển những nhân viên mất gắn kết thành những nhân viên gắn kết.</w:t>
      </w:r>
    </w:p>
    <w:p>
      <w:pPr>
        <w:pStyle w:val="Normal"/>
      </w:pPr>
      <w:r>
        <w:t xml:space="preserve">Trong 10 năm qua, chúng tôi cùng Gavin Fraser, một chuyên gia của Mạng lưới Chiến lược Đại dương Xanh (Blue Ocean Strategy Network), đã phỏng vấn hàng trăm người trong các tổ chức để hiểu được lãnh đạo đang thiếu sót ở đâu và làm thế nào để chuyển đổi nó trong khi vẫn bảo toàn nguồn tài nguyên quý giá nhất</w:t>
        <w:bookmarkStart w:id="740" w:name="page12_5"/>
        <w:t> </w:t>
        <w:bookmarkEnd w:id="740"/>
        <w:t>của nhà lãnh đạo: thời gian. Trong bài viết này, chúng tôi trình bày kết quả nghiên cứu của mình.</w:t>
      </w:r>
    </w:p>
    <w:p>
      <w:bookmarkStart w:id="741" w:name="KEY_DIFFERENCES_FROM_CONVENTIONA"/>
      <w:pPr>
        <w:pStyle w:val="Para 037"/>
      </w:pPr>
      <w:r>
        <w:t>NHỮNG KHÁC BIỆT CHÍNH SO VỚI CÁC PHƯƠNG PHÁP LÃNH ĐẠO TRUYỀN THỐNG</w:t>
      </w:r>
      <w:bookmarkEnd w:id="741"/>
    </w:p>
    <w:p>
      <w:pPr>
        <w:pStyle w:val="Normal"/>
      </w:pPr>
      <w:r>
        <w:t>Lãnh đạo đại dương xanh (Blue ocean leadership) nhanh chóng tạo ra sự thay đổi vượt bậc về năng lực lãnh đạo. Nó khác biệt so với các phương pháp phát triển lãnh đạo truyền thống ở một số khía cạnh bao quát. Dưới đây là ba điểm nổi bật nhất:</w:t>
      </w:r>
    </w:p>
    <w:p>
      <w:bookmarkStart w:id="742" w:name="Focus_on_acts_and_activities"/>
      <w:pPr>
        <w:pStyle w:val="Para 063"/>
      </w:pPr>
      <w:r>
        <w:t>Tập trung vào hành động và hoạt động</w:t>
      </w:r>
      <w:bookmarkEnd w:id="742"/>
    </w:p>
    <w:p>
      <w:pPr>
        <w:pStyle w:val="Normal"/>
      </w:pPr>
      <w:r>
        <w:t xml:space="preserve">Qua nhiều năm, một lượng lớn nghiên cứu đã tạo ra những hiểu biết sâu sắc về các giá trị, phẩm chất và phong cách hành vi tạo nên sự lãnh đạo tốt, và những điều này đã hình thành nền tảng</w:t>
        <w:bookmarkStart w:id="743" w:name="page12_6"/>
        <w:t> </w:t>
        <w:bookmarkEnd w:id="743"/>
        <w:t>cho các chương trình phát triển và huấn luyện điều hành. Giả định ngầm là những thay đổi về giá trị, phẩm chất và phong cách hành vi cuối cùng sẽ chuyển hóa thành hiệu suất cao.</w:t>
      </w:r>
    </w:p>
    <w:p>
      <w:pPr>
        <w:pStyle w:val="Normal"/>
      </w:pPr>
      <w:r>
        <w:t>Nhưng khi nhìn lại các chương trình này, nhiều người khó có thể tìm thấy bằng chứng về sự thay đổi đáng kể. Như một nhà điều hành đã nói: “Nếu không có nhiều năm nỗ lực tận tâm, làm sao bạn có thể thay đổi tính cách hoặc đặc điểm hành vi của một người? Và liệu bạn có thực sự đo lường và đánh giá được liệu các nhà lãnh đạo có đang tiếp nhận và nội hóa những đặc điểm và phong cách cá nhân này hay không? Về lý thuyết là có, nhưng trên thực tế, tốt nhất cũng rất khó.”</w:t>
      </w:r>
    </w:p>
    <w:p>
      <w:pPr>
        <w:pStyle w:val="Normal"/>
      </w:pPr>
      <w:r>
        <w:t xml:space="preserve">Ngược lại, lãnh đạo đại dương xanh tập trung vào những</w:t>
      </w:r>
      <w:r>
        <w:rPr>
          <w:rStyle w:val="Text0"/>
        </w:rPr>
        <w:t> hành động và hoạt động mà các nhà lãnh đạo cần thực hiện để</w:t>
      </w:r>
      <w:r>
        <w:t xml:space="preserve"> thúc đẩy động lực của đội ngũ và kết quả kinh doanh, chứ không phải là</w:t>
      </w:r>
      <w:r>
        <w:rPr>
          <w:rStyle w:val="Text0"/>
        </w:rPr>
        <w:t> họ cần trở thành người như</w:t>
      </w:r>
      <w:r>
        <w:t xml:space="preserve"> thế nào. Sự khác biệt trong trọng tâm này rất quan</w:t>
        <w:bookmarkStart w:id="744" w:name="page12_7"/>
        <w:t> </w:t>
        <w:bookmarkEnd w:id="744"/>
        <w:t>trọng. Việc thay đổi hành động và hoạt động của con người dễ dàng hơn rõ rệt so với việc thay đổi giá trị, phẩm chất và đặc điểm hành vi của họ. Tất nhiên, thay đổi hoạt động của một nhà lãnh đạo không phải là giải pháp hoàn chỉnh, và việc có đúng giá trị, phẩm chất và đặc điểm hành vi là điều quan trọng. Nhưng hoạt động là thứ mà bất kỳ cá nhân nào cũng có thể thay đổi, nếu có phản hồi và hướng dẫn đúng đắn.</w:t>
      </w:r>
    </w:p>
    <w:p>
      <w:bookmarkStart w:id="745" w:name="Connect_closely_to_market_realit"/>
      <w:pPr>
        <w:pStyle w:val="Para 063"/>
      </w:pPr>
      <w:r>
        <w:t>Kết nối chặt chẽ với thực tế thị trường</w:t>
      </w:r>
      <w:bookmarkEnd w:id="745"/>
    </w:p>
    <w:p>
      <w:pPr>
        <w:pStyle w:val="Normal"/>
      </w:pPr>
      <w:r>
        <w:t xml:space="preserve">Các chương trình phát triển lãnh đạo truyền thống có xu hướng khá chung chung và thường tách rời khỏi những gì doanh nghiệp đại diện trong mắt khách hàng cũng như các kết quả thị trường mà mọi người được kỳ vọng đạt được. Ngược lại, dưới phương pháp lãnh đạo đại dương xanh, những người đối mặt với thực tế thị trường được yêu cầu đóng góp ý kiến trực tiếp về việc các nhà lãnh đạo</w:t>
        <w:bookmarkStart w:id="746" w:name="page12_8"/>
        <w:t> </w:t>
        <w:bookmarkEnd w:id="746"/>
        <w:t xml:space="preserve">của họ đang kìm hãm họ như thế nào và các nhà lãnh đạo đó có thể làm gì để giúp họ phục vụ khách hàng và các bên liên quan (stakeholder) chính một cách tốt nhất. Và khi mọi người tham gia vào việc xác định các hoạt động</w:t>
      </w:r>
      <w:r>
        <w:rPr>
          <w:rStyle w:val="Text0"/>
        </w:rPr>
        <w:t> lãnh đạo giúp họ phát triển, và những hoạt động đó được</w:t>
      </w:r>
      <w:r>
        <w:t xml:space="preserve"> kết nối với thực tế thị trường mà họ cần đạt hiệu quả, họ sẽ có động lực cao để tạo ra hồ sơ tốt nhất có thể cho các nhà lãnh đạo và làm cho các giải pháp mới hoạt động hiệu quả. Sự hợp tác tự nguyện của họ tối đa hóa sự chấp nhận các hồ sơ lãnh đạo mới đồng thời giảm thiểu chi phí triển khai.</w:t>
      </w:r>
    </w:p>
    <w:p>
      <w:bookmarkStart w:id="747" w:name="Distribute_leadership_across_all"/>
      <w:pPr>
        <w:pStyle w:val="Para 063"/>
      </w:pPr>
      <w:r>
        <w:t>Phân bổ quyền lãnh đạo ở tất cả các cấp quản lý</w:t>
      </w:r>
      <w:bookmarkEnd w:id="747"/>
    </w:p>
    <w:p>
      <w:pPr>
        <w:pStyle w:val="Normal"/>
      </w:pPr>
      <w:r>
        <w:t xml:space="preserve">Hầu hết các chương trình lãnh đạo tập trung vào các nhà điều hành cấp cao và tiềm năng tạo ảnh</w:t>
        <w:bookmarkStart w:id="748" w:name="page12_9"/>
        <w:t> h</w:t>
        <w:bookmarkEnd w:id="748"/>
        <w:t>ưởng của họ ở hiện tại và tương lai. Nhưng chìa khóa cho một tổ chức thành công là có những nhà lãnh đạo được trao quyền ở mọi cấp độ, bởi vì hiệu quả tổ chức vượt trội thường phụ thuộc vào động lực và hành động của các nhà lãnh đạo cấp trung và cấp cơ sở, những người tiếp xúc gần hơn với thị trường. Như một nhà điều hành cấp cao đã nói: “Sự thật là chúng tôi, ban quản lý cấp cao, không có mặt tại hiện trường để đánh giá đầy đủ các hành động ở cấp trung và cấp cơ sở. Chúng ta cần những nhà lãnh đạo hiệu quả ở mọi cấp độ để tối đa hóa hiệu quả hoạt động của công ty.”</w:t>
      </w:r>
    </w:p>
    <w:p>
      <w:pPr>
        <w:pStyle w:val="Normal"/>
      </w:pPr>
      <w:r>
        <w:t xml:space="preserve">Lãnh đạo đại dương xanh (blue ocean leadership) được thiết kế để áp dụng trên ba cấp quản lý khác nhau: cấp</w:t>
      </w:r>
      <w:r>
        <w:rPr>
          <w:rStyle w:val="Text0"/>
        </w:rPr>
        <w:t> cao, cấp trung</w:t>
      </w:r>
      <w:r>
        <w:t xml:space="preserve"> và</w:t>
      </w:r>
      <w:r>
        <w:rPr>
          <w:rStyle w:val="Text0"/>
        </w:rPr>
        <w:t> cấp tuyến</w:t>
      </w:r>
      <w:r>
        <w:t xml:space="preserve"> đầu. Phương pháp này đòi hỏi các bộ hồ sơ (profile) dành cho lãnh đạo được điều chỉnh phù hợp với nhiệm vụ, mức độ quyền</w:t>
        <w:bookmarkStart w:id="749" w:name="page12_10"/>
        <w:t> l</w:t>
        <w:bookmarkEnd w:id="749"/>
        <w:t>ực và môi trường rất khác nhau ở mỗi cấp. Việc mở rộng năng lực lãnh đạo sâu xuống tuyến đầu sẽ giải phóng tài năng và động lực tiềm ẩn của một lượng lớn (critical mass) nhân viên, đồng thời tạo ra sự lãnh đạo phân quyền mạnh mẽ (distributed leadership) giúp nâng cao đáng kể hiệu quả hoạt động của toàn tổ chức.</w:t>
      </w:r>
    </w:p>
    <w:p>
      <w:bookmarkStart w:id="750" w:name="THE_FOUR_STEPS_OF_BLUE_OCEAN_LEA"/>
      <w:pPr>
        <w:pStyle w:val="Para 037"/>
      </w:pPr>
      <w:r>
        <w:t>BỐN BƯỚC CỦA LÃNH ĐẠO ĐẠI DƯƠNG XANH</w:t>
      </w:r>
      <w:bookmarkEnd w:id="750"/>
    </w:p>
    <w:p>
      <w:pPr>
        <w:pStyle w:val="Normal"/>
      </w:pPr>
      <w:r>
        <w:t>Bây giờ, hãy cùng tìm hiểu cách áp dụng lãnh đạo đại dương xanh vào thực tế. Phương pháp này bao gồm bốn bước.</w:t>
      </w:r>
    </w:p>
    <w:p>
      <w:bookmarkStart w:id="751" w:name="1__See_your_leadership_reality"/>
      <w:pPr>
        <w:pStyle w:val="Para 063"/>
      </w:pPr>
      <w:r>
        <w:t>1. Nhìn nhận thực tế lãnh đạo của bạn</w:t>
      </w:r>
      <w:bookmarkEnd w:id="751"/>
    </w:p>
    <w:p>
      <w:pPr>
        <w:pStyle w:val="Normal"/>
      </w:pPr>
      <w:r>
        <w:t xml:space="preserve">Một sai lầm phổ biến mà các tổ chức mắc phải là bàn về việc thay đổi lãnh đạo trước khi giải quyết</w:t>
        <w:bookmarkStart w:id="752" w:name="page12_11"/>
        <w:t> </w:t>
        <w:bookmarkEnd w:id="752"/>
        <w:t>những khác biệt quan điểm về việc các nhà lãnh đạo thực sự đang làm. Nếu không có sự hiểu biết chung về vị trí hiện tại của đội ngũ lãnh đạo và những điểm còn thiếu sót, thì khó có thể đưa ra một lý lẽ thuyết phục cho việc thay đổi.</w:t>
      </w:r>
    </w:p>
    <w:p>
      <w:pPr>
        <w:pStyle w:val="Normal"/>
      </w:pPr>
      <w:r>
        <w:t>Đạt được sự hiểu biết này là mục tiêu của bước đầu tiên. Nó được thể hiện dưới dạng cái mà chúng tôi gọi là Bản đồ lãnh đạo hiện trạng (as-is Leadership Canvases) – những hình ảnh phân tích cho thấy các nhà quản lý ở mỗi cấp đầu tư thời gian và công sức của họ như thế nào, theo cảm nhận của những người hưởng lợi từ sự lãnh đạo của họ. Một tổ chức bắt đầu quá trình này bằng cách tạo ra một bản đồ cho từng cấp quản lý trong ba cấp của mình.</w:t>
      </w:r>
    </w:p>
    <w:p>
      <w:pPr>
        <w:pStyle w:val="Normal"/>
      </w:pPr>
      <w:r>
        <w:t xml:space="preserve">Một nhóm gồm 12 đến 15 quản lý cấp cao thường được chọn để thực hiện dự án này. Những người được chọn nên thuộc nhiều phòng ban khác nhau</w:t>
        <w:bookmarkStart w:id="753" w:name="page12_12"/>
        <w:t> </w:t>
        <w:bookmarkEnd w:id="753"/>
        <w:t>và được công nhận là những nhà lãnh đạo giỏi trong công ty để nhóm có được uy tín ngay lập tức. Sau đó, nhóm được chia thành ba nhóm nhỏ hơn, mỗi nhóm tập trung vào một cấp và chịu trách nhiệm phỏng vấn những người hưởng lợi từ sự lãnh đạo của cấp đó – cả cấp trên và cấp dưới – đồng thời đảm bảo rằng có đủ số lượng đại diện từ mỗi phía.</w:t>
      </w:r>
    </w:p>
    <w:p>
      <w:pPr>
        <w:pStyle w:val="Normal"/>
      </w:pPr>
      <w:r>
        <w:t xml:space="preserve">Mục tiêu là khám phá cách mọi người trải nghiệm sự lãnh đạo hiện tại và bắt đầu một cuộc trò chuyện trên toàn công ty về những gì các nhà lãnh đạo làm và nên làm ở mỗi cấp. Những người hưởng lợi từ sự lãnh đạo được hỏi rằng các nhà lãnh đạo của họ dành phần lớn thời gian cho những hành động và hoạt động nào (tốt và xấu), và điều gì là chìa khóa để tạo động lực và hiệu suất nhưng lại bị các nhà lãnh đạo bỏ qua. Việc tìm</w:t>
        <w:bookmarkStart w:id="754" w:name="page12_13"/>
        <w:t> </w:t>
        <w:bookmarkEnd w:id="754"/>
        <w:t>hiểu chi tiết cụ thể là quan trọng; các bản đồ hiện trạng phải dựa trên những hành động và hoạt động phản ánh thực tế thị trường và mục tiêu hiệu suất cụ thể của từng cấp. Điều này đòi hỏi phải tìm hiểu sâu một cách thích đáng.</w:t>
      </w:r>
    </w:p>
    <w:p>
      <w:pPr>
        <w:pStyle w:val="Normal"/>
      </w:pPr>
      <w:r>
        <w:t xml:space="preserve">Tại một công ty chúng tôi sẽ gọi là Tập đoàn Bán lẻ Anh (BRG), nhiều người được phỏng vấn nhận xét rằng các nhà quản lý cấp trung dành phần lớn thời gian để chơi trò chính trị. Nhóm nhỏ tập trung vào cấp đó đã yêu cầu làm rõ và phát hiện ra rằng hai hành động chủ yếu dẫn đến nhận định này. Một là các nhà lãnh đạo có xu hướng phân chia trách nhiệm giữa mọi người, tạo ra sự không chắc chắn về trách nhiệm giải trình – và một số sự cạnh tranh nội bộ. Kết quả là rất nhiều chỉ trích lẫn nhau và nhận thức rằng các nhà lãnh đạo đang khiến mọi người chống</w:t>
        <w:bookmarkStart w:id="755" w:name="page12_14"/>
        <w:t> l</w:t>
        <w:bookmarkEnd w:id="755"/>
        <w:t>ại nhau. Nhóm nhỏ cũng phát hiện ra rằng các nhà lãnh đạo dành phần lớn thời gian trong các cuộc họp với quản lý cấp cao. Điều này khiến cấp dưới kết luận rằng các nhà lãnh đạo của họ quan tâm đến việc tối đa hóa 'thời gian xuất hiện' chính trị và thổi phồng tin tức hơn là có mặt để hỗ trợ họ.</w:t>
      </w:r>
    </w:p>
    <w:p>
      <w:pPr>
        <w:pStyle w:val="Normal"/>
      </w:pPr>
      <w:r>
        <w:t xml:space="preserve">Sau bốn đến sáu tuần phỏng vấn, các thành viên của nhóm nhỏ tập hợp lại để xây dựng Hồ sơ Lãnh đạo Hiện trạng (as-is Leadership Profiles) bằng cách tổng hợp các phát hiện của họ và xác định, dựa trên tần suất được nhắc đến, những hành vi và hoạt động lãnh đạo chủ đạo ở từng cấp. Để giúp các nhóm nhỏ tập trung vào điều thực sự quan trọng, chúng tôi thường yêu cầu không quá 10 đến 15 hành vi và hoạt động lãnh đạo cho mỗi cấp. Các hành vi này được ghi lại trên trục hoành của bức tranh hiện trạng, còn mức độ</w:t>
        <w:bookmarkStart w:id="756" w:name="page12_15"/>
        <w:t> </w:t>
        <w:bookmarkEnd w:id="756"/>
        <w:t>mà các nhà lãnh đạo thực hiện chúng được ghi trên trục tung. Nhờ giới hạn 10-15, bức tranh không bị biến thành một bản mô tả bao gồm mọi thứ nhưng lại không nói lên điều gì cụ thể.</w:t>
      </w:r>
    </w:p>
    <w:p>
      <w:pPr>
        <w:pStyle w:val="Normal"/>
      </w:pPr>
      <w:r>
        <w:t>Kết quả hầu như luôn khiến người ta mở mang tầm mắt. Không hiếm khi thấy rằng 20% đến 40% hành vi và hoạt động của các nhà lãnh đạo ở cả ba cấp chỉ mang lại giá trị không rõ ràng cho những người ở trên và dưới họ. Cũng không hiếm khi thấy các nhà lãnh đạo đang đầu tư thiếu vào 20% đến 40% hành vi và hoạt động mà những người được phỏng vấn ở cấp của họ coi là quan trọng.</w:t>
      </w:r>
    </w:p>
    <w:p>
      <w:pPr>
        <w:pStyle w:val="Normal"/>
      </w:pPr>
      <w:r>
        <w:t xml:space="preserve">Tại BRG, bức tranh về các nhà quản lý cấp cao cho thấy khách hàng nghĩ rằng nhóm này dành phần lớn thời gian cho các hành vi và hoạt động về cơ bản là của quản lý trung gian,</w:t>
        <w:bookmarkStart w:id="757" w:name="page12_16"/>
        <w:t> </w:t>
        <w:bookmarkEnd w:id="757"/>
        <w:t>trong khi bức tranh về các nhà quản lý trung gian lại cho thấy họ dường như mải mê bảo vệ các quy trình quan liêu. Các nhà lãnh đạo tuyến đầu dường như tập trung vào việc làm hài lòng sếp bằng cách chuyển các thắc mắc của khách hàng lên cho sếp, qua đó thỏa mãn mong muốn kiểm soát của cấp trên. Khi chúng tôi yêu cầu các thành viên trong nhóm mô tả từng bức tranh bằng một khẩu hiệu (tagline), một bài tập trong quy trình, họ đã đặt tên cho Hồ sơ Lãnh đạo tuyến đầu là “Làm hài lòng Sếp”, cho Hồ sơ quản lý trung gian là “Kiểm soát và An toàn”, còn Hồ sơ quản lý cấp cao là “Chỉ lo việc hằng ngày”. (Để có ví dụ, hãy xem hình “Các nhà quản lý trung gian thực sự làm gì.”)</w:t>
      </w:r>
    </w:p>
    <w:p>
      <w:pPr>
        <w:pStyle w:val="Normal"/>
      </w:pPr>
      <w:r>
        <w:t xml:space="preserve">Những hệ lụy thật ảm đạm. Điều khiến các nhóm phụ (subteams) ngộ ra lớn nhất</w:t>
        <w:bookmarkStart w:id="758" w:name="page12_17"/>
        <w:t> </w:t>
        <w:bookmarkEnd w:id="758"/>
        <w:t>là các quản lý cấp cao dường như hầu như không có thời gian để làm đúng công việc của ban lãnh đạo cấp cao — suy nghĩ, tìm hiểu, nhận diện cơ hội ở phía trước, và chuẩn bị tổ chức để tận dụng chúng. Đối mặt với những bằng chứng trực tiếp và lặp đi lặp lại về những thiếu sót trong thực tiễn lãnh đạo, các nhóm phụ không thể biện hộ cho các Hồ sơ Lãnh đạo (Leadership Profiles) hiện tại. Các bảng vẽ đã đưa ra lý lẽ mạnh mẽ cho sự thay đổi ở cả ba cấp độ; rõ ràng là mọi người trong toàn tổ chức đều mong muốn điều đó.</w:t>
      </w:r>
    </w:p>
    <w:p>
      <w:bookmarkStart w:id="759" w:name="2__Develop_alternative_Leadershi"/>
      <w:pPr>
        <w:pStyle w:val="Para 063"/>
      </w:pPr>
      <w:r>
        <w:t>2. Phát triển các Hồ sơ Lãnh đạo thay thế.</w:t>
      </w:r>
      <w:bookmarkEnd w:id="759"/>
    </w:p>
    <w:p>
      <w:pPr>
        <w:pStyle w:val="Normal"/>
      </w:pPr>
      <w:r>
        <w:t xml:space="preserve">Vào thời điểm này, các nhóm phụ thường háo hức khám phá xem hồ sơ lãnh đạo hiệu quả (Leadership Profiles) sẽ như thế nào ở từng cấp. Để đạt được điều đó, họ</w:t>
        <w:bookmarkStart w:id="760" w:name="page12_18"/>
        <w:t> </w:t>
        <w:bookmarkEnd w:id="760"/>
        <w:t>quay lại gặp những người được phỏng vấn và đặt cho họ hai nhóm câu hỏi.</w:t>
      </w:r>
    </w:p>
    <w:p>
      <w:pPr>
        <w:pStyle w:val="Normal"/>
      </w:pPr>
      <w:r>
        <w:t>Bộ câu hỏi đầu tiên nhằm xác định chính xác mức độ mà mỗi hành động và hoạt động trên bảng vẽ (canvas) là một điểm lạnh (cold spot) (ngốn thời gian của lãnh đạo nhưng chẳng thêm chút giá trị nào) hay một điểm nóng (hot spot) (tiếp thêm năng lượng cho nhân viên, truyền cảm hứng để họ vận dụng tài năng, nhưng hiện chưa được lãnh đạo đầu tư đúng mức hoặc hoàn toàn bị bỏ ngỏ).</w:t>
      </w:r>
    </w:p>
    <w:p>
      <w:pPr>
        <w:pStyle w:val="Normal"/>
      </w:pPr>
      <w:r>
        <w:t xml:space="preserve">Bộ câu hỏi thứ hai yêu cầu người được phỏng vấn suy nghĩ vượt ra ngoài phạm vi công ty và tập trung vào những hành động lãnh đạo hiệu quả mà họ đã quan sát được bên ngoài tổ chức, đặc biệt là những hành động có thể tác động mạnh nếu được các lãnh đạo nội bộ ở cấp của họ áp dụng. Ở đây, những ý tưởng mới mẻ xuất hiện về</w:t>
        <w:bookmarkStart w:id="761" w:name="page12_19"/>
        <w:t> </w:t>
        <w:bookmarkEnd w:id="761"/>
        <w:t>những điều lãnh đạo có thể làm nhưng lại không làm. Tuy nhiên, điều này không phải là so sánh với các biểu tượng doanh nghiệp; trải nghiệm cá nhân của nhân viên có nhiều khả năng mang lại những hiểu biết sâu sắc hơn. Hầu hết chúng ta đều gặp những người trong đời có ảnh hưởng tích cực vượt trội đến mình. Đó có thể là huấn luyện viên thể thao, giáo viên, trưởng nhóm hướng đạo sinh, ông bà, hoặc sếp cũ. Dù những hình mẫu đó là ai, điều quan trọng là để người được phỏng vấn mô tả chi tiết những hành động và hoạt động nào họ tin sẽ mang lại giá trị thực sự cho họ nếu được lãnh đạo hiện tại thực hiện.</w:t>
      </w:r>
    </w:p>
    <w:p>
      <w:pPr>
        <w:pStyle w:val="Normal"/>
      </w:pPr>
      <w:r>
        <w:t xml:space="preserve">Để xử lý các phát hiện từ vòng phỏng vấn thứ hai, các nhóm phụ áp dụng một công cụ phân tích mà chúng tôi gọi là Ma trận Lãnh đạo Đại dương Xanh (Blue Ocean Leadership Grid)</w:t>
        <w:bookmarkStart w:id="762" w:name="page12_20"/>
        <w:t> </w:t>
        <w:bookmarkEnd w:id="762"/>
        <w:t xml:space="preserve">(xem bảng cùng tên). Kết quả phỏng vấn của từng cấp lãnh đạo được đưa vào ma trận này. Thông thường, chúng tôi bắt đầu với các hành động và hoạt động thuộc vùng lạnh (cold-spot), được xếp vào góc phần tư Loại bỏ (Eliminate) hoặc Giảm bớt (Reduce) tùy thuộc vào mức độ tiêu cực mà người được phỏng vấn đánh giá. Điều này ngay lập tức tạo động lực cho các nhóm phụ, vì mọi người nhận ra ngay lợi ích của việc ngăn lãnh đạo làm những việc chẳng mang lại giá trị gì. Cắt giảm những hoạt động này cũng giúp lãnh đạo có thời gian và không gian cần thiết để nâng cao năng lực của mình. Nếu không có khoảng trống đó, việc thay đổi mạnh mẽ năng lực lãnh đạo sẽ chỉ là điều ước viển vông, vì lãnh đạo vốn đã quá bận rộn. Từ các vùng lạnh, chúng tôi chuyển sang các vùng nóng (hot spots), được đưa vào góc phần tư Nâng cao (Raise)</w:t>
        <w:bookmarkStart w:id="763" w:name="page12_21"/>
        <w:t> </w:t>
        <w:bookmarkEnd w:id="763"/>
        <w:t>nếu liên quan đến các hành động và hoạt động hiện tại, hoặc Tạo mới (Create) cho những điều hiện lãnh đạo chưa thực hiện. Với dữ liệu đầu vào này, các nhóm phụ phác thảo từ hai đến bốn bức tranh trạng thái tương lai (to-be) cho từng cấp lãnh đạo. Những hình ảnh phân tích này minh họa Hồ sơ Lãnh đạo (Leadership Profiles) có thể nâng cao hiệu suất cá nhân và tổ chức, đồng thời đối chiếu chúng với Hồ sơ Lãnh đạo hiện tại (as-is). Các nhóm phụ tạo ra một loạt mô hình lãnh đạo, thay vì chỉ dừng lại ở một bộ khả năng, để khám phá toàn diện không gian lãnh đạo mới.</w:t>
      </w:r>
    </w:p>
    <w:p>
      <w:bookmarkStart w:id="764" w:name="3__Select_to_be_Leadership_Profi"/>
      <w:pPr>
        <w:pStyle w:val="Para 063"/>
      </w:pPr>
      <w:r>
        <w:t>3. Chọn Hồ sơ Lãnh đạo mục tiêu (to-be Leadership Profiles)</w:t>
      </w:r>
      <w:bookmarkEnd w:id="764"/>
    </w:p>
    <w:p>
      <w:pPr>
        <w:pStyle w:val="Normal"/>
      </w:pPr>
      <w:r>
        <w:t xml:space="preserve">Sau hai đến ba tuần vẽ đi vẽ lại các Bức tranh Lãnh đạo (Leadership Canvases), các nhóm phụ trình bày chúng tại sự kiện mà chúng tôi gọi là “hội chợ lãnh</w:t>
        <w:bookmarkStart w:id="765" w:name="page12_22"/>
        <w:t> </w:t>
        <w:bookmarkEnd w:id="765"/>
        <w:t>đạo.” Những người tham dự hội chợ bao gồm thành viên hội đồng quản trị và các nhà quản lý cấp cao, cấp trung và cấp cơ sở.</w:t>
      </w:r>
    </w:p>
    <w:p>
      <w:pPr>
        <w:pStyle w:val="Normal"/>
      </w:pPr>
      <w:r>
        <w:t>Sự kiện bắt đầu với việc các thành viên của nhóm cấp cao ban đầu đứng sau nỗ lực này mô tả quá trình và trình bày ba bức tranh hiện trạng (as-is canvases). Với ba hình ảnh trực quan đó, nhóm xác lập lý do vì sao cần thay đổi, xác nhận rằng các ý kiến từ những người được phỏng vấn ở mọi cấp độ đã được xem xét, và thiết lập bối cảnh để từ đó các Hồ sơ Lãnh đạo mục tiêu (to-be Leadership Profiles) có thể được hiểu và đánh giá đúng. Mặc dù các bức tranh hiện trạng thường phơi bày một thực tế đáng lo ngại, như đã từng xảy ra tại BRG, các Hồ sơ Lãnh đạo chỉ được trình chiếu và thảo luận ở cấp độ tổng thể. Điều đó khiến từng nhà lãnh đạo cởi mở hơn với sự thay đổi, vì họ cảm thấy rằng tất cả đều cùng chung một hoàn cảnh.</w:t>
      </w:r>
    </w:p>
    <w:p>
      <w:pPr>
        <w:pStyle w:val="Normal"/>
      </w:pPr>
      <w:r>
        <w:bookmarkStart w:id="766" w:name="page12_23"/>
        <w:t>Với</w:t>
        <w:bookmarkEnd w:id="766"/>
        <w:t> bối cảnh đã sẵn sàng, các nhóm phụ trình bày các hồ sơ dự kiến (to-be profiles), treo các bảng canvas của họ trên tường để khán giả dễ dàng nhìn thấy. Thông thường, nhóm phụ tập trung vào lãnh đạo tuyến đầu sẽ trình bày trước. Sau phần trình bày, mỗi người tham dự được phát ba tờ giấy nhớ Post-it và được yêu cầu đặt một tờ bên cạnh Hồ sơ Lãnh đạo (Leadership Profile) mà họ yêu thích. Và nếu họ thấy canvas đó đặc biệt thuyết phục, họ có thể đặt tối đa ba tờ Post-it lên đó.</w:t>
      </w:r>
    </w:p>
    <w:p>
      <w:pPr>
        <w:pStyle w:val="Normal"/>
      </w:pPr>
      <w:r>
        <w:t>Sau khi tất cả phiếu bầu được thu lại, các giám đốc cấp cao của công ty hỏi sâu những người tham dự về lý do họ bỏ phiếu như vậy. Quy trình tương tự sau đó được lặp lại cho hai cấp lãnh đạo khác. (Chúng tôi nhận thấy việc xử lý từng cấp một cách riêng biệt và tuần tự sẽ dễ hơn, và làm như vậy giúp người bỏ phiếu nhớ lại cuộc thảo luận tốt hơn.)</w:t>
      </w:r>
    </w:p>
    <w:p>
      <w:pPr>
        <w:pStyle w:val="Normal"/>
      </w:pPr>
      <w:r>
        <w:bookmarkStart w:id="767" w:name="page12_24"/>
        <w:t>Sau</w:t>
        <w:bookmarkEnd w:id="767"/>
        <w:t> khoảng bốn giờ, tất cả những người có mặt đều có một bức tranh rõ ràng về Hồ sơ Lãnh đạo hiện tại (current Leadership Profile) của từng cấp, các Lưới Lãnh đạo Đại dương Xanh (Blue Ocean Leadership Grids) đã hoàn thành, và một loạt các Hồ sơ Lãnh đạo dự kiến (to-be Leadership Profiles) có thể tạo ra sự thay đổi đáng kể trong hiệu suất lãnh đạo. Với thông tin này cùng phiếu bầu và nhận xét của những người tham dự, các nhà quản lý cấp cao họp riêng bên ngoài phòng hội chợ và quyết định Hồ sơ Lãnh đạo dự kiến (to-be Leadership Profile) nào sẽ được triển khai ở mỗi cấp. Sau đó, họ quay lại và giải thích quyết định của mình với những người tham gia hội chợ.</w:t>
      </w:r>
    </w:p>
    <w:p>
      <w:pPr>
        <w:pStyle w:val="Normal"/>
      </w:pPr>
      <w:r>
        <w:t xml:space="preserve">Tại BRG, hơn 125 người đã bỏ phiếu cho các hồ sơ này, và những người tham dự hội chợ đón nhận ba hồ sơ được chọn với sự nhiệt tình. Khẩu hiệu cho hồ sơ dự kiến (to-be profile) của lãnh đạo tuyến đầu là “Vượt Qua Rắc Rối.” (Đáng tiếc là</w:t>
        <w:bookmarkStart w:id="768" w:name="page12_25"/>
        <w:t> </w:t>
        <w:bookmarkEnd w:id="768"/>
        <w:t>sau đó nó được chau chuốt lại thành “Vượt Qua Để Phục Vụ Khách Hàng.”) Trong hồ sơ này, các lãnh đạo tuyến đầu không chuyển phần lớn các thắc mắc của khách hàng lên cấp quản lý trung gian và dành ít thời gian hơn để vượt qua các vòng thủ tục. Thời gian của họ được dành cho việc đào tạo nhân viên tuyến đầu thực hiện các cam kết của công ty ngay tại chỗ, giải quyết vấn đề của khách hàng, nhanh chóng giúp đỡ khách hàng gặp khó khăn, và tạo ra các giao dịch chéo (cross-sales) có ý nghĩa — những hành động và hoạt động lãnh đạo làm nhân viên tuyến đầu hứng khởi, chắc chắn làm khách hàng hài lòng, và có tác động trực tiếp đến lợi nhuận của công ty.</w:t>
      </w:r>
    </w:p>
    <w:p>
      <w:pPr>
        <w:pStyle w:val="Normal"/>
      </w:pPr>
      <w:r>
        <w:t xml:space="preserve">“Giải phóng, Huấn luyện và Trao quyền” là khẩu hiệu cho hồ sơ dự kiến (to-be profile) của quản lý cấp trung. Ở đây, thời gian và sự chú ý của các nhà lãnh đạo chuyển từ kiểm soát sang hỗ</w:t>
        <w:bookmarkStart w:id="769" w:name="page12_26"/>
        <w:t> t</w:t>
        <w:bookmarkEnd w:id="769"/>
        <w:t>rợ nhân viên. Điều này bao gồm việc loại bỏ và giảm bớt một loạt các hoạt động giám sát—chẳng hạn như yêu cầu báo cáo hàng tuần về số cuộc gọi khách hàng nhận được và kinh phí chi cho văn phòng phẩm—những việc làm tiêu hao năng lượng của mọi người và giữ chân lãnh đạo tuyến đầu tại bàn làm việc. Hồ sơ này cũng bao gồm các hành động mới nhằm quản lý, phổ biến và tích hợp kiến thức của lãnh đạo tuyến đầu và nhân viên của họ. Về mặt thực tế, điều này có nghĩa là dành nhiều thời gian hơn để huấn luyện trực tiếp và đưa ra phản hồi.</w:t>
      </w:r>
    </w:p>
    <w:p>
      <w:pPr>
        <w:pStyle w:val="Normal"/>
      </w:pPr>
      <w:r>
        <w:t xml:space="preserve">Khẩu hiệu cho hồ sơ mục tiêu (to-be profile) của quản lý cấp cao là “Ủy quyền và Hoạch định Tương lai Công ty.” Với các hành vi và hoạt động của quản lý tuyến đầu và quản lý cấp trung được thiết lập lại, quản lý cấp cao sẽ</w:t>
        <w:bookmarkStart w:id="770" w:name="page12_27"/>
        <w:t> </w:t>
        <w:bookmarkEnd w:id="770"/>
        <w:t>được giải phóng để dành một phần đáng kể thời gian cho việc suy nghĩ về bức tranh lớn—những thay đổi trong ngành và ý nghĩa của chúng đối với chiến lược và tổ chức. Họ sẽ dành ít thời gian hơn để chữa cháy.</w:t>
      </w:r>
    </w:p>
    <w:p>
      <w:pPr>
        <w:pStyle w:val="Normal"/>
      </w:pPr>
      <w:r>
        <w:t>Các thành viên hội đồng quản trị tham dự hội chợ lãnh đạo tin tưởng mạnh mẽ rằng các Hồ sơ Lãnh đạo mục tiêu (to-be Leadership Profiles) hỗ trợ lợi ích của khách hàng cũng như các mục tiêu lợi nhuận và tăng trưởng của cổ đông. Các lãnh đạo tuyến đầu tràn đầy năng lượng và sẵn sàng xông lên phía trước. Các quản lý cấp cao chuyển từ cảm giác bị nhấn chìm bởi vô số nhiệm vụ quản lý cấp trung mà họ phải điều phối và chú tâm, sang cảm giác cuối cùng cũng có thể ngẩng đầu lên khỏi mặt nước và nhìn thấy vẻ đẹp của đại dương mà họ cần vạch ra.</w:t>
      </w:r>
    </w:p>
    <w:p>
      <w:pPr>
        <w:pStyle w:val="Normal"/>
      </w:pPr>
      <w:r>
        <w:bookmarkStart w:id="771" w:name="page12_28"/>
        <w:t>Hồ</w:t>
        <w:bookmarkEnd w:id="771"/>
        <w:t> sơ Lãnh đạo mục tiêu khó khăn nhất là của quản lý cấp trung. Việc buông bỏ quyền kiểm soát và trao quyền cho những người bên dưới có thể khó khăn đối với những người ở cấp tổ chức này. Nhưng các Hồ sơ Lãnh đạo mục tiêu của cả quản lý tuyến đầu và quản lý cấp cao đã giúp dọn đường cho sự thay đổi ở cấp này.</w:t>
      </w:r>
    </w:p>
    <w:p>
      <w:bookmarkStart w:id="772" w:name="4__Institutionalize_new_leadersh"/>
      <w:pPr>
        <w:pStyle w:val="Para 063"/>
      </w:pPr>
      <w:r>
        <w:t>4. Thể chế hóa các thực hành lãnh đạo mới</w:t>
      </w:r>
      <w:bookmarkEnd w:id="772"/>
    </w:p>
    <w:p>
      <w:pPr>
        <w:pStyle w:val="Normal"/>
      </w:pPr>
      <w:r>
        <w:t>Sau khi hội chợ kết thúc, các thành viên nhóm phụ ban đầu truyền đạt kết quả cho những người họ đã phỏng vấn nhưng không có mặt tại hội chợ.</w:t>
      </w:r>
    </w:p>
    <w:p>
      <w:pPr>
        <w:pStyle w:val="Normal"/>
      </w:pPr>
      <w:r>
        <w:t xml:space="preserve">Các tổ chức sau đó phân phối các hồ sơ mục tiêu đã được thống nhất cho các lãnh đạo ở mỗi cấp. Các thành viên nhóm phụ tổ chức các cuộc họp với các lãnh đạo để hướng dẫn họ xem</w:t>
        <w:bookmarkStart w:id="773" w:name="page12_29"/>
        <w:t> </w:t>
        <w:bookmarkEnd w:id="773"/>
        <w:t>qua các bảng vẽ (canvas) của mình, giải thích những gì cần loại bỏ, giảm bớt, nâng cao và tạo mới. Bước này củng cố sự cam kết (buy-in) mà sáng kiến đã xây dựng bằng cách cập nhật cho các lãnh đạo trên toàn tổ chức về những phát hiện chính ở từng bước của quy trình và tranh thủ ý kiến đóng góp từ nhiều người trong số họ. Và bởi vì mỗi lãnh đạo trên thực tế là người đặt hàng (buyer) của một cấp lãnh đạo khác, tất cả các nhà quản lý sẽ nỗ lực thay đổi, biết rằng sếp của họ cũng sẽ làm điều tương tự dựa trên những ý kiến đóng góp mà chính họ trực tiếp cung cấp.</w:t>
      </w:r>
    </w:p>
    <w:p>
      <w:pPr>
        <w:pStyle w:val="Normal"/>
      </w:pPr>
      <w:r>
        <w:t xml:space="preserve">Các lãnh đạo sau đó được giao nhiệm vụ truyền đạt thông điệp đến những cấp dưới trực tiếp của họ và giải thích cho họ cách các Hồ sơ Lãnh đạo mới sẽ giúp họ làm việc hiệu quả hơn. Để giữ các hồ sơ mới luôn ở trong tâm trí, các bảng canvas mục tiêu được treo ở vị trí nổi bật</w:t>
        <w:bookmarkStart w:id="774" w:name="page12_30"/>
        <w:t> </w:t>
        <w:bookmarkEnd w:id="774"/>
        <w:t xml:space="preserve">tại văn phòng của cả lãnh đạo lẫn cấp dưới trực tiếp. Các lãnh đạo có nhiệm vụ tổ chức các cuộc họp thường kỳ hàng tháng để thu thập phản hồi từ những cấp dưới trực tiếp về mức độ chuyển đổi thành công của họ sang các hồ sơ mới. Mọi nhận xét phải được minh họa bằng các ví dụ cụ thể. Lãnh đạo đã cắt giảm các hành vi và hoạt động được xác định là cần loại bỏ và giảm bớt trong Hồ sơ Lãnh đạo mới chưa? Nếu có, bằng cách nào? Nếu chưa, trong những trường hợp nào cô ấy vẫn còn thực hiện chúng? Tương tự, cô ấy có tập trung nhiều hơn vào những việc thực sự tạo ra giá trị và thực hiện các hoạt động mới trong hồ sơ của mình không? Mặc dù các cuộc họp ban đầu có thể khiến người ta lo lắng—cả đối với nhân viên phải phê bình sếp lẫn các sếp có hành động bị phơi bày để</w:t>
        <w:bookmarkStart w:id="775" w:name="page12_31"/>
        <w:t> </w:t>
        <w:bookmarkEnd w:id="775"/>
        <w:t>xem xét—nhưng chẳng bao lâu, tinh thần đồng đội và sự tôn trọng lẫn nhau sẽ hình thành, khi tất cả mọi người thấy những thay đổi trong lãnh đạo ảnh hưởng tích cực đến hiệu suất của họ.</w:t>
      </w:r>
    </w:p>
    <w:p>
      <w:pPr>
        <w:pStyle w:val="Normal"/>
      </w:pPr>
      <w:r>
        <w:t xml:space="preserve">Nhờ những thay đổi được nêu bật bởi các hồ sơ mục tiêu (to-be profiles), BRG đã có thể tăng cường sức mạnh lãnh đạo và đạt được tác động cao với chi phí thấp hơn. Hãy xem xét kết quả ngay ở cấp tuyến đầu: Tỷ lệ nghỉ việc của hơn 10.000 nhân viên tuyến đầu của BRG đã giảm từ khoảng 40% xuống 11% trong năm đầu tiên, giảm cả chi phí tuyển dụng và đào tạo khoảng 50%. Tổng số tiền tiết kiệm được, bao gồm cả từ việc giảm nghỉ làm, lên tới hơn 50 triệu đô la trong năm đó. Trên hết, điểm số hài lòng của khách hàng của BRG đã tăng hơn 30%, và các nhà lãnh đạo</w:t>
        <w:bookmarkStart w:id="776" w:name="page12_32"/>
        <w:t> </w:t>
        <w:bookmarkEnd w:id="776"/>
        <w:t>ở mọi cấp báo cáo rằng họ cảm thấy bớt căng thẳng hơn, tràn đầy năng lượng hơn nhờ khả năng hành động, và tự tin hơn rằng họ đang đóng góp nhiều hơn cho công ty, khách hàng và sự phát triển cá nhân của chính họ.</w:t>
      </w:r>
    </w:p>
    <w:p>
      <w:bookmarkStart w:id="777" w:name="EXECUTION_IS_BUILT_INTO_THE_FOUR"/>
      <w:pPr>
        <w:pStyle w:val="Para 037"/>
      </w:pPr>
      <w:r>
        <w:t>THỰC THI ĐƯỢC TÍCH HỢP TRONG BỐN BƯỚC</w:t>
      </w:r>
      <w:bookmarkEnd w:id="777"/>
    </w:p>
    <w:p>
      <w:pPr>
        <w:pStyle w:val="Normal"/>
      </w:pPr>
      <w:r>
        <w:t xml:space="preserve">Bất kỳ sáng kiến thay đổi nào cũng phải đối mặt với sự hoài nghi. Hãy nghĩ về nó như hội chứng "cúi xuống—lại đến nữa rồi" (bend over—here it comes again). Mặc dù lãnh đạo đại dương xanh (blue ocean leadership) ban đầu cũng gặp phải phản ứng như vậy, nhưng nó khắc phục bằng cách xây dựng sự thực thi tốt ngay trong quy trình. Bốn bước này dựa trên các nguyên tắc của quy trình công bằng: sự tham gia, giải thích, và rõ ràng về kỳ vọng. Sức mạnh của những nguyên tắc này không thể bị đánh</w:t>
        <w:bookmarkStart w:id="778" w:name="page12_33"/>
        <w:t> </w:t>
        <w:bookmarkEnd w:id="778"/>
        <w:t>giá thấp, và chúng tôi đã viết rất nhiều về tác động của chúng đối với chất lượng thực thi trong hơn 20 năm. (Xem, ví dụ, bài viết của chúng tôi "Quy trình công bằng: Quản lý trong nền kinh tế tri thức," HBR, tháng 7–8 năm 1997.)</w:t>
      </w:r>
    </w:p>
    <w:p>
      <w:pPr>
        <w:pStyle w:val="Normal"/>
      </w:pPr>
      <w:r>
        <w:t>Trong bối cảnh phát triển lãnh đạo, việc áp dụng quy trình công bằng đạt được sự chấp nhận và quyền sở hữu đối với các Hồ sơ Lãnh đạo Mục tiêu (to-be Leadership Profiles) và xây dựng lòng tin, chuẩn bị nền tảng cho việc triển khai. Các nguyên tắc này được áp dụng theo nhiều cách, với những thực hành quan trọng nhất là:</w:t>
      </w:r>
    </w:p>
    <w:p>
      <w:pPr>
        <w:numPr>
          <w:ilvl w:val="0"/>
          <w:numId w:val="22"/>
        </w:numPr>
        <w:pStyle w:val="Para 105"/>
      </w:pPr>
      <w:r>
        <w:rPr>
          <w:rStyle w:val="Text0"/>
        </w:rPr>
        <w:t>Các nhà quản lý cấp cao được kính trọng dẫn dắt</w:t>
      </w:r>
      <w:r>
        <w:t xml:space="preserve"> quy trình. Sự tham gia của họ không mang tính hình thức; họ trực tiếp phỏng vấn và vẽ ra các bức tranh chiến lược. Điều này cho thấy rõ tầm quan</w:t>
        <w:bookmarkStart w:id="779" w:name="page12_34"/>
        <w:t> </w:t>
        <w:bookmarkEnd w:id="779"/>
        <w:t>trọng của sáng kiến, khiến nhân viên ở mọi cấp cảm thấy được tôn trọng và giúp các nhà quản lý cấp cao có cảm nhận trực quan về những hành động cần thiết để tạo ra bước ngoặt trong hiệu suất lãnh đạo. Đây là một phản ứng điển hình của nhân viên: "Lúc đầu, tôi nghĩ đây chỉ là một trong những sáng kiến mà ban lãnh đạo thích nói về sự cần thiết phải thay đổi nhưng về cơ bản lại quay về làm những gì họ vẫn luôn làm. Nhưng khi tôi thấy các nhà quản lý cấp cao chủ trì quy trình và xắn tay áo để thúc đẩy sự thay đổi, tôi tự nghĩ: 'Hmm … có lẽ họ cuối cùng cũng thực sự muốn làm.'"</w:t>
      </w:r>
    </w:p>
    <w:p>
      <w:pPr>
        <w:numPr>
          <w:ilvl w:val="0"/>
          <w:numId w:val="22"/>
        </w:numPr>
        <w:pStyle w:val="Para 105"/>
      </w:pPr>
      <w:r>
        <w:rPr>
          <w:rStyle w:val="Text0"/>
        </w:rPr>
        <w:t>Mọi người được tham gia vào việc xác định những gì lãnh</w:t>
      </w:r>
      <w:r>
        <w:t xml:space="preserve"> đạo nên làm.</w:t>
        <w:bookmarkStart w:id="780" w:name="page12_35"/>
        <w:t> </w:t>
        <w:bookmarkEnd w:id="780"/>
        <w:t>Vì các hồ sơ mục tiêu được tạo ra từ chính ý kiến của nhân viên, mọi người tin tưởng vào những thay đổi được thực hiện. Quy trình này cũng khiến họ cảm thấy gắn kết sâu sắc hơn với lãnh đạo của mình, vì họ có quyền sở hữu lớn hơn đối với những gì lãnh đạo đang làm. Đây là những gì mọi người nói với chúng tôi: "Ban lãnh đạo cấp cao nói rằng họ sẽ đến và trò chuyện với mọi người ở mọi cấp để hiểu điều chúng tôi cần lãnh đạo làm và không làm, để chúng tôi có thể phát triển. Và tôi nghĩ: 'Tôi sẽ tin khi có người gõ cửa nhà tôi.' Và rồi họ đã gõ cửa."</w:t>
      </w:r>
    </w:p>
    <w:p>
      <w:pPr>
        <w:numPr>
          <w:ilvl w:val="0"/>
          <w:numId w:val="22"/>
        </w:numPr>
        <w:pStyle w:val="Para 105"/>
      </w:pPr>
      <w:r>
        <w:rPr>
          <w:rStyle w:val="Text0"/>
        </w:rPr>
        <w:t>Mọi người ở tất cả các cấp đều có tiếng nói trong quyết định</w:t>
      </w:r>
      <w:r>
        <w:t xml:space="preserve"> cuối cùng. Một bộ phận đại diện của tổ chức ở cả ba cấp quản lý</w:t>
        <w:bookmarkStart w:id="781" w:name="page12_36"/>
        <w:t> </w:t>
        <w:bookmarkEnd w:id="781"/>
        <w:t>sẽ tham gia bỏ phiếu để lựa chọn Bộ Hồ sơ Lãnh đạo mới. Mặc dù các nhà quản lý cấp cao có tiếng nói cuối cùng về các hồ sơ mục tiêu và có thể không chọn những người có số phiếu cao nhất, họ vẫn phải đưa ra lời giải thích rõ ràng, hợp lý trước toàn bộ người tham dự. Dưới đây là một số phản hồi điển hình: “Những nghi ngờ của chúng tôi rằng các ý kiến đóng góp chỉ là hình thức đã được xua tan khi chúng tôi thấy ý kiến của mình được đưa vào Bộ Hồ sơ Lãnh đạo mục tiêu như thế nào. Lúc đó, chúng tôi nhận ra rằng tiếng nói của mình đã được lắng nghe.”</w:t>
      </w:r>
    </w:p>
    <w:p>
      <w:pPr>
        <w:numPr>
          <w:ilvl w:val="0"/>
          <w:numId w:val="22"/>
        </w:numPr>
        <w:pStyle w:val="Para 105"/>
      </w:pPr>
      <w:r>
        <w:rPr>
          <w:rStyle w:val="Text0"/>
        </w:rPr>
        <w:t>Việc đánh giá liệu các kỳ vọng có được đáp ứng hay không thật</w:t>
      </w:r>
      <w:r>
        <w:t xml:space="preserve"> dễ dàng. Sự rõ ràng về những gì cần thay đổi để chuyển từ Bộ Hồ sơ Lãnh đạo</w:t>
        <w:bookmarkStart w:id="782" w:name="page12_37"/>
        <w:t> </w:t>
        <w:bookmarkEnd w:id="782"/>
        <w:t xml:space="preserve">hiện tại (as-is) sang Bộ Hồ sơ Lãnh đạo mục tiêu (to-be) giúp việc theo dõi tiến độ trở nên đơn giản. Các cuộc họp đánh giá hàng tháng giữa lãnh đạo và nhân viên trực tiếp giúp tổ chức kiểm tra xem mình có đang tiến bộ hay không. Chúng tôi nhận thấy rằng những cuộc họp đó giữ cho các lãnh đạo trung thực, thúc đẩy họ tiếp tục thay đổi, đồng thời tạo dựng niềm tin vào quy trình và sự chân thành của các lãnh đạo. Bằng cách thu thập phản hồi từ các cuộc họp đó, ban lãnh đạo cấp cao có thể đánh giá mức độ nhanh chóng mà các lãnh đạo chuyển dịch từ Bộ Hồ sơ hiện tại sang Bộ Hồ sơ mục tiêu, điều này trở thành yếu tố đầu vào quan trọng trong đánh giá hiệu quả công việc hằng năm. Đây là điều mọi người nói: “Với bảng mô tả</w:t>
        <w:bookmarkStart w:id="783" w:name="page12_38"/>
        <w:t> </w:t>
        <w:bookmarkEnd w:id="783"/>
        <w:t xml:space="preserve">trực quan một trang về Bộ Hồ sơ Lãnh đạo cũ và mới, chúng tôi có thể dễ dàng theo dõi tiến trình chuyển từ cũ sang mới. Trong đó, ai cũng có thể thấy rõ chính xác chúng ta đang ở đâu trong việc thu hẹp khoảng cách.”</w:t>
      </w:r>
    </w:p>
    <w:p>
      <w:pPr>
        <w:pStyle w:val="Normal"/>
      </w:pPr>
      <w:r>
        <w:t xml:space="preserve">Về bản chất, món quà mà quy trình công bằng mang lại chính là sự tin tưởng và từ đó là sự hợp tác tự nguyện – một yếu tố quan trọng trong mối quan hệ lãnh đạo – nhân viên. Bất kỳ ai từng làm việc trong một tổ chức đều hiểu sự tin tưởng quan trọng như thế nào. Nếu bạn tin tưởng quy trình và những người bạn làm việc cùng, bạn sẽ sẵn sàng nỗ lực hơn nữa và cống hiến hết mình. Nếu không tin tưởng họ, bạn sẽ chỉ bám vào những điều khoản trong hợp đồng ràng buộc bạn với tổ chức, dồn sức lực để bảo vệ vị trí, tranh giành quyền lực hơn</w:t>
        <w:bookmarkStart w:id="784" w:name="page12_39"/>
        <w:t> </w:t>
        <w:bookmarkEnd w:id="784"/>
        <w:t>là chinh phục khách hàng và tạo ra giá trị. Không những khả năng của bạn bị lãng phí mà chúng còn thường xuyên chống lại hiệu quả hoạt động của tổ chức.</w:t>
      </w:r>
    </w:p>
    <w:p>
      <w:bookmarkStart w:id="785" w:name="BECOMING_A_BLUE_OCEAN_LEADER"/>
      <w:pPr>
        <w:pStyle w:val="Para 037"/>
      </w:pPr>
      <w:r>
        <w:t>TRỞ THÀNH NHÀ LÃNH ĐẠO ĐẠI DƯƠNG XANH</w:t>
      </w:r>
      <w:bookmarkEnd w:id="785"/>
    </w:p>
    <w:p>
      <w:pPr>
        <w:pStyle w:val="Normal"/>
      </w:pPr>
      <w:r>
        <w:t>Chúng tôi không bao giờ hết ngạc nhiên trước tài năng và năng lượng mà chúng tôi thấy trong các tổ chức mình nghiên cứu. Đáng buồn thay, chúng tôi cũng ngạc nhiên không kém khi thấy phần lớn tài năng và năng lượng đó bị lãng phí bởi sự lãnh đạo kém. Lãnh đạo đại dương xanh có thể giúp chấm dứt tình trạng đó.</w:t>
      </w:r>
    </w:p>
    <w:p>
      <w:pPr>
        <w:pStyle w:val="Normal"/>
      </w:pPr>
      <w:r>
        <w:t xml:space="preserve">Những Bảng mô tả Lãnh đạo (Leadership Canvases) mang đến cho mọi người một khuôn khổ trực quan, cụ thể để họ có thể nêu ra và thảo luận về những cải tiến mà các nhà lãnh đạo cần thực</w:t>
        <w:bookmarkStart w:id="786" w:name="page12_40"/>
        <w:t> h</w:t>
        <w:bookmarkEnd w:id="786"/>
        <w:t>iện. Sự công bằng của quy trình khiến việc triển khai và theo dõi những thay đổi đó dễ dàng hơn nhiều so với các phương pháp chỉ đạo từ trên xuống truyền thống. Hơn nữa, lãnh đạo đại dương xanh đạt được sự chuyển đổi với ít thời gian và công sức hơn, vì các nhà lãnh đạo không cố gắng thay đổi con người họ hay phá bỏ những thói quen cả đời. Họ chỉ đơn giản thay đổi các nhiệm vụ họ thực hiện. Tốt hơn nữa, một trong những điểm mạnh của lãnh đạo đại dương xanh là khả năng mở rộng. Bạn không cần phải chờ lãnh đạo cấp cao của công ty khởi xướng quy trình này. Dù bạn ở cấp quản lý nào, bạn cũng có thể đánh thức tiềm năng ngủ quên của nhân viên bằng cách dẫn dắt họ qua bốn bước.</w:t>
      </w:r>
    </w:p>
    <w:p>
      <w:pPr>
        <w:pStyle w:val="Normal"/>
      </w:pPr>
      <w:r>
        <w:t>Bạn đã sẵn sàng trở thành một nhà lãnh đạo đại dương xanh chưa?</w:t>
      </w:r>
    </w:p>
    <w:p>
      <w:bookmarkStart w:id="787" w:name="TABLE_1"/>
      <w:pPr>
        <w:pStyle w:val="Para 222"/>
        <w:keepLines w:val="on"/>
      </w:pPr>
      <w:r>
        <w:bookmarkStart w:id="788" w:name="page12_41"/>
        <w:t/>
        <w:bookmarkEnd w:id="788"/>
        <w:t>BẢNG 1</w:t>
      </w:r>
      <w:bookmarkEnd w:id="787"/>
    </w:p>
    <w:p>
      <w:pPr>
        <w:pStyle w:val="Para 223"/>
        <w:keepLines w:val="on"/>
      </w:pPr>
      <w:r>
        <w:t>Bảng Lãnh đạo Đại dương Xanh</w:t>
      </w:r>
    </w:p>
    <w:p>
      <w:pPr>
        <w:pStyle w:val="Para 224"/>
        <w:keepLines w:val="on"/>
      </w:pPr>
      <w:r>
        <w:t>Bảng Lãnh đạo Đại dương Xanh là một công cụ phân tích thách thức mọi người suy nghĩ về những hành vi và hoạt động mà các nhà lãnh đạo nên làm ít đi vì chúng kìm hãm mọi người, và những hành vi mà nhà lãnh đạo nên làm nhiều hơn vì chúng truyền cảm hứng để mọi người cống hiến hết mình. Các hoạt động hiện tại từ hồ sơ 'hiện trạng' (as-is) của nhà lãnh đạo (có thể tạo ra giá trị hoặc không), cùng với các hoạt động mới mà nhân viên tin rằng sẽ tạo ra nhiều giá trị nếu nhà lãnh đạo bắt đầu thực hiện, được xếp vào bốn loại trong bảng. Sau đó, các tổ chức sử dụng bảng này để phát triển các hồ sơ mới về lãnh đạo hiệu quả.</w:t>
      </w:r>
    </w:p>
    <w:tbl>
      <w:tblPr>
        <w:tblW w:type="pct" w:w="5000"/>
      </w:tblPr>
      <w:tr>
        <w:tc>
          <w:tcPr>
            <w:tcW w:type="auto" w:w="0"/>
            <w:tcBorders>
              <w:left w:val="single" w:sz="2" w:color="auto"/>
              <w:top w:val="single" w:sz="2" w:color="auto"/>
              <w:right w:val="single" w:sz="2" w:color="auto"/>
              <w:bottom w:val="single" w:sz="2" w:color="auto"/>
            </w:tcBorders>
            <w:tcMar>
              <w:left w:type="dxa" w:w="320"/>
              <w:top w:type="dxa" w:w="160"/>
            </w:tcMar>
            <w:vAlign w:val="center"/>
          </w:tcPr>
          <w:p>
            <w:pPr>
              <w:pStyle w:val="Para 106"/>
              <w:keepLines w:val="on"/>
            </w:pPr>
            <w:r>
              <w:t xml:space="preserve">Loại bỏ</w:t>
              <w:br w:clear="none"/>
            </w:r>
          </w:p>
          <w:p>
            <w:pPr>
              <w:pStyle w:val="Para 107"/>
              <w:keepLines w:val="on"/>
            </w:pPr>
            <w:r>
              <w:t xml:space="preserve">Những hành vi và hoạt động nào mà nhà lãnh đạo đầu tư thời gian và trí tuệ vào nhưng cần được loại bỏ?</w:t>
              <w:br w:clear="none"/>
            </w:r>
          </w:p>
        </w:tc>
        <w:tc>
          <w:tcPr>
            <w:tcW w:type="auto" w:w="0"/>
            <w:tcBorders>
              <w:left w:val="single" w:sz="2" w:color="auto"/>
              <w:top w:val="single" w:sz="2" w:color="auto"/>
              <w:right w:val="single" w:sz="2" w:color="auto"/>
              <w:bottom w:val="single" w:sz="2" w:color="auto"/>
            </w:tcBorders>
            <w:tcMar>
              <w:left w:type="dxa" w:w="320"/>
              <w:top w:type="dxa" w:w="160"/>
            </w:tcMar>
            <w:vAlign w:val="center"/>
          </w:tcPr>
          <w:p>
            <w:pPr>
              <w:pStyle w:val="Para 106"/>
              <w:keepLines w:val="on"/>
            </w:pPr>
            <w:r>
              <w:t xml:space="preserve">Giảm bớt</w:t>
              <w:br w:clear="none"/>
            </w:r>
          </w:p>
          <w:p>
            <w:pPr>
              <w:pStyle w:val="Para 107"/>
              <w:keepLines w:val="on"/>
            </w:pPr>
            <w:r>
              <w:t xml:space="preserve">Những hành vi và hoạt động nào mà nhà lãnh đạo đầu tư thời gian và trí tuệ vào cần được giảm xuống thấp hơn nhiều so với mức hiện tại?</w:t>
              <w:br w:clear="none"/>
            </w:r>
          </w:p>
        </w:tc>
        <w:tc>
          <w:tcPr>
            <w:tcW w:type="auto" w:w="0"/>
            <w:tcBorders>
              <w:left w:val="single" w:sz="2" w:color="auto"/>
              <w:top w:val="single" w:sz="2" w:color="auto"/>
              <w:right w:val="single" w:sz="2" w:color="auto"/>
              <w:bottom w:val="single" w:sz="2" w:color="auto"/>
            </w:tcBorders>
            <w:tcMar>
              <w:left w:type="dxa" w:w="320"/>
              <w:top w:type="dxa" w:w="160"/>
            </w:tcMar>
            <w:vAlign w:val="center"/>
          </w:tcPr>
          <w:p>
            <w:pPr>
              <w:pStyle w:val="Para 106"/>
              <w:keepLines w:val="on"/>
            </w:pPr>
            <w:r>
              <w:t xml:space="preserve">Nâng cao</w:t>
              <w:br w:clear="none"/>
            </w:r>
          </w:p>
          <w:p>
            <w:pPr>
              <w:pStyle w:val="Para 107"/>
              <w:keepLines w:val="on"/>
            </w:pPr>
            <w:r>
              <w:t xml:space="preserve">Những hành vi và hoạt động nào mà nhà lãnh đạo đầu tư thời gian và trí tuệ vào cần được nâng lên cao hơn nhiều so với mức hiện tại?</w:t>
              <w:br w:clear="none"/>
            </w:r>
          </w:p>
        </w:tc>
        <w:tc>
          <w:tcPr>
            <w:tcW w:type="auto" w:w="0"/>
            <w:tcBorders>
              <w:left w:val="single" w:sz="2" w:color="auto"/>
              <w:top w:val="single" w:sz="2" w:color="auto"/>
              <w:right w:val="single" w:sz="2" w:color="auto"/>
              <w:bottom w:val="single" w:sz="2" w:color="auto"/>
            </w:tcBorders>
            <w:tcMar>
              <w:left w:type="dxa" w:w="320"/>
              <w:top w:type="dxa" w:w="160"/>
            </w:tcMar>
            <w:vAlign w:val="center"/>
          </w:tcPr>
          <w:p>
            <w:pPr>
              <w:pStyle w:val="Para 106"/>
              <w:keepLines w:val="on"/>
            </w:pPr>
            <w:r>
              <w:t xml:space="preserve">Tạo mới</w:t>
              <w:br w:clear="none"/>
            </w:r>
          </w:p>
          <w:p>
            <w:pPr>
              <w:pStyle w:val="Para 107"/>
              <w:keepLines w:val="on"/>
            </w:pPr>
            <w:r>
              <w:t xml:space="preserve">Những hành vi và hoạt động nào mà nhà lãnh đạo nên đầu tư thời gian và trí tuệ vào nhưng hiện tại họ chưa thực hiện?</w:t>
              <w:br w:clear="none"/>
            </w:r>
          </w:p>
        </w:tc>
      </w:tr>
    </w:tbl>
    <w:p>
      <w:pPr>
        <w:pStyle w:val="Para 247"/>
      </w:pPr>
      <w:r>
        <w:t/>
      </w:r>
    </w:p>
    <w:p>
      <w:bookmarkStart w:id="789" w:name="What_middle_managers_actually_do"/>
      <w:pPr>
        <w:pStyle w:val="Para 108"/>
        <w:keepLines w:val="on"/>
      </w:pPr>
      <w:r>
        <w:rPr>
          <w:rStyle w:val="Text9"/>
        </w:rPr>
        <w:bookmarkStart w:id="790" w:name="page12_42"/>
        <w:t/>
        <w:bookmarkEnd w:id="790"/>
      </w:r>
      <w:r>
        <w:t>Các nhà quản lý cấp trung thực sự làm gì</w:t>
      </w:r>
      <w:bookmarkEnd w:id="789"/>
    </w:p>
    <w:p>
      <w:pPr>
        <w:pStyle w:val="Para 225"/>
        <w:keepLines w:val="on"/>
      </w:pPr>
      <w:r>
        <w:t>Bảng mô tả lãnh đạo hiện trạng (As-is Leadership Canvases) cho thấy các hoạt động mà nhân viên thấy nhà lãnh đạo tham gia, và mức thời gian cũng như năng lượng mà họ nghĩ nhà lãnh đạo dành cho mỗi hoạt động. Bảng bên dưới dành cho các nhà quản lý cấp trung tại công ty bán lẻ BRG cho thấy mọi người coi họ là những người thực thi quy tắc và luôn chọn lối an toàn.</w:t>
      </w:r>
    </w:p>
    <w:p>
      <w:pPr>
        <w:pStyle w:val="Para 109"/>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286000" cy="1028700"/>
            <wp:effectExtent l="0" r="0" t="0" b="0"/>
            <wp:wrapTopAndBottom/>
            <wp:docPr id="32" name="Fig1.1.jpg" descr="Fig1.1.jpg"/>
            <wp:cNvGraphicFramePr>
              <a:graphicFrameLocks noChangeAspect="1"/>
            </wp:cNvGraphicFramePr>
            <a:graphic>
              <a:graphicData uri="http://schemas.openxmlformats.org/drawingml/2006/picture">
                <pic:pic>
                  <pic:nvPicPr>
                    <pic:cNvPr id="0" name="Fig1.1.jpg" descr="Fig1.1.jpg"/>
                    <pic:cNvPicPr/>
                  </pic:nvPicPr>
                  <pic:blipFill>
                    <a:blip r:embed="rId21"/>
                    <a:stretch>
                      <a:fillRect/>
                    </a:stretch>
                  </pic:blipFill>
                  <pic:spPr>
                    <a:xfrm>
                      <a:off x="0" y="0"/>
                      <a:ext cx="2286000" cy="1028700"/>
                    </a:xfrm>
                    <a:prstGeom prst="rect">
                      <a:avLst/>
                    </a:prstGeom>
                  </pic:spPr>
                </pic:pic>
              </a:graphicData>
            </a:graphic>
          </wp:anchor>
        </w:drawing>
      </w:r>
    </w:p>
    <w:p>
      <w:bookmarkStart w:id="791" w:name="To_be_Leadership_Canvas"/>
      <w:pPr>
        <w:pStyle w:val="Para 108"/>
        <w:keepLines w:val="on"/>
      </w:pPr>
      <w:r>
        <w:rPr>
          <w:rStyle w:val="Text9"/>
        </w:rPr>
        <w:bookmarkStart w:id="792" w:name="page12_43"/>
        <w:t/>
        <w:bookmarkEnd w:id="792"/>
      </w:r>
      <w:r>
        <w:t>Bảng mô tả lãnh đạo mục tiêu (To-be Leadership Canvas)</w:t>
      </w:r>
      <w:bookmarkEnd w:id="791"/>
    </w:p>
    <w:p>
      <w:pPr>
        <w:pStyle w:val="Para 124"/>
        <w:keepLines w:val="on"/>
      </w:pPr>
      <w:r>
        <w:t>Quản lý tuyến đầu: Phục vụ khách hàng, không phải sếp</w:t>
      </w:r>
    </w:p>
    <w:p>
      <w:pPr>
        <w:pStyle w:val="Para 009"/>
        <w:keepLines w:val="on"/>
      </w:pPr>
      <w:r>
        <w:t>Hoạt động hiện tại của các nhà lãnh đạo tuyến đầu tại BRG so với các hoạt động nhân viên cho rằng họ nên làm:</w:t>
      </w:r>
    </w:p>
    <w:p>
      <w:pPr>
        <w:pStyle w:val="Para 109"/>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286000" cy="1028700"/>
            <wp:effectExtent l="0" r="0" t="0" b="0"/>
            <wp:wrapTopAndBottom/>
            <wp:docPr id="33" name="Fig1.2.jpg" descr="Fig1.2.jpg"/>
            <wp:cNvGraphicFramePr>
              <a:graphicFrameLocks noChangeAspect="1"/>
            </wp:cNvGraphicFramePr>
            <a:graphic>
              <a:graphicData uri="http://schemas.openxmlformats.org/drawingml/2006/picture">
                <pic:pic>
                  <pic:nvPicPr>
                    <pic:cNvPr id="0" name="Fig1.2.jpg" descr="Fig1.2.jpg"/>
                    <pic:cNvPicPr/>
                  </pic:nvPicPr>
                  <pic:blipFill>
                    <a:blip r:embed="rId22"/>
                    <a:stretch>
                      <a:fillRect/>
                    </a:stretch>
                  </pic:blipFill>
                  <pic:spPr>
                    <a:xfrm>
                      <a:off x="0" y="0"/>
                      <a:ext cx="2286000" cy="1028700"/>
                    </a:xfrm>
                    <a:prstGeom prst="rect">
                      <a:avLst/>
                    </a:prstGeom>
                  </pic:spPr>
                </pic:pic>
              </a:graphicData>
            </a:graphic>
          </wp:anchor>
        </w:drawing>
      </w:r>
    </w:p>
    <w:p>
      <w:bookmarkStart w:id="793" w:name="To_be_Leadership_Canvas_1"/>
      <w:pPr>
        <w:pStyle w:val="Para 108"/>
        <w:keepLines w:val="on"/>
      </w:pPr>
      <w:r>
        <w:rPr>
          <w:rStyle w:val="Text9"/>
        </w:rPr>
        <w:bookmarkStart w:id="794" w:name="page12_44"/>
        <w:t/>
        <w:bookmarkEnd w:id="794"/>
      </w:r>
      <w:r>
        <w:t>Bảng mô tả lãnh đạo mục tiêu</w:t>
      </w:r>
      <w:bookmarkEnd w:id="793"/>
    </w:p>
    <w:p>
      <w:pPr>
        <w:pStyle w:val="Para 124"/>
        <w:keepLines w:val="on"/>
      </w:pPr>
      <w:r>
        <w:t>Quản lý cấp trung: Tăng cường huấn luyện, giảm kiểm soát</w:t>
      </w:r>
    </w:p>
    <w:p>
      <w:pPr>
        <w:pStyle w:val="Para 009"/>
        <w:keepLines w:val="on"/>
      </w:pPr>
      <w:r>
        <w:t>Hoạt động hiện tại của các nhà lãnh đạo cấp trung tại BRG so với các hoạt động nhân viên cho rằng họ nên làm:</w:t>
      </w:r>
    </w:p>
    <w:p>
      <w:pPr>
        <w:pStyle w:val="Para 109"/>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2286000" cy="1028700"/>
            <wp:effectExtent l="0" r="0" t="0" b="0"/>
            <wp:wrapTopAndBottom/>
            <wp:docPr id="34" name="Fig1.3.jpg" descr="Fig1.3.jpg"/>
            <wp:cNvGraphicFramePr>
              <a:graphicFrameLocks noChangeAspect="1"/>
            </wp:cNvGraphicFramePr>
            <a:graphic>
              <a:graphicData uri="http://schemas.openxmlformats.org/drawingml/2006/picture">
                <pic:pic>
                  <pic:nvPicPr>
                    <pic:cNvPr id="0" name="Fig1.3.jpg" descr="Fig1.3.jpg"/>
                    <pic:cNvPicPr/>
                  </pic:nvPicPr>
                  <pic:blipFill>
                    <a:blip r:embed="rId23"/>
                    <a:stretch>
                      <a:fillRect/>
                    </a:stretch>
                  </pic:blipFill>
                  <pic:spPr>
                    <a:xfrm>
                      <a:off x="0" y="0"/>
                      <a:ext cx="2286000" cy="1028700"/>
                    </a:xfrm>
                    <a:prstGeom prst="rect">
                      <a:avLst/>
                    </a:prstGeom>
                  </pic:spPr>
                </pic:pic>
              </a:graphicData>
            </a:graphic>
          </wp:anchor>
        </w:drawing>
      </w:r>
    </w:p>
    <w:p>
      <w:bookmarkStart w:id="795" w:name="To_be_Leadership_Canvas_2"/>
      <w:pPr>
        <w:pStyle w:val="Para 108"/>
        <w:keepLines w:val="on"/>
      </w:pPr>
      <w:r>
        <w:rPr>
          <w:rStyle w:val="Text9"/>
        </w:rPr>
        <w:bookmarkStart w:id="796" w:name="page12_45"/>
        <w:t/>
        <w:bookmarkEnd w:id="796"/>
      </w:r>
      <w:r>
        <w:t>Bảng mô tả lãnh đạo mục tiêu</w:t>
      </w:r>
      <w:bookmarkEnd w:id="795"/>
    </w:p>
    <w:p>
      <w:pPr>
        <w:pStyle w:val="Para 124"/>
        <w:keepLines w:val="on"/>
      </w:pPr>
      <w:r>
        <w:t>Quản lý cấp cao: Từ công việc hàng ngày đến bức tranh tổng thể</w:t>
      </w:r>
    </w:p>
    <w:p>
      <w:pPr>
        <w:pStyle w:val="Para 009"/>
        <w:keepLines w:val="on"/>
      </w:pPr>
      <w:r>
        <w:t>Hoạt động hiện tại của các nhà lãnh đạo cấp cao tại BRG so với các hoạt động nhân viên cho rằng họ nên làm:</w:t>
      </w:r>
    </w:p>
    <w:p>
      <w:pPr>
        <w:pStyle w:val="Para 109"/>
        <w:keepLines w:val="on"/>
      </w:pPr>
      <w:r>
        <w:drawing>
          <wp:inline>
            <wp:extent cx="2286000" cy="1028700"/>
            <wp:effectExtent l="0" r="0" t="0" b="0"/>
            <wp:docPr id="35" name="Fig1.4.jpg" descr="Fig1.4.jpg"/>
            <wp:cNvGraphicFramePr>
              <a:graphicFrameLocks noChangeAspect="1"/>
            </wp:cNvGraphicFramePr>
            <a:graphic>
              <a:graphicData uri="http://schemas.openxmlformats.org/drawingml/2006/picture">
                <pic:pic>
                  <pic:nvPicPr>
                    <pic:cNvPr id="0" name="Fig1.4.jpg" descr="Fig1.4.jpg"/>
                    <pic:cNvPicPr/>
                  </pic:nvPicPr>
                  <pic:blipFill>
                    <a:blip r:embed="rId24"/>
                    <a:stretch>
                      <a:fillRect/>
                    </a:stretch>
                  </pic:blipFill>
                  <pic:spPr>
                    <a:xfrm>
                      <a:off x="0" y="0"/>
                      <a:ext cx="2286000" cy="1028700"/>
                    </a:xfrm>
                    <a:prstGeom prst="rect">
                      <a:avLst/>
                    </a:prstGeom>
                  </pic:spPr>
                </pic:pic>
              </a:graphicData>
            </a:graphic>
          </wp:inline>
        </w:drawing>
      </w:r>
      <w:r>
        <w:rPr>
          <w:lang w:bidi="en" w:val="en" w:eastAsia="en"/>
        </w:rPr>
        <w:bookmarkStart w:id="797" w:name="page12_46"/>
        <w:t/>
        <w:bookmarkEnd w:id="797"/>
      </w:r>
    </w:p>
    <w:p>
      <w:bookmarkStart w:id="798" w:name="Top_of_12_06_About_the_author_xh"/>
      <w:bookmarkStart w:id="799" w:name="ABOUT_THE_AUTHORS_W__Chan_Kim_an"/>
      <w:pPr>
        <w:pStyle w:val="Para 053"/>
        <w:pageBreakBefore w:val="on"/>
      </w:pPr>
      <w:r>
        <w:bookmarkStart w:id="800" w:name="page12_47"/>
        <w:t/>
        <w:bookmarkEnd w:id="800"/>
        <w:t>VỀ CÁC TÁC GIẢ</w:t>
      </w:r>
      <w:bookmarkEnd w:id="798"/>
      <w:bookmarkEnd w:id="799"/>
    </w:p>
    <w:p>
      <w:pPr>
        <w:pStyle w:val="Normal"/>
      </w:pPr>
      <w:r>
        <w:rPr>
          <w:rStyle w:val="Text0"/>
        </w:rPr>
        <w:t>W. Chan Kim</w:t>
      </w:r>
      <w:r>
        <w:t xml:space="preserve"> và</w:t>
      </w:r>
      <w:r>
        <w:rPr>
          <w:rStyle w:val="Text0"/>
        </w:rPr>
        <w:t> Renée Mauborgne</w:t>
      </w:r>
      <w:r>
        <w:t xml:space="preserve"> là giáo sư tại INSEAD, trường kinh doanh lớn thứ hai thế giới, đồng thời là đồng giám đốc của Viện Chiến lược Đại dương Xanh INSEAD. Họ là tác giả của cuốn sách</w:t>
      </w:r>
      <w:r>
        <w:rPr>
          <w:rStyle w:val="Text0"/>
        </w:rPr>
        <w:t> Chiến lược Đại dương</w:t>
      </w:r>
      <w:r>
        <w:t xml:space="preserve"> Xanh (Blue Ocean Strategy), được công nhận là một trong những cuốn sách chiến lược mang tính biểu tượng và có ảnh hưởng nhất từng được viết. Lý thuyết chiến lược đại dương xanh đã được các công ty, chính phủ và các tổ chức phi lợi nhuận trên toàn cầu đón</w:t>
        <w:bookmarkStart w:id="801" w:name="page12_48"/>
        <w:t> </w:t>
        <w:bookmarkEnd w:id="801"/>
        <w:t xml:space="preserve">nhận tích cực và hiện đang được giảng dạy tại hơn 1.800</w:t>
      </w:r>
      <w:r>
        <w:rPr>
          <w:rStyle w:val="Text0"/>
        </w:rPr>
        <w:t> trường đại học</w:t>
      </w:r>
      <w:r>
        <w:t xml:space="preserve"> trên thế giới. Chiến lược Đại dương Xanh là cuốn sách bán chạy nhất trên năm châu lục, với hơn 3,6 triệu bản được bán ra và được xuất bản bằng 44 thứ tiếng, phá kỷ lục. Kim và Mauborgne được xếp hạng trong top 3 của danh sách Thinkers50 toàn cầu về các nhà tư tưởng quản lý hàng đầu và được MBA Rankings vinh danh là một trong năm giáo sư trường kinh doanh giỏi nhất thế giới. Họ đã nhận được nhiều giải thưởng học thuật và quản lý trên toàn cầu, bao gồm Giải Nobels Colloquia về Lãnh đạo trong Tư duy Kinh doanh và Kinh tế, Giải Carl S. Sloane của Hiệp hội các Công ty Tư vấn Quản lý, Đại sảnh Danh vọng Lãnh đạo của</w:t>
      </w:r>
      <w:r>
        <w:rPr>
          <w:rStyle w:val="Text0"/>
        </w:rPr>
        <w:t> tạp chí Fast</w:t>
      </w:r>
      <w:r>
        <w:t xml:space="preserve"> Company, và Giải</w:t>
        <w:bookmarkStart w:id="802" w:name="page12_49"/>
        <w:t> E</w:t>
        <w:bookmarkEnd w:id="802"/>
        <w:t>ldridge Haynes của Học viện Kinh doanh Quốc tế, cùng nhiều giải thưởng khác. Kim và Mauborgne là Thành viên của Diễn đàn Kinh tế Thế giới tại Davos. Mauborgne là thành viên của Hội đồng Cố vấn của Tổng thống Barack Obama về các Trường Cao đẳng và Đại học dành cho Người Mỹ gốc Phi (HBCUs). Kim là thành viên cố vấn cho Liên minh Châu Âu và là cố vấn cho một số quốc</w:t>
        <w:bookmarkStart w:id="803" w:name="page12_50"/>
        <w:t> gia.</w:t>
        <w:bookmarkEnd w:id="803"/>
      </w:r>
    </w:p>
    <w:p>
      <w:bookmarkStart w:id="804" w:name="Top_of_12_07_Author_xhtml"/>
      <w:bookmarkStart w:id="805" w:name="ALSO_BY_THESE_AUTHORS_Harvard_Bu"/>
      <w:pPr>
        <w:pStyle w:val="Para 053"/>
        <w:pageBreakBefore w:val="on"/>
      </w:pPr>
      <w:r>
        <w:bookmarkStart w:id="806" w:name="page12_51"/>
        <w:t/>
        <w:bookmarkEnd w:id="806"/>
        <w:t>CŨNG CỦA CÁC TÁC GIẢ NÀY</w:t>
      </w:r>
      <w:bookmarkEnd w:id="804"/>
      <w:bookmarkEnd w:id="805"/>
    </w:p>
    <w:p>
      <w:pPr>
        <w:pStyle w:val="Para 137"/>
      </w:pPr>
      <w:r>
        <w:t>Sách của Harvard Business Review Press</w:t>
      </w:r>
    </w:p>
    <w:p>
      <w:pPr>
        <w:pStyle w:val="Para 064"/>
      </w:pPr>
      <w:r>
        <w:t>Blue Ocean Strategy, Bản mở rộng: Cách tạo ra không gian thị trường không tranh chấp và làm cho sự cạnh tranh trở nên không còn liên quan</w:t>
      </w:r>
    </w:p>
    <w:p>
      <w:pPr>
        <w:pStyle w:val="Para 226"/>
      </w:pPr>
      <w:r>
        <w:t>Tuyển tập Chiến lược Đại dương Xanh của W. Chan Kim và Renée Mauborgne</w:t>
      </w:r>
    </w:p>
    <w:p>
      <w:pPr>
        <w:pStyle w:val="Para 138"/>
      </w:pPr>
      <w:r>
        <w:t>Các bài báo của Harvard Busi</w:t>
      </w:r>
      <w:r>
        <w:rPr>
          <w:rStyle w:val="Text0"/>
        </w:rPr>
        <w:t xml:space="preserve">ness Review</w:t>
      </w:r>
    </w:p>
    <w:p>
      <w:pPr>
        <w:pStyle w:val="Para 023"/>
      </w:pPr>
      <w:r>
        <w:t>“Chiến lược Đại dương Xanh”</w:t>
      </w:r>
    </w:p>
    <w:p>
      <w:pPr>
        <w:pStyle w:val="Para 023"/>
      </w:pPr>
      <w:r>
        <w:t>“Hoạch định tương lai của công ty bạn”</w:t>
      </w:r>
    </w:p>
    <w:p>
      <w:pPr>
        <w:pStyle w:val="Para 023"/>
      </w:pPr>
      <w:r>
        <w:bookmarkStart w:id="807" w:name="page12_52"/>
        <w:t/>
        <w:bookmarkEnd w:id="807"/>
        <w:t>“Tạo ra không gian thị trường mới”</w:t>
      </w:r>
    </w:p>
    <w:p>
      <w:pPr>
        <w:pStyle w:val="Para 023"/>
      </w:pPr>
      <w:r>
        <w:t>“Quy trình công bằng: Quản lý trong nền kinh tế tri thức”</w:t>
      </w:r>
    </w:p>
    <w:p>
      <w:pPr>
        <w:pStyle w:val="Para 023"/>
      </w:pPr>
      <w:r>
        <w:t>“Chiến lược định hình cấu trúc như thế nào”</w:t>
      </w:r>
    </w:p>
    <w:p>
      <w:pPr>
        <w:pStyle w:val="Para 023"/>
      </w:pPr>
      <w:r>
        <w:t>“Nhận biết một ý tưởng kinh doanh chiến thắng khi bạn nhìn thấy nó”</w:t>
      </w:r>
    </w:p>
    <w:p>
      <w:pPr>
        <w:pStyle w:val="Para 023"/>
      </w:pPr>
      <w:r>
        <w:t>“Bẫy đại dương đỏ”</w:t>
      </w:r>
    </w:p>
    <w:p>
      <w:pPr>
        <w:pStyle w:val="Para 023"/>
      </w:pPr>
      <w:r>
        <w:t>“Lãnh đạo điểm bùng phát”</w:t>
      </w:r>
    </w:p>
    <w:p>
      <w:pPr>
        <w:pStyle w:val="Para 023"/>
      </w:pPr>
      <w:r>
        <w:t>“Đổi mới giá trị: Logic chiến lược của tăng trưởng cao”</w:t>
      </w:r>
    </w:p>
    <w:p>
      <w:bookmarkStart w:id="808" w:name="Top_of_12_08_Article_summary_xht"/>
      <w:bookmarkStart w:id="809" w:name="Article_Summary_Idea_in_Brief_Th"/>
      <w:pPr>
        <w:pStyle w:val="Para 066"/>
        <w:pageBreakBefore w:val="on"/>
      </w:pPr>
      <w:r>
        <w:bookmarkStart w:id="810" w:name="page12_53"/>
        <w:t/>
        <w:bookmarkEnd w:id="810"/>
        <w:t>Tóm tắt bài viết</w:t>
      </w:r>
      <w:bookmarkEnd w:id="808"/>
      <w:bookmarkEnd w:id="809"/>
    </w:p>
    <w:p>
      <w:pPr>
        <w:pStyle w:val="Para 067"/>
      </w:pPr>
      <w:r>
        <w:t>Tóm tắt ý tưởng</w:t>
      </w:r>
    </w:p>
    <w:p>
      <w:pPr>
        <w:pStyle w:val="Para 125"/>
      </w:pPr>
      <w:r>
        <w:t>Vấn đề</w:t>
      </w:r>
    </w:p>
    <w:p>
      <w:pPr>
        <w:pStyle w:val="Para 126"/>
      </w:pPr>
      <w:r>
        <w:t>Theo Gallup, chỉ 30% nhân viên tích cực sử dụng tài năng và năng lượng của mình để thúc đẩy tổ chức của họ tiến lên. Năm mươi phần trăm chỉ đang ngồi đủ giờ, trong khi 20% còn lại thể hiện sự bất mãn theo những cách phản tác dụng. Gallup ước tính rằng riêng nhóm 20% đó đã khiến nền kinh tế Mỹ mất khoảng nửa nghìn tỷ đô la mỗi năm. Nguyên nhân chính khiến nhân viên thiếu gắn kết là do lãnh đạo kém, Gallup cho biết.</w:t>
      </w:r>
    </w:p>
    <w:p>
      <w:pPr>
        <w:pStyle w:val="Para 125"/>
      </w:pPr>
      <w:r>
        <w:bookmarkStart w:id="811" w:name="page12_54"/>
        <w:t/>
        <w:bookmarkEnd w:id="811"/>
        <w:t>Giải pháp</w:t>
      </w:r>
    </w:p>
    <w:p>
      <w:pPr>
        <w:pStyle w:val="Para 126"/>
      </w:pPr>
      <w:r>
        <w:t>Một cách tiếp cận mới có tên là lãnh đạo đại dương xanh (blue ocean leadership) có thể giải phóng nguồn tài năng và năng lượng chưa được khai thác trong các tổ chức. Nó bao gồm quy trình bốn bước giúp các nhà lãnh đạo hiểu rõ những thay đổi cần thiết để mang lại những gì tốt nhất ở nhân viên, đồng thời bảo toàn nguồn tài nguyên quý giá nhất của họ: thời gian. Một công cụ phân tích, Bức tranh Lãnh đạo (Leadership Canvas), cho các nhà lãnh đạo thấy những hoạt động cần loại bỏ, giảm bớt, tăng cường và tạo ra để biến nhân viên thiếu gắn kết thành những nhân viên gắn kết.</w:t>
      </w:r>
    </w:p>
    <w:p>
      <w:pPr>
        <w:pStyle w:val="Para 125"/>
      </w:pPr>
      <w:r>
        <w:t>Ví dụ điển hình</w:t>
      </w:r>
    </w:p>
    <w:p>
      <w:pPr>
        <w:pStyle w:val="Para 126"/>
      </w:pPr>
      <w:r>
        <w:t xml:space="preserve">Một tập đoàn bán lẻ của Anh đã áp dụng lãnh đạo đại dương xanh để xác định lại ý nghĩa của hiệu quả đối với các nhà lãnh đạo tuyến đầu, cấp trung và cấp cao. Tác động rất đáng kể. Ví dụ, ở tuyến đầu, tỷ lệ nhân viên nghỉ việc giảm từ khoảng 40% xuống 11% trong năm đầu tiên, giảm 50% chi phí tuyển</w:t>
        <w:bookmarkStart w:id="812" w:name="page12_55"/>
        <w:t> </w:t>
        <w:bookmarkEnd w:id="812"/>
        <w:t>dụng và đào tạo. Kể cả việc giảm vắng mặt, tập đoàn đã tiết kiệm hơn 50 triệu đô la trong năm đầu, trong khi điểm hài lòng của khách hàng tăng hơn</w:t>
        <w:bookmarkStart w:id="813" w:name="page12_56"/>
        <w:t> 30%.</w:t>
        <w:bookmarkEnd w:id="813"/>
      </w:r>
    </w:p>
    <w:p>
      <w:bookmarkStart w:id="814" w:name="a13"/>
      <w:bookmarkStart w:id="815" w:name="Top_of_13_00_Cover_xhtml"/>
      <w:bookmarkStart w:id="816" w:name="sbo_rt_content_12"/>
      <w:pPr>
        <w:pStyle w:val="Para 051"/>
        <w:pageBreakBefore w:val="on"/>
      </w:pPr>
      <w:r>
        <w:drawing>
          <wp:anchor distL="0" distR="0" distT="0" distB="0" simplePos="0" relativeHeight="1" behindDoc="0" locked="0" layoutInCell="1" allowOverlap="1">
            <wp:simplePos x="0" y="0"/>
            <wp:positionH relativeFrom="margin">
              <wp:align>left</wp:align>
            </wp:positionH>
            <wp:positionV relativeFrom="line">
              <wp:align>top</wp:align>
            </wp:positionV>
            <wp:extent cx="5372100" cy="8229600"/>
            <wp:effectExtent l="0" r="0" t="0" b="0"/>
            <wp:wrapTopAndBottom/>
            <wp:docPr id="36" name="13chap_cover.jpg" descr="cover"/>
            <wp:cNvGraphicFramePr>
              <a:graphicFrameLocks noChangeAspect="1"/>
            </wp:cNvGraphicFramePr>
            <a:graphic>
              <a:graphicData uri="http://schemas.openxmlformats.org/drawingml/2006/picture">
                <pic:pic>
                  <pic:nvPicPr>
                    <pic:cNvPr id="0" name="13chap_cover.jpg" descr="cover"/>
                    <pic:cNvPicPr/>
                  </pic:nvPicPr>
                  <pic:blipFill>
                    <a:blip r:embed="rId25"/>
                    <a:stretch>
                      <a:fillRect/>
                    </a:stretch>
                  </pic:blipFill>
                  <pic:spPr>
                    <a:xfrm>
                      <a:off x="0" y="0"/>
                      <a:ext cx="5372100" cy="8229600"/>
                    </a:xfrm>
                    <a:prstGeom prst="rect">
                      <a:avLst/>
                    </a:prstGeom>
                  </pic:spPr>
                </pic:pic>
              </a:graphicData>
            </a:graphic>
          </wp:anchor>
        </w:drawing>
      </w:r>
      <w:bookmarkEnd w:id="814"/>
      <w:bookmarkEnd w:id="815"/>
      <w:bookmarkEnd w:id="816"/>
    </w:p>
    <w:p>
      <w:bookmarkStart w:id="817" w:name="Harvard_Business_Review_CLASSICS_11"/>
      <w:bookmarkStart w:id="818" w:name="Top_of_13_02_Title_xhtml"/>
      <w:pPr>
        <w:pStyle w:val="Para 032"/>
        <w:pageBreakBefore w:val="on"/>
      </w:pPr>
      <w:r>
        <w:bookmarkStart w:id="819" w:name="page13_iii"/>
        <w:t/>
        <w:bookmarkEnd w:id="819"/>
        <w:t>Harvard Business Review</w:t>
      </w:r>
      <w:bookmarkEnd w:id="817"/>
      <w:bookmarkEnd w:id="818"/>
    </w:p>
    <w:p>
      <w:pPr>
        <w:pStyle w:val="Para 033"/>
      </w:pPr>
      <w:r>
        <w:t>CÁC TÁC PHẨM KINH ĐIỂN</w:t>
      </w:r>
    </w:p>
    <w:p>
      <w:pPr>
        <w:pStyle w:val="Para 036"/>
      </w:pPr>
      <w:r>
        <w:t>BẪY ĐẠI DƯƠNG ĐỎ</w:t>
      </w:r>
    </w:p>
    <w:p>
      <w:pPr>
        <w:pStyle w:val="Para 026"/>
      </w:pPr>
      <w:r>
        <w:t>W. Chan Kim và Renée Mauborgne</w:t>
      </w:r>
    </w:p>
    <w:p>
      <w:pPr>
        <w:pStyle w:val="Para 012"/>
      </w:pPr>
      <w:r>
        <w:t>Harvard Business Review Press</w:t>
      </w:r>
    </w:p>
    <w:p>
      <w:pPr>
        <w:pStyle w:val="Para 012"/>
      </w:pPr>
      <w:r>
        <w:t>Boston, Massachusetts</w:t>
      </w:r>
    </w:p>
    <w:p>
      <w:bookmarkStart w:id="820" w:name="Top_of_13_03_Copyright_xhtml"/>
      <w:bookmarkStart w:id="821" w:name="HBR_Press_Quantity_Sales_Discoun_7"/>
      <w:pPr>
        <w:pStyle w:val="Para 146"/>
        <w:pageBreakBefore w:val="on"/>
      </w:pPr>
      <w:r>
        <w:rPr>
          <w:rStyle w:val="Text1"/>
        </w:rPr>
        <w:bookmarkStart w:id="822" w:name="page13_iv"/>
        <w:t/>
        <w:bookmarkEnd w:id="822"/>
      </w:r>
      <w:r>
        <w:t>Chiết khấu mua số lượng từ HBR Press</w:t>
      </w:r>
      <w:bookmarkEnd w:id="820"/>
      <w:bookmarkEnd w:id="821"/>
    </w:p>
    <w:p>
      <w:pPr>
        <w:pStyle w:val="Para 092"/>
      </w:pPr>
      <w:r>
        <w:t>Các ấn phẩm của Harvard Business Review Press được chiết khấu đáng kể khi mua với số lượng lớn để làm quà tặng cho khách hàng, khuyến mãi bán hàng và quà tặng kèm. Các ấn bản đặc biệt, bao gồm sách có logo công ty, bìa tùy chỉnh và thư của công ty hoặc CEO được in ở phần đầu sách, cũng như trích đoạn từ các cuốn sách hiện có, cũng có thể được tạo với số lượng lớn cho các nhu cầu đặc biệt.</w:t>
      </w:r>
    </w:p>
    <w:p>
      <w:pPr>
        <w:pStyle w:val="Para 006"/>
      </w:pPr>
      <w:r>
        <w:t xml:space="preserve">Để biết chi tiết và thông tin giảm giá cho cả định dạng bản in và sách điện tử, hãy liên hệ</w:t>
      </w:r>
      <w:r>
        <w:rPr>
          <w:rStyle w:val="Text2"/>
        </w:rPr>
        <w:t> booksales@harvardbusiness.org, số điện</w:t>
      </w:r>
      <w:r>
        <w:t xml:space="preserve"> thoại 800-988-0886, hoặc truy</w:t>
      </w:r>
      <w:hyperlink r:id="rId32">
        <w:r>
          <w:rPr>
            <w:rStyle w:val="Text2"/>
          </w:rPr>
          <w:t> cập www.hbr.org/bulksale</w:t>
        </w:r>
      </w:hyperlink>
      <w:r>
        <w:t>s.</w:t>
      </w:r>
    </w:p>
    <w:p>
      <w:pPr>
        <w:pStyle w:val="Para 006"/>
      </w:pPr>
      <w:r>
        <w:t>Bản quyền 2017 Harvard Business School Publishing Corporation. Tác phẩm</w:t>
        <w:br w:clear="none"/>
        <w:t xml:space="preserve"> được xuất bản lần đầu trên</w:t>
      </w:r>
      <w:r>
        <w:rPr>
          <w:rStyle w:val="Text0"/>
        </w:rPr>
        <w:t> Harvard Business Review vào</w:t>
      </w:r>
      <w:r>
        <w:t xml:space="preserve"> tháng 3 năm 2015.</w:t>
        <w:br w:clear="none"/>
        <w:t> Tái bản #R1503D.</w:t>
        <w:br w:clear="none"/>
        <w:t> Mọi quyền được bảo lưu.</w:t>
      </w:r>
    </w:p>
    <w:p>
      <w:pPr>
        <w:pStyle w:val="Para 006"/>
      </w:pPr>
      <w:r>
        <w:t xml:space="preserve">Không một phần nào của ấn phẩm này được sao chép, lưu trữ hoặc đưa vào hệ thống truy xuất, hoặc truyền tải dưới bất kỳ hình thức nào, bằng bất kỳ phương tiện nào (điện tử, cơ khí, sao chụp, ghi âm, hoặc phương thức khác), mà không có sự cho phép trước của nhà xuất bản. Các yêu cầu xin phép nên được gửi đến</w:t>
      </w:r>
      <w:r>
        <w:rPr>
          <w:rStyle w:val="Text2"/>
        </w:rPr>
        <w:t> permissions@hbsp.harvard.edu,</w:t>
      </w:r>
      <w:r>
        <w:t> hoặc gửi thư đến Permissions, Harvard Business School Publishing, 60 Harvard Way, Boston, Massachusetts 02163.</w:t>
      </w:r>
    </w:p>
    <w:p>
      <w:pPr>
        <w:pStyle w:val="Para 006"/>
      </w:pPr>
      <w:r>
        <w:t>Các địa chỉ web được nhắc đến trong cuốn sách này đã hoạt động và chính xác tại thời điểm xuất bản cuốn sách nhưng có thể thay đổi.</w:t>
      </w:r>
    </w:p>
    <w:p>
      <w:pPr>
        <w:pStyle w:val="Para 006"/>
      </w:pPr>
      <w:r>
        <w:t>Dữ liệu biên mục trong xuất bản (Cataloging-in-Publication) sẽ sớm được cung cấp.</w:t>
      </w:r>
    </w:p>
    <w:p>
      <w:pPr>
        <w:pStyle w:val="Para 006"/>
      </w:pPr>
      <w:r>
        <w:t>ISBN: 978-1-63369-266-4;</w:t>
        <w:br w:clear="none"/>
        <w:t> eISBN: 978-1-63369-267-1</w:t>
      </w:r>
    </w:p>
    <w:p>
      <w:bookmarkStart w:id="823" w:name="THE_HARVARD_BUSINESS_REVIEW_CLAS_12"/>
      <w:bookmarkStart w:id="824" w:name="Top_of_13_04_series_xhtml"/>
      <w:pPr>
        <w:pStyle w:val="Para 052"/>
        <w:pageBreakBefore w:val="on"/>
      </w:pPr>
      <w:r>
        <w:bookmarkStart w:id="825" w:name="page13_v"/>
        <w:t/>
        <w:bookmarkEnd w:id="825"/>
        <w:t xml:space="preserve">THE HARVARD BUSINESS</w:t>
        <w:br w:clear="none"/>
        <w:t> REVIEW CLASSICS SERIES</w:t>
      </w:r>
      <w:bookmarkEnd w:id="823"/>
      <w:bookmarkEnd w:id="824"/>
    </w:p>
    <w:p>
      <w:pPr>
        <w:pStyle w:val="Para 048"/>
      </w:pPr>
      <w:r>
        <w:t xml:space="preserve">Kể từ năm 1922,</w:t>
      </w:r>
      <w:r>
        <w:rPr>
          <w:rStyle w:val="Text0"/>
        </w:rPr>
        <w:t> Harvard Business Review</w:t>
      </w:r>
      <w:r>
        <w:t xml:space="preserve"> đã là nguồn hàng đầu về những ý tưởng đột phá trong thực tiễn quản lý—nhiều ý tưởng trong số đó vẫn còn vang vọng và ảnh hưởng đến chúng ta ngày nay. Loạt ấn phẩm HBR Classics giờ đây mang đến cho bạn cơ hội để đưa những tác phẩm nền tảng này vào bộ sưu tập quản lý lâu dài của riêng bạn. Mỗi cuốn sách chứa đựng một ý tưởng đột phá đã định hình các thông lệ tốt nhất và truyền cảm hứng cho vô số nhà quản lý trên toàn thế giới—và sẽ thay đổi cách bạn nhìn nhận về thế giới kinh doanh ngày</w:t>
        <w:bookmarkStart w:id="826" w:name="page13_vi"/>
        <w:t> nay.</w:t>
        <w:bookmarkEnd w:id="826"/>
        <w:bookmarkStart w:id="827" w:name="page13_vii"/>
        <w:t/>
        <w:bookmarkEnd w:id="827"/>
        <w:bookmarkStart w:id="828" w:name="page13_viii"/>
        <w:t/>
        <w:bookmarkEnd w:id="828"/>
      </w:r>
    </w:p>
    <w:p>
      <w:bookmarkStart w:id="829" w:name="Top_of_13_05_chapter_xhtml"/>
      <w:bookmarkStart w:id="830" w:name="In_America__corporate_performanc"/>
      <w:pPr>
        <w:pStyle w:val="Para 147"/>
        <w:pageBreakBefore w:val="on"/>
      </w:pPr>
      <w:r>
        <w:bookmarkStart w:id="831" w:name="page13_1"/>
        <w:t>Tại</w:t>
        <w:bookmarkEnd w:id="831"/>
        <w:t xml:space="preserve"> Mỹ, hiệu quả hoạt động của các doanh nghiệp đã suy giảm trong nhiều thập kỷ. Theo nghiên cứu mang tính bước ngoặt của Deloitte mang tên “The Shift Index,” tỷ suất lợi nhuận trên tổng tài sản (return on assets) của các công ty đại chúng Mỹ đã giảm xuống dưới 1%, chỉ còn khoảng một phần tư so với mức năm 1965. Khi quyền lực thị trường dịch chuyển từ doanh nghiệp sang người tiêu dùng và cạnh tranh toàn cầu ngày càng gay gắt, các nhà quản lý trong hầu hết các ngành đều phải đối mặt với những thách</w:t>
        <w:bookmarkStart w:id="832" w:name="page13_2"/>
        <w:t> </w:t>
        <w:bookmarkEnd w:id="832"/>
        <w:t>thức lớn về hiệu quả. Để xoay chuyển tình thế, họ cần sáng tạo hơn trong việc xây dựng và thực thi các chiến lược cạnh tranh. Nhưng thành công lâu dài sẽ không đến từ riêng khả năng cạnh tranh. Ngày càng nhiều, nó sẽ phụ thuộc vào khả năng tạo ra nhu cầu mới và kiến tạo cũng như chiếm lĩnh các thị trường mới.</w:t>
      </w:r>
      <w:bookmarkEnd w:id="829"/>
      <w:bookmarkEnd w:id="830"/>
    </w:p>
    <w:p>
      <w:pPr>
        <w:pStyle w:val="Para 002"/>
      </w:pPr>
      <w:r>
        <w:t xml:space="preserve">Phần thưởng của việc tạo lập thị trường là vô cùng lớn. Chỉ cần so sánh trải nghiệm của Apple và Microsoft. Trong 15 năm qua, Apple đã thực hiện một loạt các động thái tạo lập thị trường thành công, cho ra mắt iPod, iTunes, iPhone, App Store và iPad. Từ khi ra mắt iPod vào năm 2001 cho đến hết năm tài khóa 2014, vốn hóa thị trường của Apple đã tăng vọt hơn 75 lần trong khi doanh số và lợi nhuận của họ bùng nổ. Trong cùng thời kỳ, vốn hóa thị trường</w:t>
        <w:bookmarkStart w:id="833" w:name="page13_3"/>
        <w:t> c</w:t>
        <w:bookmarkEnd w:id="833"/>
        <w:t>ủa Microsoft chỉ nhích lên vỏn vẹn 3% trong khi doanh thu của họ từ chỗ gần gấp 5 lần Apple đã giảm xuống còn khoảng một nửa so với Apple. Với gần 80% lợi nhuận đến từ hai mảng kinh doanh cũ—Windows và Office—và không có một động thái tạo lập thị trường nào đủ sức thuyết phục, Microsoft đã phải trả giá rất đắt.</w:t>
      </w:r>
    </w:p>
    <w:p>
      <w:pPr>
        <w:pStyle w:val="Para 002"/>
      </w:pPr>
      <w:r>
        <w:t>Tất nhiên, không phải các công ty không nhận ra giá trị của những không gian thị trường mới. Ngược lại, các nhà lãnh đạo của họ ngày càng cam kết tạo ra chúng và dành những khoản tiền đáng kể cho những nỗ lực này. Nhưng bất chấp điều đó, rất ít công ty dường như tìm ra được chìa khóa. Chính xác điều gì đang cản đường họ?</w:t>
      </w:r>
    </w:p>
    <w:p>
      <w:pPr>
        <w:pStyle w:val="Para 002"/>
      </w:pPr>
      <w:r>
        <w:t xml:space="preserve">Trong thập kỷ kể từ khi xuất bản ấn bản đầu tiên của cuốn sách Blue Ocean</w:t>
      </w:r>
      <w:r>
        <w:rPr>
          <w:rStyle w:val="Text0"/>
        </w:rPr>
        <w:t xml:space="preserve"> Strategy,</w:t>
        <w:bookmarkStart w:id="834" w:name="page13_4"/>
        <w:t> ch</w:t>
        <w:bookmarkEnd w:id="834"/>
        <w:t>úng tôi</w:t>
      </w:r>
      <w:r>
        <w:t> đã có nhiều cuộc trò chuyện với các nhà quản lý tham gia thực hiện các chiến lược tạo ra thị trường. Khi họ chia sẻ những thành công và thất bại với chúng tôi, chúng tôi nhận ra một yếu tố chung dường như luôn làm suy yếu nỗ lực của họ: các mô hình tinh thần (mental models)—những giả định và lý thuyết ăn sâu về cách thế giới vận hành. Mặc dù mô hình tinh thần nằm ngoài nhận thức của con người, chúng lại là yếu tố quyết định mạnh mẽ đến lựa chọn và hành vi đến mức nhiều nhà thần kinh học coi chúng gần như những thuật toán tự động quy định cách mọi người phản ứng với những thay đổi và sự kiện.</w:t>
      </w:r>
    </w:p>
    <w:p>
      <w:pPr>
        <w:pStyle w:val="Para 002"/>
      </w:pPr>
      <w:r>
        <w:t xml:space="preserve">Mô hình tinh thần có những ưu điểm riêng. Trong những thời điểm nguy hiểm, một mô hình tinh thần vững chắc có thể giúp bạn nhanh chóng đưa ra</w:t>
        <w:bookmarkStart w:id="835" w:name="page13_5"/>
        <w:t> </w:t>
        <w:bookmarkEnd w:id="835"/>
        <w:t>những quyết định quan trọng sống còn. Và chúng tôi không thấy vấn đề gì với tính hợp lý của các mô hình tinh thần mà các nhà quản lý đang áp dụng. Chúng được xây dựng dựa trên kiến thức từ giảng đường và nhiều năm kinh nghiệm kinh doanh. Chúng giúp các nhà quản lý ứng phó tốt hơn với những thách thức cạnh tranh. Nhưng những cuộc trò chuyện của chúng tôi cho thấy mô hình tinh thần mà các nhà quản lý dựa vào để điều hướng các không gian thị trường hiện tại cũng làm suy yếu khả năng tạo ra thị trường mới của họ.</w:t>
      </w:r>
    </w:p>
    <w:p>
      <w:pPr>
        <w:pStyle w:val="Para 002"/>
      </w:pPr>
      <w:r>
        <w:t xml:space="preserve">Trong quá trình nghiên cứu và thảo luận, chúng tôi đã gặp sáu giả định đặc biệt nổi bật nằm trong mô hình tinh thần của các nhà quản lý. Chúng tôi coi chúng là những cái bẫy đại dương đỏ (red ocean traps), vì chúng neo giữ các nhà quản lý trong đại dương đỏ—những</w:t>
        <w:bookmarkStart w:id="836" w:name="page13_6"/>
        <w:t> </w:t>
        <w:bookmarkEnd w:id="836"/>
        <w:t>không gian thị trường chật chội, nơi các công ty cạnh tranh khốc liệt để giành thị phần—và ngăn họ bước vào đại dương xanh (blue oceans), những không gian thị trường chưa từng được biết đến, chưa bị tranh chấp và có nhiều tiềm năng. Hai cái bẫy đầu tiên bắt nguồn từ các giả định về tiếp thị, đặc biệt là sự nhấn mạnh vào định hướng khách hàng và phân khúc ngách (niche); hai cái tiếp theo từ các bài học kinh tế về đổi mới công nghệ và sự phá hủy sáng tạo; và hai cái cuối cùng từ các nguyên tắc chiến lược cạnh tranh coi khác biệt hóa và chi phí thấp là những lựa chọn loại trừ lẫn nhau. Trong các trang sau, chúng ta sẽ xem xét từng cái bẫy một cách chi tiết và thấy cách chúng cản trở nỗ lực tạo ra thị trường của các công ty.</w:t>
      </w:r>
    </w:p>
    <w:p>
      <w:pPr>
        <w:pStyle w:val="Para 029"/>
      </w:pPr>
      <w:r>
        <w:bookmarkStart w:id="837" w:name="page13_7"/>
        <w:t>BẪY</w:t>
        <w:bookmarkEnd w:id="837"/>
        <w:t> MỘT: XEM CÁC CHIẾN LƯỢC TẠO RA THỊ TRƯỜNG LÀ CÁCH TIẾP CẬN ĐỊNH HƯỚNG KHÁCH HÀNG</w:t>
      </w:r>
    </w:p>
    <w:p>
      <w:pPr>
        <w:pStyle w:val="Para 002"/>
      </w:pPr>
      <w:r>
        <w:t>Tạo ra nhu cầu mới là trọng tâm của các chiến lược tạo ra thị trường. Điều này phụ thuộc vào việc biến những người chưa từng là khách hàng (noncustomers) thành khách hàng, như Salesforce.com đã làm với phần mềm CRM theo yêu cầu (on-demand CRM software) của họ, mở ra một không gian thị trường mới bằng cách chinh phục các doanh nghiệp nhỏ và vừa trước đây đã từ chối phần mềm CRM cấp doanh nghiệp.</w:t>
      </w:r>
    </w:p>
    <w:p>
      <w:pPr>
        <w:pStyle w:val="Para 002"/>
      </w:pPr>
      <w:r>
        <w:t xml:space="preserve">Vấn đề là các nhà quản lý, đặc biệt là những người làm marketing, đã được dạy một cách khá hợp lý rằng khách hàng là thượng đế. Do đó, họ rất dễ cho rằng các chiến lược tạo lập thị trường là do khách hàng</w:t>
        <w:bookmarkStart w:id="838" w:name="page13_8"/>
        <w:t> </w:t>
        <w:bookmarkEnd w:id="838"/>
        <w:t>dẫn dắt, điều này khiến họ theo phản xạ bám chặt vào việc tập trung vào khách hàng hiện tại và làm thế nào để khiến họ hài lòng hơn.</w:t>
      </w:r>
    </w:p>
    <w:p>
      <w:pPr>
        <w:pStyle w:val="Para 002"/>
      </w:pPr>
      <w:r>
        <w:t>Tuy nhiên, cách tiếp cận này khó có thể tạo ra thị trường mới. Để làm được điều đó, một tổ chức cần chuyển trọng tâm sang những người không phải là khách hàng (noncustomers) và lý do vì sao họ từ chối chi tiêu cho sản phẩm/dịch vụ của ngành. Chính những người không phải là khách hàng, chứ không phải khách hàng hiện tại, mới có cái nhìn sâu sắc nhất về những điểm gây khó khăn và e ngại đang giới hạn ranh giới của một ngành. Ngược lại, việc tập trung vào khách hàng hiện tại có xu hướng khiến các tổ chức đưa ra các giải pháp tốt hơn cho họ so với những gì đối thủ cạnh tranh đang có – nhưng lại giữ chân các công ty trong đại dương đỏ (red oceans).</w:t>
      </w:r>
    </w:p>
    <w:p>
      <w:pPr>
        <w:pStyle w:val="Para 002"/>
      </w:pPr>
      <w:r>
        <w:bookmarkStart w:id="839" w:name="page13_9"/>
        <w:t>Hãy</w:t>
        <w:bookmarkEnd w:id="839"/>
        <w:t xml:space="preserve"> xem xét việc Sony ra mắt Hệ thống đọc sách di động (Portable Reader System - PRS) vào năm 2006. Mục tiêu của công ty là mở ra một không gian thị trường mới trong lĩnh vực sách bằng cách mở rộng thị trường máy đọc sách điện tử (e-reader) tới một lượng lớn khách hàng. Để tìm ra cách hiện thực hóa mục tiêu đó, họ đã nhìn vào trải nghiệm của những khách hàng hiện đang dùng máy đọc sách điện tử, những người không hài lòng với kích thước và chất lượng hiển thị kém của các sản phẩm hiện tại. Phản ứng của Sony là tạo ra một thiết bị mỏng, nhẹ với màn hình dễ đọc. Dù được giới truyền thông ca ngợi và làm khách hàng hài lòng hơn, PRS vẫn thất bại trước Kindle của Amazon vì nó không thu hút được số đông những người không phải là khách hàng – lý do chính khiến họ từ chối máy đọc sách điện tử là do thiếu những cuốn sách đáng đọc, chứ không phải kích thước</w:t>
        <w:bookmarkStart w:id="840" w:name="page13_10"/>
        <w:t> </w:t>
        <w:bookmarkEnd w:id="840"/>
        <w:t>và màn hình của thiết bị. Nếu không có sự lựa chọn phong phú về đầu sách và một cách dễ dàng để tải chúng xuống, những người không phải là khách hàng sẽ vẫn gắn bó với sách giấy.</w:t>
      </w:r>
    </w:p>
    <w:p>
      <w:pPr>
        <w:pStyle w:val="Para 002"/>
      </w:pPr>
      <w:r>
        <w:t>Amazon đã hiểu được điều này khi ra mắt Kindle vào năm 2007, cung cấp số lượng đầu sách điện tử gấp hơn bốn lần so với PRS và giúp chúng dễ dàng tải xuống qua Wi-Fi. Chỉ trong vòng sáu giờ sau khi phát hành, Kindle đã bán hết sạch, khi khách hàng mua sách giấy nhanh chóng trở thành khách hàng mua sách điện tử. Dù Sony sau đó đã rút lui khỏi lĩnh vực máy đọc sách điện tử, Kindle đã giúp ngành công nghiệp này tăng trưởng từ chỉ khoảng 2% tổng số người mua sách vào năm 2008 lên 28% vào năm 2014. Hiện nay Kindle cung cấp hơn 2,5 triệu đầu sách điện tử.</w:t>
      </w:r>
    </w:p>
    <w:p>
      <w:pPr>
        <w:pStyle w:val="Para 029"/>
      </w:pPr>
      <w:r>
        <w:bookmarkStart w:id="841" w:name="page13_11"/>
        <w:t>BẪY</w:t>
        <w:bookmarkEnd w:id="841"/>
        <w:t> THỨ HAI: COI CÁC CHIẾN LƯỢC TẠO LẬP THỊ TRƯỜNG LÀ CÁC CHIẾN LƯỢC NGÁCH (NICHE STRATEGIES)</w:t>
      </w:r>
    </w:p>
    <w:p>
      <w:pPr>
        <w:pStyle w:val="Para 002"/>
      </w:pPr>
      <w:r>
        <w:t>Ngành marketing đã đặc biệt nhấn mạnh đến việc sử dụng phân khúc thị trường (market segmentation) ngày càng chi tiết để xác định và chiếm lĩnh các thị trường ngách. Mặc dù các chiến lược ngách thường có thể rất hiệu quả, việc tìm ra một thị trường ngách trong một không gian hiện có không giống như việc xác định một không gian thị trường mới.</w:t>
      </w:r>
    </w:p>
    <w:p>
      <w:pPr>
        <w:pStyle w:val="Para 002"/>
      </w:pPr>
      <w:r>
        <w:t xml:space="preserve">Hãy xem xét hãng hàng không Song, được Delta thành lập vào năm 2003. Mục tiêu của Delta là tạo ra một không gian thị trường mới trong lĩnh vực các hãng hàng không giá rẻ bằng cách nhắm vào một phân khúc khách bay riêng biệt. Họ quyết định tập trung vào những phụ nữ chuyên nghiệp sành điệu,</w:t>
        <w:bookmarkStart w:id="842" w:name="page13_12"/>
        <w:t> </w:t>
        <w:bookmarkEnd w:id="842"/>
        <w:t>một phân khúc mà họ cho rằng có nhu cầu và sở thích khác với những doanh nhân nam và các hành khách khác mà hầu hết các hãng hàng không đang nhắm tới. Chưa từng có hãng hàng không nào được xây dựng quanh nhóm người này. Sau nhiều cuộc thảo luận nhóm tập trung (focus group) với những phụ nữ chuyên nghiệp đang thăng tiến, Delta đã đưa ra một kế hoạch phục vụ họ bằng thực phẩm hữu cơ, cocktail pha chế theo yêu cầu, nhiều lựa chọn giải trí, các bài tập trên chuyến bay miễn phí kèm dây kháng lực, và đội ngũ tiếp viên mặc trang phục của Kate Spade. Chiến lược này nhằm lấp đầy một khoảng trống trên thị trường. Có lẽ nó đã thành công trong việc đó, nhưng phân khúc này hóa ra quá nhỏ để duy trì bền vững dù có mức giá cạnh tranh. Song đã thực hiện chuyến bay cuối cùng vào tháng 4 năm 2006, chỉ 36 tháng sau khi ra mắt.</w:t>
      </w:r>
    </w:p>
    <w:p>
      <w:pPr>
        <w:pStyle w:val="Para 002"/>
      </w:pPr>
      <w:r>
        <w:bookmarkStart w:id="843" w:name="page13_13"/>
        <w:t>Các</w:t>
        <w:bookmarkEnd w:id="843"/>
        <w:t xml:space="preserve"> chiến lược tạo lập thị trường thành công (market-creating strategies) không tập trung vào việc phân khúc chi tiết hơn. Thường thì chúng "xóa bỏ phân khúc" (desegment) thị trường bằng cách xác định những điểm chung quan trọng giữa các nhóm người mua có thể giúp tạo ra nhu cầu rộng rãi hơn. Pret A Manger, một chuỗi cửa hàng thực phẩm của Anh, đã xem xét ba nhóm khách hàng khác nhau có nhu cầu ăn trưa chế biến sẵn: những người làm việc chuyên nghiệp hay đi nhà hàng, khách ăn nhanh và nhóm tự mang bữa trưa. Mặc dù có nhiều khác biệt giữa các nhóm này, nhưng có ba điểm chung quan trọng: Tất cả đều muốn bữa trưa tươi ngon và lành mạnh, muốn được phục vụ nhanh và giá cả hợp lý. Chính sự thấu hiểu đó đã giúp Pret A Manger nhận ra cách họ có thể khai thác và gộp chung nhu cầu tiềm ẩn của các nhóm này để tạo ra một thị trường</w:t>
        <w:bookmarkStart w:id="844" w:name="page13_14"/>
        <w:t> </w:t>
        <w:bookmarkEnd w:id="844"/>
        <w:t>mới đầy sức hấp dẫn về mặt thương mại. Ý tưởng của họ là cung cấp bánh sandwich chất lượng nhà hàng, được làm mới mỗi ngày từ nguyên liệu cao cấp, chế biến với tốc độ nhanh hơn cả đồ ăn nhanh và mang đến trải nghiệm đó trong một không gian sang trọng với giá cả hợp lý. Ngày nay, gần 30 năm sau, Pret A Manger vẫn tiếp tục tăng trưởng có lãi mạnh mẽ trong không gian thị trường mới mà họ đã thiết lập.</w:t>
      </w:r>
    </w:p>
    <w:p>
      <w:pPr>
        <w:pStyle w:val="Para 029"/>
      </w:pPr>
      <w:r>
        <w:t>BẪY THỨ BA: NHẦM LẪN ĐỔI MỚI CÔNG NGHỆ VỚI CHIẾN LƯỢC TẠO LẬP THỊ TRƯỜNG</w:t>
      </w:r>
    </w:p>
    <w:p>
      <w:pPr>
        <w:pStyle w:val="Para 002"/>
      </w:pPr>
      <w:r>
        <w:t xml:space="preserve">R&amp;D (nghiên cứu và phát triển) và đổi mới công nghệ thường được công nhận là động lực chính thúc đẩy phát triển thị trường</w:t>
        <w:bookmarkStart w:id="845" w:name="page13_15"/>
        <w:t> </w:t>
        <w:bookmarkEnd w:id="845"/>
        <w:t xml:space="preserve">và tăng trưởng ngành. Vì vậy, dễ hiểu khi các nhà quản lý cho rằng chúng cũng là động lực chính trong việc khám phá thị trường mới. Nhưng thực tế là việc tạo lập thị trường không nhất thiết gắn liền với đổi mới công nghệ. Yellow Tail đã mở ra một thị trường mới (trong trường hợp này là loại rượu vang vui vẻ và đơn giản cho mọi người) mà không cần bất kỳ công nghệ tiên tiến nào. Chuỗi cà phê Starbucks và công ty nghệ thuật biểu diễn Cirque du Soleil cũng làm như vậy. Ngay cả khi công nghệ tham gia sâu như với những công ty tạo lập thị trường như Salesforce.com, Intuit's Quicken, hay Uber, công nghệ không phải là lý do khiến các sản phẩm mới thành công. Những sản phẩm và dịch vụ đó thành công vì chúng đơn giản để sử dụng, vui nhộn và hiệu quả đến mức mọi người yêu thích chúng.</w:t>
        <w:bookmarkStart w:id="846" w:name="page13_16"/>
        <w:t> </w:t>
        <w:bookmarkEnd w:id="846"/>
        <w:t>Công nghệ tạo nên chúng gần như biến mất khỏi tâm trí người mua.</w:t>
      </w:r>
    </w:p>
    <w:p>
      <w:pPr>
        <w:pStyle w:val="Para 002"/>
      </w:pPr>
      <w:r>
        <w:t xml:space="preserve">Hãy xem chiếc Segway Personal Transporter được ra mắt vào năm 2001. Đó có phải là một đổi mới công nghệ không? Chắc chắn là có. Đây là phương tiện tự cân bằng cho con người đầu tiên trên thế giới và nó hoạt động rất tốt. Nghiêng người về phía trước là tiến lên, ngả người về sau là lùi lại. Kỳ quan kỹ thuật này là một trong những cải tiến công nghệ được nhắc đến nhiều nhất thời bấy giờ. Nhưng hầu hết mọi người không sẵn lòng trả tới 5.000 đô la cho một sản phẩm gây khó khăn trong sử dụng và thiếu tiện lợi: Bạn đậu nó ở đâu? Làm sao mang nó lên ô tô? Bạn có thể dùng nó ở đâu - vỉa hè hay lòng đường? Bạn có mang nó lên xe buýt hoặc tàu hỏa được không? Mặc dù Segway được dự kiến sẽ hòa vốn chỉ sau</w:t>
        <w:bookmarkStart w:id="847" w:name="page13_17"/>
        <w:t> </w:t>
        <w:bookmarkEnd w:id="847"/>
        <w:t xml:space="preserve">sáu tháng ra mắt, doanh số bán đã giảm sút rất xa so với dự đoán ban đầu và công ty đã được bán vào năm 2009. Không phải ai cũng ngạc nhiên. Vào thời điểm sản phẩm ra mắt, một bài báo có tầm nhìn</w:t>
      </w:r>
      <w:r>
        <w:rPr>
          <w:rStyle w:val="Text0"/>
        </w:rPr>
        <w:t> c</w:t>
      </w:r>
      <w:r>
        <w:t xml:space="preserve">ủa tạp chí Time về Dean Kamen, nhà phát minh Segway, đã đưa ra lời cảnh báo: "Một trong những sự thật khó nghe nhất đối với bất kỳ nhà công nghệ nào là sự thành công hay thất bại trong kinh doanh hiếm khi được quyết định bởi chất lượng công nghệ."</w:t>
      </w:r>
    </w:p>
    <w:p>
      <w:pPr>
        <w:pStyle w:val="Para 002"/>
      </w:pPr>
      <w:r>
        <w:t xml:space="preserve">Đổi mới giá trị, chứ không phải đổi mới công nghệ, mới là thứ tạo ra những thị trường mới đầy sức hút về mặt thương mại. Các sản phẩm hoặc dịch vụ mới thành công sẽ mở ra không gian thị trường bằng cách mang lại bước nhảy vọt về năng suất, sự đơn giản, dễ sử dụng, tiện lợi, vui vẻ hoặc thân thiện với môi trường. Nhưng khi các công ty lầm tưởng rằng việc tạo ra thị trường</w:t>
        <w:bookmarkStart w:id="848" w:name="page13_18"/>
        <w:t> </w:t>
        <w:bookmarkEnd w:id="848"/>
        <w:t>phụ thuộc vào các công nghệ đột phá, thì tổ chức của họ thường thúc đẩy các sản phẩm hoặc dịch vụ quá 'xa rời thực tế', quá phức tạp, hoặc giống như Segway, thiếu một hệ sinh thái cần thiết. Trên thực tế, nhiều đổi mới công nghệ thất bại trong việc tạo ra thị trường mới ngay cả khi chúng mang lại cho công ty những lời khen ngợi và cho các nhà phát triển những giải thưởng khoa học.</w:t>
      </w:r>
    </w:p>
    <w:p>
      <w:pPr>
        <w:pStyle w:val="Para 029"/>
      </w:pPr>
      <w:r>
        <w:t>BẪY THỨ TƯ: ĐÁNH ĐỒNG SỰ PHÁ HỦY SÁNG TẠO (CREATIVE DESTRUCTION) VỚI VIỆC TẠO RA THỊ TRƯỜNG</w:t>
      </w:r>
    </w:p>
    <w:p>
      <w:pPr>
        <w:pStyle w:val="Para 002"/>
      </w:pPr>
      <w:r>
        <w:t xml:space="preserve">Lý thuyết về sự phá hủy sáng tạo (creative destruction) của Joseph Schumpeter nằm ở trung tâm của kinh tế học đổi mới. Sự phá hủy sáng tạo xảy ra khi một phát</w:t>
        <w:bookmarkStart w:id="849" w:name="page13_19"/>
        <w:t> </w:t>
        <w:bookmarkEnd w:id="849"/>
        <w:t>minh phá vỡ thị trường bằng cách thay thế một công nghệ cũ hơn hoặc sản phẩm, dịch vụ hiện có. Ví dụ, nhiếp ảnh kỹ thuật số đã xóa sổ ngành công nghiệp phim ảnh và trở thành tiêu chuẩn mới. Trong khuôn khổ của Schumpeter, cái cũ liên tục bị phá hủy và thay thế bởi cái mới.</w:t>
      </w:r>
    </w:p>
    <w:p>
      <w:pPr>
        <w:pStyle w:val="Para 002"/>
      </w:pPr>
      <w:r>
        <w:t xml:space="preserve">Nhưng liệu việc tạo ra thị trường có luôn đi kèm với sự phá hủy? Câu trả lời là không. Nó cũng bao gồm sự sáng tạo không phá hủy (nondestructive creation), trong đó nhu cầu mới được tạo ra mà không thay thế các sản phẩm hoặc dịch vụ hiện có. Lấy ví dụ như Viagra, loại thuốc đã tạo ra một thị trường mới trong lĩnh vực thuốc điều trị lối sống. Viagra có làm cho bất kỳ công nghệ cũ hay sản phẩm, dịch vụ hiện có nào trở nên lỗi thời không? Không. Nó đã khơi mở nhu cầu mới</w:t>
        <w:bookmarkStart w:id="850" w:name="page13_20"/>
        <w:t> b</w:t>
        <w:bookmarkEnd w:id="850"/>
        <w:t>ằng cách lần đầu tiên đưa ra một giải pháp thực sự cho một vấn đề lớn mà nhiều nam giới gặp phải trong các mối quan hệ cá nhân. Việc Ngân hàng Grameen tạo ra ngành tài chính vi mô là một ví dụ khác. Nhiều hành động tạo ra thị trường mang tính không phá hủy, vì chúng cung cấp giải pháp ở những nơi trước đây chưa hề tồn tại. Chúng ta cũng đã thấy điều này xảy ra với các ngành mạng xã hội và huy động vốn cộng đồng. Và ngay cả khi việc tạo ra thị trường có liên quan đến một mức độ phá hủy nhất định, thì sự sáng tạo không phá hủy (nondestructive creation) thường vẫn là một phần lớn hơn bạn nghĩ. Ví dụ, máy chơi game Wii của Nintendo bổ sung nhiều hơn là thay thế các hệ thống trò chơi hiện có, vì nó thu hút trẻ nhỏ và người lớn tuổi trước đó chưa từng chơi trò chơi điện tử.</w:t>
      </w:r>
    </w:p>
    <w:p>
      <w:pPr>
        <w:pStyle w:val="Para 002"/>
      </w:pPr>
      <w:r>
        <w:bookmarkStart w:id="851" w:name="page13_21"/>
        <w:t>Việc</w:t>
        <w:bookmarkEnd w:id="851"/>
        <w:t> gộp chung việc tạo ra thị trường với sự phá hủy sáng tạo (creative destruction) không chỉ giới hạn tập hợp cơ hội của một tổ chức mà còn tạo ra sự phản kháng đối với các chiến lược tạo ra thị trường. Những người trong các công ty đã thành lập thường không thích khái niệm phá hủy sáng tạo hoặc sự đột phá, vì nó có thể đe dọa vị thế và công việc hiện tại của họ. Do đó, các nhà quản lý thường phá hoại các nỗ lực tạo ra thị trường của công ty bằng cách cắt giảm nguồn lực, phân bổ chi phí chung không hợp lý cho các sáng kiến, hoặc không hợp tác với những người đang làm việc trên chúng. Điều quan trọng là những người tạo ra thị trường phải ngăn chặn nguy cơ này từ sớm bằng cách làm rõ rằng dự án của họ không chỉ là về sự đột phá mà còn ít nhất tương đương về sự sáng tạo không phá hủy (nondestructive creation).</w:t>
      </w:r>
    </w:p>
    <w:p>
      <w:pPr>
        <w:pStyle w:val="Para 029"/>
      </w:pPr>
      <w:r>
        <w:bookmarkStart w:id="852" w:name="page13_22"/>
        <w:t>BẪY</w:t>
        <w:bookmarkEnd w:id="852"/>
        <w:t> THỨ NĂM: ĐỒNG NHẤT CHIẾN LƯỢC TẠO LẬP THỊ TRƯỜNG VỚI SỰ KHÁC BIỆT HÓA</w:t>
      </w:r>
    </w:p>
    <w:p>
      <w:pPr>
        <w:pStyle w:val="Para 002"/>
      </w:pPr>
      <w:r>
        <w:t>Trong một ngành công nghiệp cạnh tranh, các công ty thường chọn vị trí của mình trên cái mà các nhà kinh tế gọi là “ranh giới năng suất” (productivity frontier), tức là phạm vi các đánh đổi giữa giá trị và chi phí có sẵn tùy theo cấu trúc và chuẩn mực của ngành. Khác biệt hóa là vị trí chiến lược trên ranh giới này, nơi một công ty nổi bật so với đối thủ bằng cách cung cấp giá trị cao cấp; sự đánh đổi thường là chi phí cao hơn cho công ty và giá cao hơn cho khách hàng. Chúng tôi nhận thấy nhiều nhà quản lý cho rằng việc tạo lập thị trường cũng giống như vậy.</w:t>
      </w:r>
    </w:p>
    <w:p>
      <w:pPr>
        <w:pStyle w:val="Para 002"/>
      </w:pPr>
      <w:r>
        <w:bookmarkStart w:id="853" w:name="page13_23"/>
        <w:t>Trên</w:t>
        <w:bookmarkEnd w:id="853"/>
        <w:t> thực tế, một động thái tạo lập thị trường phá vỡ sự đánh đổi giữa giá trị và chi phí. Nó là việc theo đuổi đồng thời sự khác biệt hóa và chi phí thấp. Yellow Tail và Salesforce.com có khác biệt so với các đối thủ khác không? Chắc chắn rồi. Nhưng Yellow Tail và Salesforce.com có chi phí thấp không? Cũng có luôn. Một động thái tạo lập thị trường là chiến lược “cả hai”, không phải “hoặc là, hoặc là”. Điều quan trọng là phải nhận ra sự khác biệt này, vì khi các công ty lầm tưởng rằng tạo lập thị trường đồng nghĩa với khác biệt hóa, họ thường tập trung vào việc cải thiện hoặc tạo ra điều gì đó để nổi bật và ít chú ý đến những gì họ có thể loại bỏ hoặc cắt giảm để đồng thời đạt được chi phí thấp. Kết quả là, họ có thể vô tình trở thành đối thủ cạnh tranh cao cấp trong một không gian ngành hiện có thay vì khám phá một không gian thị trường mới của riêng mình.</w:t>
      </w:r>
    </w:p>
    <w:p>
      <w:pPr>
        <w:pStyle w:val="Para 002"/>
      </w:pPr>
      <w:r>
        <w:bookmarkStart w:id="854" w:name="page13_24"/>
        <w:t>Lấy</w:t>
        <w:bookmarkEnd w:id="854"/>
        <w:t> ví dụ về BMW, hãng đã đặt mục tiêu tạo lập một thị trường mới trong lĩnh vực giao thông đô thị khi ra mắt mẫu xe C1 vào năm 2000. Vấn đề giao thông ở các thành phố châu Âu rất nghiêm trọng, người dân mất hàng giờ đồng hồ đi làm bằng ô tô, nên BMW muốn phát triển một loại phương tiện mà mọi người có thể dùng để vượt qua tắc đường giờ cao điểm. C1 là một chiếc xe tay ga hai bánh nhắm vào phân khúc cao cấp của thị trường. Không giống các loại xe tay ga khác, nó có mui và kính chắn gió toàn phần kèm gạt mưa. BMW cũng đầu tư mạnh vào an toàn. C1 giữ người lái cố định bằng hệ thống dây đai an toàn bốn điểm và bảo vệ họ bằng khung lồng bằng nhôm, hai thanh chống lật ngang vai và vùng hấp lực quanh bánh trước.</w:t>
      </w:r>
    </w:p>
    <w:p>
      <w:pPr>
        <w:pStyle w:val="Para 002"/>
      </w:pPr>
      <w:r>
        <w:t xml:space="preserve">Với tất cả các tính năng bổ sung này, C1 có chi phí sản xuất đắt đỏ, và giá của nó dao động</w:t>
        <w:bookmarkStart w:id="855" w:name="page13_25"/>
        <w:t> </w:t>
        <w:bookmarkEnd w:id="855"/>
        <w:t>từ 7.000 đến 10.000 USD—cao hơn nhiều so với mức 3.000 đến 5.000 USD mà các loại xe tay ga thông thường bán ra. Mặc dù C1 đã thành công trong việc tạo sự khác biệt trong ngành xe tay ga, nó không tạo ra không gian thị trường mới trong lĩnh vực giao thông mà BMW hy vọng. Vào mùa hè năm 2003, BMW tuyên bố ngừng sản xuất vì C1 không đạt được kỳ vọng doanh số.</w:t>
      </w:r>
    </w:p>
    <w:p>
      <w:pPr>
        <w:pStyle w:val="Para 029"/>
      </w:pPr>
      <w:r>
        <w:t>BẪY THỨ SÁU: ĐỒNG NHẤT CHIẾN LƯỢC TẠO LẬP THỊ TRƯỜNG VỚI CHIẾN LƯỢC CHI PHÍ THẤP</w:t>
      </w:r>
    </w:p>
    <w:p>
      <w:pPr>
        <w:pStyle w:val="Para 002"/>
      </w:pPr>
      <w:r>
        <w:t xml:space="preserve">Cái bẫy này, khi các nhà quản lý cho rằng họ có thể tạo ra một thị trường mới chỉ bằng cách giảm chi phí, rõ ràng là mặt trái của bẫy thứ năm. Khi các tổ chức xem chiến lược tạo lập thị</w:t>
        <w:bookmarkStart w:id="856" w:name="page13_26"/>
        <w:t> </w:t>
        <w:bookmarkEnd w:id="856"/>
        <w:t>trường chỉ đồng nghĩa với chiến lược chi phí thấp, họ tập trung vào việc loại bỏ và cắt giảm các sản phẩm/dịch vụ hiện có và gần như bỏ qua những gì họ nên cải thiện hoặc tạo ra để gia tăng giá trị của sản phẩm/dịch vụ.</w:t>
      </w:r>
    </w:p>
    <w:p>
      <w:pPr>
        <w:pStyle w:val="Para 002"/>
      </w:pPr>
      <w:r>
        <w:t>Ouya là một nhà sản xuất máy chơi game đã rơi vào cái bẫy này. Khi công ty bắt đầu bán sản phẩm vào tháng 6 năm 2013, những ông lớn như Sony, Microsoft và Nintendo đang cung cấp các máy chơi game kết nối với TV và tay cầm điều khiển mang lại trải nghiệm chơi game chất lượng cao, với mức giá từ 199 đô la đến 419 đô la. Vì không có máy chơi game giá rẻ nào, nhiều người đã chơi game trên các thiết bị cầm tay hoặc trên màn hình TV kết nối với điện thoại di động qua cáp rẻ tiền.</w:t>
      </w:r>
    </w:p>
    <w:p>
      <w:pPr>
        <w:pStyle w:val="Para 002"/>
      </w:pPr>
      <w:r>
        <w:bookmarkStart w:id="857" w:name="page13_27"/>
        <w:t>Ouya,</w:t>
        <w:bookmarkEnd w:id="857"/>
        <w:t xml:space="preserve"> với giá 99 đô la, được giới thiệu như một nỗ lực tạo ra khoảng trống thị trường giữa máy chơi game cao cấp và thiết bị cầm tay di động, là một 'máy chơi game nhỏ' (microconsole) mã nguồn mở, giá rẻ, mang lại chất lượng hợp lý trên màn hình TV và hầu hết các trò chơi đều được chơi thử miễn phí. Mặc dù mọi người yêu thích thiết bị đơn giản, rẻ tiền này, Ouya lại không có danh mục trò chơi chất lượng phong phú, đồ họa 3D mạnh mẽ, hình ảnh tuyệt đẹp và tốc độ xử lý mà các game thủ truyền thống đề cao, nhưng công ty đã phần nào hy sinh những điều đó để giảm chi phí và giá thành. Đồng thời, Ouya thiếu đi lợi thế khác biệt của các thiết bị cầm tay di động — cụ thể là tính năng chơi khi đang di chuyển. Với việc không có những tính năng này, các game thủ tiềm năng không có</w:t>
        <w:bookmarkStart w:id="858" w:name="page13_28"/>
        <w:t> </w:t>
        <w:bookmarkEnd w:id="858"/>
        <w:t>lý do thuyết phục để mua Ouya. Hiện công ty đang tìm kiếm bên mua lại — dựa vào tài năng của đội ngũ nhân viên hơn là sức mạnh của mảng kinh doanh máy chơi game — nhưng vẫn chưa tìm được.</w:t>
      </w:r>
    </w:p>
    <w:p>
      <w:pPr>
        <w:pStyle w:val="Para 002"/>
      </w:pPr>
      <w:r>
        <w:t>Điểm mấu chốt, xin nhắc lại, là chiến lược tạo lập thị trường áp dụng cách tiếp cận 'cả-hai' (both-and): nó theo đuổi đồng thời sự khác biệt hóa và chi phí thấp. Trong khuôn khổ này, khoảng trống thị trường mới không được tạo ra bằng cách định giá dựa trên đối thủ cạnh tranh trong ngành, mà bằng cách định giá dựa trên các sản phẩm thay thế (substitutes) và các lựa chọn thay thế (alternatives) mà những người chưa phải là khách hàng (noncustomers) hiện đang sử dụng. Do đó, thị trường mới không nhất thiết phải được tạo ra ở phân khúc thấp của ngành. Thay vào đó, nó có thể được tạo ra ở phân khúc cao, như Cirque du Soleil đã làm trong lĩnh vực giải trí xiếc, Starbucks trong ngành cà phê, và Dyson trong lĩnh vực máy hút bụi.</w:t>
      </w:r>
    </w:p>
    <w:p>
      <w:pPr>
        <w:pStyle w:val="Para 002"/>
      </w:pPr>
      <w:r>
        <w:bookmarkStart w:id="859" w:name="page13_29"/>
        <w:t>Ngay</w:t>
        <w:bookmarkEnd w:id="859"/>
        <w:t> cả khi các công ty tạo ra thị trường mới ở phân khúc thấp, sản phẩm của họ vẫn được người mua nhìn nhận là khác biệt rõ rệt. Hãy xem Southwest Airlines và Swatch. Southwest nổi bật với cảm giác thân thiện, nhanh chóng, như đi trên phương tiện mặt đất nhưng ở trên không, trong khi các thiết kế sành điệu, vui nhộn khiến Swatch trở thành tuyên ngôn thời trang. Sản phẩm của cả hai công ty đều được cảm nhận là vừa khác biệt vừa có chi phí thấp.</w:t>
      </w:r>
    </w:p>
    <w:p>
      <w:pPr>
        <w:pStyle w:val="Para 227"/>
      </w:pPr>
      <w:r>
        <w:t xml:space="preserve">Các cách tiếp cận hay chiến lược được xem là bẫy đại dương đỏ không hẳn là sai hoặc không tốt. Tất cả đều phục vụ những mục đích quan trọng. Ví dụ, tập trung vào khách hàng có thể cải thiện sản phẩm và dịch vụ, và đổi mới công nghệ là yếu tố then chốt cho sự phát triển thị trường và tăng trưởng kinh tế. Tương tự, khác biệt hóa hay chi phí</w:t>
        <w:bookmarkStart w:id="860" w:name="page13_30"/>
        <w:t> </w:t>
        <w:bookmarkEnd w:id="860"/>
        <w:t>thấp là những chiến lược cạnh tranh hiệu quả. Tuy nhiên, những cách tiếp cận này không phải là con đường dẫn đến các chiến lược tạo lập thị trường thành công. Và khi chúng dẫn dắt các nỗ lực tạo lập thị trường liên quan đến các khoản đầu tư lớn, chúng có thể tạo ra những doanh nghiệp mới không thu hồi được vốn đầu tư và cuối cùng thất bại, như chúng ta đã thấy ở đây. Đó là lý do tại sao cần phải làm lộ ra và kiểm tra các mô hình tư duy và giả định của những người đóng vai trò trung tâm trong việc thực hiện các chiến lược tạo lập thị trường. Nếu những mô hình và giả định đó không phù hợp với mục đích chiến lược của việc tạo lập thị trường mới, bạn cần thách thức, đặt câu hỏi và định hình lại chúng. Nếu không, bạn có thể rơi vào bẫy đại dương đỏ.</w:t>
      </w:r>
    </w:p>
    <w:p>
      <w:bookmarkStart w:id="861" w:name="ABOUT_THE_AUTHORS_W__Chan_Kim_an_1"/>
      <w:bookmarkStart w:id="862" w:name="Top_of_13_06_Authors_xhtml"/>
      <w:pPr>
        <w:pStyle w:val="Para 118"/>
        <w:pageBreakBefore w:val="on"/>
      </w:pPr>
      <w:r>
        <w:bookmarkStart w:id="863" w:name="page13_31"/>
        <w:t/>
        <w:bookmarkEnd w:id="863"/>
        <w:t>VỀ CÁC TÁC GIẢ</w:t>
      </w:r>
      <w:bookmarkEnd w:id="861"/>
      <w:bookmarkEnd w:id="862"/>
    </w:p>
    <w:p>
      <w:pPr>
        <w:pStyle w:val="Para 002"/>
      </w:pPr>
      <w:r>
        <w:rPr>
          <w:rStyle w:val="Text0"/>
        </w:rPr>
        <w:t>W. Chan Kim</w:t>
      </w:r>
      <w:r>
        <w:t xml:space="preserve"> và</w:t>
      </w:r>
      <w:r>
        <w:rPr>
          <w:rStyle w:val="Text0"/>
        </w:rPr>
        <w:t> Renée Mauborgne là</w:t>
      </w:r>
      <w:r>
        <w:t xml:space="preserve"> giáo sư tại INSEAD, trường kinh doanh lớn thứ hai thế giới, và là đồng giám đốc của Viện Chiến lược Đại dương xanh INSEAD. Họ là tác giả của cuốn sách Blue Ocean</w:t>
      </w:r>
      <w:r>
        <w:rPr>
          <w:rStyle w:val="Text0"/>
        </w:rPr>
        <w:t> Strategy (Chiến</w:t>
      </w:r>
      <w:r>
        <w:t xml:space="preserve"> lược Đại dương xanh), được công nhận là một trong những cuốn sách về chiến lược mang tính biểu tượng và có sức ảnh hưởng nhất từng được viết. Lý thuyết chiến lược đại dương xanh đã được các công ty, chính phủ và các tổ chức phi lợi nhuận trên toàn cầu tích cực đón</w:t>
        <w:bookmarkStart w:id="864" w:name="page13_32"/>
        <w:t> </w:t>
        <w:bookmarkEnd w:id="864"/>
        <w:t xml:space="preserve">nhận, và hiện đang được giảng dạy tại hơn 1.800</w:t>
      </w:r>
      <w:r>
        <w:rPr>
          <w:rStyle w:val="Text0"/>
        </w:rPr>
        <w:t> trường đại học trên</w:t>
      </w:r>
      <w:r>
        <w:t xml:space="preserve"> thế giới. Blue Ocean Strategy là sách bán chạy nhất trên năm châu lục. Cuốn sách đã bán được hơn 3,6 triệu bản và được xuất bản bằng 44 thứ tiếng, phá kỷ lục. Kim và Mauborgne được xếp hạng trong top ba của danh sách Thinkers50 toàn cầu về các nhà tư duy quản lý hàng đầu và được MBA Rankings vinh danh là một trong năm giáo sư trường kinh doanh giỏi nhất thế giới. Họ đã nhận được nhiều giải thưởng học thuật và quản lý trên toàn thế giới, bao gồm Giải thưởng Nobels Colloquia về Lãnh đạo trong Tư duy Kinh doanh và Kinh tế, Giải thưởng Carl S. Sloane của Hiệp hội các Công ty Tư vấn Quản lý, Đại sảnh Danh vọng Lãnh đạo</w:t>
      </w:r>
      <w:r>
        <w:rPr>
          <w:rStyle w:val="Text0"/>
        </w:rPr>
        <w:t> của tạp chí</w:t>
      </w:r>
      <w:r>
        <w:t xml:space="preserve"> Fast Company, và Giải</w:t>
        <w:bookmarkStart w:id="865" w:name="page13_33"/>
        <w:t> </w:t>
        <w:bookmarkEnd w:id="865"/>
        <w:t>thưởng Eldridge Haynes của Học viện Kinh doanh Quốc tế, cùng nhiều giải thưởng khác. Kim và Mauborgne là Hội viên của Diễn đàn Kinh tế Thế giới tại Davos. Mauborgne là thành viên Hội đồng Cố vấn của Tổng thống Barack Obama về các Trường Cao đẳng và Đại học dành cho Người Mỹ gốc Phi (HBCUs). Kim là thành viên cố vấn cho Liên minh châu Âu và là cố vấn cho một số quốc</w:t>
        <w:bookmarkStart w:id="866" w:name="page13_34"/>
        <w:t> gia.</w:t>
        <w:bookmarkEnd w:id="866"/>
      </w:r>
    </w:p>
    <w:p>
      <w:bookmarkStart w:id="867" w:name="Top_of_13_07_Authors_also_xhtml"/>
      <w:bookmarkStart w:id="868" w:name="ALSO_BY_THESE_AUTHORS_Harvard_Bu_1"/>
      <w:pPr>
        <w:pStyle w:val="Para 118"/>
        <w:pageBreakBefore w:val="on"/>
      </w:pPr>
      <w:r>
        <w:bookmarkStart w:id="869" w:name="page13_35"/>
        <w:t/>
        <w:bookmarkEnd w:id="869"/>
        <w:t>CÁC TÁC PHẨM KHÁC CỦA CÁC TÁC GIẢ</w:t>
      </w:r>
      <w:bookmarkEnd w:id="867"/>
      <w:bookmarkEnd w:id="868"/>
    </w:p>
    <w:p>
      <w:pPr>
        <w:pStyle w:val="Para 228"/>
      </w:pPr>
      <w:r>
        <w:t>Sách của Harvard Business Review Press</w:t>
      </w:r>
    </w:p>
    <w:p>
      <w:pPr>
        <w:pStyle w:val="Para 045"/>
      </w:pPr>
      <w:hyperlink r:id="rId33">
        <w:r>
          <w:t>Blue Ocean Strategy, Expanded Edition: How to Create Uncontested Market Space and Make the Competition Irrelevant</w:t>
        </w:r>
      </w:hyperlink>
    </w:p>
    <w:p>
      <w:pPr>
        <w:pStyle w:val="Para 045"/>
      </w:pPr>
      <w:hyperlink r:id="rId34">
        <w:r>
          <w:t>The W. Chan Kim and Renée Mauborgne Blue Ocean Strategy Reader</w:t>
        </w:r>
      </w:hyperlink>
    </w:p>
    <w:p>
      <w:pPr>
        <w:pStyle w:val="Para 229"/>
      </w:pPr>
      <w:r>
        <w:t>Các bài viết trên Harvard Bus</w:t>
      </w:r>
      <w:r>
        <w:rPr>
          <w:rStyle w:val="Text0"/>
        </w:rPr>
        <w:t xml:space="preserve">iness Review</w:t>
      </w:r>
    </w:p>
    <w:p>
      <w:pPr>
        <w:pStyle w:val="Para 045"/>
      </w:pPr>
      <w:hyperlink r:id="rId35">
        <w:r>
          <w:t>“Blue Ocean Leadership”</w:t>
        </w:r>
      </w:hyperlink>
    </w:p>
    <w:p>
      <w:pPr>
        <w:pStyle w:val="Para 045"/>
      </w:pPr>
      <w:hyperlink r:id="rId36">
        <w:r>
          <w:t>“Blue Ocean Strategy”</w:t>
        </w:r>
      </w:hyperlink>
    </w:p>
    <w:p>
      <w:pPr>
        <w:pStyle w:val="Para 045"/>
      </w:pPr>
      <w:r>
        <w:rPr>
          <w:rStyle w:val="Text10"/>
        </w:rPr>
        <w:bookmarkStart w:id="870" w:name="page13_36"/>
        <w:t/>
        <w:bookmarkEnd w:id="870"/>
      </w:r>
      <w:hyperlink r:id="rId37">
        <w:r>
          <w:t>“Charting Your Company’s Future”</w:t>
        </w:r>
      </w:hyperlink>
    </w:p>
    <w:p>
      <w:pPr>
        <w:pStyle w:val="Para 045"/>
      </w:pPr>
      <w:hyperlink r:id="rId38">
        <w:r>
          <w:t>“Creating New Market Space”</w:t>
        </w:r>
      </w:hyperlink>
    </w:p>
    <w:p>
      <w:pPr>
        <w:pStyle w:val="Para 045"/>
      </w:pPr>
      <w:hyperlink r:id="rId39">
        <w:r>
          <w:t>“Fair Process: Managing in the Knowledge Economy”</w:t>
        </w:r>
      </w:hyperlink>
    </w:p>
    <w:p>
      <w:pPr>
        <w:pStyle w:val="Para 045"/>
      </w:pPr>
      <w:hyperlink r:id="rId40">
        <w:r>
          <w:t>“How Strategy Shapes Structure”</w:t>
        </w:r>
      </w:hyperlink>
    </w:p>
    <w:p>
      <w:pPr>
        <w:pStyle w:val="Para 045"/>
      </w:pPr>
      <w:hyperlink r:id="rId41">
        <w:r>
          <w:t>“Knowing a Winning Business Idea When You See One”</w:t>
        </w:r>
      </w:hyperlink>
    </w:p>
    <w:p>
      <w:pPr>
        <w:pStyle w:val="Para 045"/>
      </w:pPr>
      <w:hyperlink r:id="rId42">
        <w:r>
          <w:t>“Tipping Point Leadership”</w:t>
        </w:r>
      </w:hyperlink>
    </w:p>
    <w:p>
      <w:pPr>
        <w:pStyle w:val="Para 045"/>
      </w:pPr>
      <w:hyperlink r:id="rId43">
        <w:r>
          <w:t>“Value Innovation: The Strategic Logic of High Growth”</w:t>
        </w:r>
      </w:hyperlink>
    </w:p>
    <w:p>
      <w:bookmarkStart w:id="871" w:name="Top_of_13_08_Article_summary_xht"/>
      <w:bookmarkStart w:id="872" w:name="Article_Summary_Idea_in_Brief_Th_1"/>
      <w:pPr>
        <w:pStyle w:val="Para 148"/>
        <w:pageBreakBefore w:val="on"/>
      </w:pPr>
      <w:r>
        <w:bookmarkStart w:id="873" w:name="page13_37"/>
        <w:t/>
        <w:bookmarkEnd w:id="873"/>
        <w:t>Tóm tắt bài viết</w:t>
      </w:r>
      <w:bookmarkEnd w:id="871"/>
      <w:bookmarkEnd w:id="872"/>
    </w:p>
    <w:p>
      <w:pPr>
        <w:pStyle w:val="Para 067"/>
      </w:pPr>
      <w:r>
        <w:t>Ý tưởng cốt lõi</w:t>
      </w:r>
    </w:p>
    <w:p>
      <w:pPr>
        <w:pStyle w:val="Para 127"/>
      </w:pPr>
      <w:r>
        <w:t>Vấn đề</w:t>
      </w:r>
    </w:p>
    <w:p>
      <w:pPr>
        <w:pStyle w:val="Para 021"/>
      </w:pPr>
      <w:r>
        <w:t>Để thành công trong dài hạn, các công ty phải tìm cách tạo ra thị trường mới. Cạnh tranh trong các thị trường hiện tại ngày càng ít sinh lời. Nhưng dù đã đầu tư và cam kết rất nhiều, các công ty vẫn gặp vô cùng nhiều khó khăn trong việc thiết lập các không gian thị trường mới.</w:t>
      </w:r>
    </w:p>
    <w:p>
      <w:pPr>
        <w:pStyle w:val="Para 127"/>
      </w:pPr>
      <w:r>
        <w:rPr>
          <w:rStyle w:val="Text1"/>
        </w:rPr>
        <w:bookmarkStart w:id="874" w:name="page13_38"/>
        <w:t/>
        <w:bookmarkEnd w:id="874"/>
      </w:r>
      <w:r>
        <w:t>Tại sao điều này xảy ra</w:t>
      </w:r>
    </w:p>
    <w:p>
      <w:pPr>
        <w:pStyle w:val="Para 021"/>
      </w:pPr>
      <w:r>
        <w:t>Các mô hình tư duy của nhà quản lý dựa trên kinh nghiệm của họ trong các thị trường hiện tại. Dù những giả định và niềm tin này đã từng phát huy tác dụng trong quá khứ, chúng lại làm suy yếu những nỗ lực tạo ra các không gian thị trường mới.</w:t>
      </w:r>
    </w:p>
    <w:p>
      <w:pPr>
        <w:pStyle w:val="Para 127"/>
      </w:pPr>
      <w:r>
        <w:t>Giải pháp</w:t>
      </w:r>
    </w:p>
    <w:p>
      <w:pPr>
        <w:pStyle w:val="Para 021"/>
      </w:pPr>
      <w:r>
        <w:t>Để tránh bị mắc kẹt trong các thị trường cũ, các nhà quản lý cần:</w:t>
      </w:r>
    </w:p>
    <w:p>
      <w:pPr>
        <w:pStyle w:val="Para 110"/>
      </w:pPr>
      <w:r>
        <w:rPr>
          <w:rStyle w:val="Text6"/>
        </w:rPr>
        <w:t>•</w:t>
      </w:r>
      <w:r>
        <w:t xml:space="preserve"> tập trung vào việc thu hút khách hàng mới</w:t>
      </w:r>
    </w:p>
    <w:p>
      <w:pPr>
        <w:pStyle w:val="Para 110"/>
      </w:pPr>
      <w:r>
        <w:rPr>
          <w:rStyle w:val="Text6"/>
        </w:rPr>
        <w:t>•</w:t>
      </w:r>
      <w:r>
        <w:t xml:space="preserve"> bớt lo lắng về phân khúc thị trường</w:t>
      </w:r>
    </w:p>
    <w:p>
      <w:pPr>
        <w:pStyle w:val="Para 110"/>
      </w:pPr>
      <w:r>
        <w:rPr>
          <w:rStyle w:val="Text6"/>
        </w:rPr>
        <w:t>•</w:t>
      </w:r>
      <w:r>
        <w:t xml:space="preserve"> hiểu rằng việc tạo ra thị trường không đồng nghĩa với đổi mới công nghệ hay sự phá hủy sáng tạo</w:t>
      </w:r>
    </w:p>
    <w:p>
      <w:pPr>
        <w:pStyle w:val="Para 110"/>
      </w:pPr>
      <w:r>
        <w:rPr>
          <w:rStyle w:val="Text6"/>
        </w:rPr>
        <w:t>•</w:t>
      </w:r>
      <w:r>
        <w:t xml:space="preserve"> ngừng tập trung vào các chiến lược cao cấp so với chi phí thấp</w:t>
      </w:r>
    </w:p>
    <w:p>
      <w:bookmarkStart w:id="875" w:name="sbo_rt_content_13"/>
      <w:bookmarkStart w:id="876" w:name="Top_of_14_cover_xhtml"/>
      <w:bookmarkStart w:id="877" w:name="a14"/>
      <w:pPr>
        <w:pStyle w:val="Para 051"/>
        <w:pageBreakBefore w:val="on"/>
      </w:pPr>
      <w:r>
        <w:drawing>
          <wp:anchor distL="0" distR="0" distT="0" distB="0" simplePos="0" relativeHeight="1" behindDoc="0" locked="0" layoutInCell="1" allowOverlap="1">
            <wp:simplePos x="0" y="0"/>
            <wp:positionH relativeFrom="margin">
              <wp:align>left</wp:align>
            </wp:positionH>
            <wp:positionV relativeFrom="line">
              <wp:align>top</wp:align>
            </wp:positionV>
            <wp:extent cx="5372100" cy="8229600"/>
            <wp:effectExtent l="0" r="0" t="0" b="0"/>
            <wp:wrapTopAndBottom/>
            <wp:docPr id="37" name="Levitt_cover.jpg" descr="cover"/>
            <wp:cNvGraphicFramePr>
              <a:graphicFrameLocks noChangeAspect="1"/>
            </wp:cNvGraphicFramePr>
            <a:graphic>
              <a:graphicData uri="http://schemas.openxmlformats.org/drawingml/2006/picture">
                <pic:pic>
                  <pic:nvPicPr>
                    <pic:cNvPr id="0" name="Levitt_cover.jpg" descr="cover"/>
                    <pic:cNvPicPr/>
                  </pic:nvPicPr>
                  <pic:blipFill>
                    <a:blip r:embed="rId26"/>
                    <a:stretch>
                      <a:fillRect/>
                    </a:stretch>
                  </pic:blipFill>
                  <pic:spPr>
                    <a:xfrm>
                      <a:off x="0" y="0"/>
                      <a:ext cx="5372100" cy="8229600"/>
                    </a:xfrm>
                    <a:prstGeom prst="rect">
                      <a:avLst/>
                    </a:prstGeom>
                  </pic:spPr>
                </pic:pic>
              </a:graphicData>
            </a:graphic>
          </wp:anchor>
        </w:drawing>
      </w:r>
      <w:bookmarkEnd w:id="875"/>
      <w:bookmarkEnd w:id="876"/>
      <w:bookmarkEnd w:id="877"/>
    </w:p>
    <w:p>
      <w:bookmarkStart w:id="878" w:name="Top_of_15_01_cover_xhtml"/>
      <w:bookmarkStart w:id="879" w:name="a15"/>
      <w:bookmarkStart w:id="880" w:name="sbo_rt_content_14"/>
      <w:pPr>
        <w:pStyle w:val="Para 074"/>
        <w:pageBreakBefore w:val="on"/>
      </w:pPr>
      <w:r>
        <w:drawing>
          <wp:anchor distL="0" distR="0" distT="0" distB="0" simplePos="0" relativeHeight="1" behindDoc="0" locked="0" layoutInCell="1" allowOverlap="1">
            <wp:simplePos x="0" y="0"/>
            <wp:positionH relativeFrom="margin">
              <wp:align>left</wp:align>
            </wp:positionH>
            <wp:positionV relativeFrom="line">
              <wp:align>top</wp:align>
            </wp:positionV>
            <wp:extent cx="5384800" cy="8229600"/>
            <wp:effectExtent l="0" r="0" t="0" b="0"/>
            <wp:wrapTopAndBottom/>
            <wp:docPr id="38" name="13112_cover.jpg" descr="cover"/>
            <wp:cNvGraphicFramePr>
              <a:graphicFrameLocks noChangeAspect="1"/>
            </wp:cNvGraphicFramePr>
            <a:graphic>
              <a:graphicData uri="http://schemas.openxmlformats.org/drawingml/2006/picture">
                <pic:pic>
                  <pic:nvPicPr>
                    <pic:cNvPr id="0" name="13112_cover.jpg" descr="cover"/>
                    <pic:cNvPicPr/>
                  </pic:nvPicPr>
                  <pic:blipFill>
                    <a:blip r:embed="rId27"/>
                    <a:stretch>
                      <a:fillRect/>
                    </a:stretch>
                  </pic:blipFill>
                  <pic:spPr>
                    <a:xfrm>
                      <a:off x="0" y="0"/>
                      <a:ext cx="5384800" cy="8229600"/>
                    </a:xfrm>
                    <a:prstGeom prst="rect">
                      <a:avLst/>
                    </a:prstGeom>
                  </pic:spPr>
                </pic:pic>
              </a:graphicData>
            </a:graphic>
          </wp:anchor>
        </w:drawing>
      </w:r>
      <w:bookmarkEnd w:id="878"/>
      <w:bookmarkEnd w:id="879"/>
      <w:bookmarkEnd w:id="880"/>
    </w:p>
    <w:p>
      <w:bookmarkStart w:id="881" w:name="Top_of_14_Title_xhtml"/>
      <w:bookmarkStart w:id="882" w:name="Harvard_Business_Review_CLASSICS_12"/>
      <w:pPr>
        <w:pStyle w:val="Para 032"/>
        <w:pageBreakBefore w:val="on"/>
      </w:pPr>
      <w:r>
        <w:t>Harvard Business Review</w:t>
      </w:r>
      <w:bookmarkEnd w:id="881"/>
      <w:bookmarkEnd w:id="882"/>
    </w:p>
    <w:p>
      <w:pPr>
        <w:pStyle w:val="Para 033"/>
      </w:pPr>
      <w:r>
        <w:t>KINH ĐIỂN</w:t>
      </w:r>
    </w:p>
    <w:p>
      <w:pPr>
        <w:pStyle w:val="Para 036"/>
      </w:pPr>
      <w:r>
        <w:t>CẬN THỊ TRONG MARKETING</w:t>
      </w:r>
    </w:p>
    <w:p>
      <w:pPr>
        <w:pStyle w:val="Para 026"/>
      </w:pPr>
      <w:r>
        <w:t>Theodore Levitt</w:t>
      </w:r>
    </w:p>
    <w:p>
      <w:pPr>
        <w:pStyle w:val="Para 012"/>
      </w:pPr>
      <w:r>
        <w:t>Harvard Business Review Press</w:t>
      </w:r>
    </w:p>
    <w:p>
      <w:pPr>
        <w:pStyle w:val="Para 012"/>
      </w:pPr>
      <w:r>
        <w:t>Boston, Massachusetts</w:t>
      </w:r>
    </w:p>
    <w:p>
      <w:bookmarkStart w:id="883" w:name="Top_of_14_Copyright_xhtml"/>
      <w:bookmarkStart w:id="884" w:name="Copyright_2008_Harvard_Business_5"/>
      <w:pPr>
        <w:pStyle w:val="Para 230"/>
        <w:pageBreakBefore w:val="on"/>
      </w:pPr>
      <w:r>
        <w:t>Bản quyền 2008 Harvard Business School Publishing Corporation</w:t>
      </w:r>
      <w:bookmarkEnd w:id="883"/>
      <w:bookmarkEnd w:id="884"/>
    </w:p>
    <w:p>
      <w:pPr>
        <w:pStyle w:val="Para 010"/>
      </w:pPr>
      <w:r>
        <w:t xml:space="preserve">Được xuất bản trên</w:t>
      </w:r>
      <w:r>
        <w:rPr>
          <w:rStyle w:val="Text0"/>
        </w:rPr>
        <w:t> Harvard Business Review vào</w:t>
      </w:r>
      <w:r>
        <w:t xml:space="preserve"> tháng 7 năm 2004</w:t>
      </w:r>
    </w:p>
    <w:p>
      <w:pPr>
        <w:pStyle w:val="Para 010"/>
      </w:pPr>
      <w:r>
        <w:t>Tái bản # R0407L</w:t>
      </w:r>
    </w:p>
    <w:p>
      <w:pPr>
        <w:pStyle w:val="Para 010"/>
      </w:pPr>
      <w:r>
        <w:t>Mọi quyền được bảo lưu</w:t>
      </w:r>
    </w:p>
    <w:p>
      <w:pPr>
        <w:pStyle w:val="20 Block"/>
      </w:pPr>
    </w:p>
    <w:p>
      <w:pPr>
        <w:pStyle w:val="Para 087"/>
      </w:pPr>
      <w:r>
        <w:t xml:space="preserve">Không một phần nào của ấn phẩm này được sao chép, lưu trữ hoặc đưa vào hệ thống truy xuất, hoặc truyền tải dưới bất kỳ hình thức nào, hoặc bằng bất kỳ phương tiện nào (điện tử, cơ khí, sao chụp, ghi âm, hay cách khác) mà không có sự cho phép trước của nhà xuất bản. Các yêu cầu xin phép nên được gửi tới</w:t>
      </w:r>
      <w:r>
        <w:rPr>
          <w:rStyle w:val="Text2"/>
        </w:rPr>
        <w:t> permissions@hbsp.harvard.edu,</w:t>
      </w:r>
      <w:r>
        <w:t> hoặc gửi thư tới Permissions, Harvard Business School Publishing, 60 Harvard Way, Boston, Massachusetts 02163.</w:t>
      </w:r>
    </w:p>
    <w:p>
      <w:pPr>
        <w:pStyle w:val="Para 087"/>
      </w:pPr>
      <w:r>
        <w:t>Dữ liệu biên mục xuất bản của Thư viện Quốc hội</w:t>
      </w:r>
    </w:p>
    <w:p>
      <w:pPr>
        <w:pStyle w:val="Para 010"/>
      </w:pPr>
      <w:r>
        <w:t>Levitt, Theodore, 1925−2006.</w:t>
      </w:r>
    </w:p>
    <w:p>
      <w:pPr>
        <w:pStyle w:val="Para 128"/>
      </w:pPr>
      <w:r>
        <w:t>Marketing myopia / Theodore Levitt.</w:t>
      </w:r>
    </w:p>
    <w:p>
      <w:pPr>
        <w:pStyle w:val="Para 128"/>
      </w:pPr>
      <w:r>
        <w:t>p. cm. — (Harvard business review classics)</w:t>
      </w:r>
    </w:p>
    <w:p>
      <w:pPr>
        <w:pStyle w:val="Para 128"/>
      </w:pPr>
      <w:r>
        <w:t>ISBN 978−1-4221−2601-1</w:t>
      </w:r>
    </w:p>
    <w:p>
      <w:pPr>
        <w:pStyle w:val="Para 010"/>
      </w:pPr>
      <w:r>
        <w:t>1. Marketing. 2. Customer relations. I. Title.</w:t>
      </w:r>
    </w:p>
    <w:p>
      <w:pPr>
        <w:pStyle w:val="Para 010"/>
      </w:pPr>
      <w:r>
        <w:t>HF5415.L4832 2008</w:t>
      </w:r>
    </w:p>
    <w:p>
      <w:pPr>
        <w:pStyle w:val="Para 010"/>
      </w:pPr>
      <w:r>
        <w:t>658.8—dc22</w:t>
      </w:r>
    </w:p>
    <w:p>
      <w:pPr>
        <w:pStyle w:val="Para 231"/>
      </w:pPr>
      <w:r>
        <w:t>2008005791</w:t>
      </w:r>
    </w:p>
    <w:p>
      <w:bookmarkStart w:id="885" w:name="THEHARVARD_BUSINESS_REVIEWCLASSI_1"/>
      <w:bookmarkStart w:id="886" w:name="THEHARVARD_BUSINESS_REVIEWCLASSI"/>
      <w:bookmarkStart w:id="887" w:name="Top_of_14_Series_xhtml"/>
      <w:pPr>
        <w:pStyle w:val="Para 232"/>
        <w:pageBreakBefore w:val="on"/>
      </w:pPr>
      <w:r>
        <w:t>BỘ</w:t>
        <w:br w:clear="none"/>
        <w:t> SÁCH KINH ĐIỂN HARVARD</w:t>
        <w:br w:clear="none"/>
        <w:t> BUSINESS REVIEW</w:t>
      </w:r>
      <w:bookmarkEnd w:id="885"/>
      <w:bookmarkEnd w:id="886"/>
      <w:bookmarkEnd w:id="887"/>
    </w:p>
    <w:p>
      <w:pPr>
        <w:pStyle w:val="Normal"/>
      </w:pPr>
      <w:r>
        <w:t xml:space="preserve">Từ năm 1922,</w:t>
      </w:r>
      <w:r>
        <w:rPr>
          <w:rStyle w:val="Text0"/>
        </w:rPr>
        <w:t> Harvard Business Review</w:t>
      </w:r>
      <w:r>
        <w:t xml:space="preserve"> đã là nguồn hàng đầu về những ý tưởng đột phá trong thực tiễn quản lý—nhiều trong số đó vẫn còn vang vọng và ảnh hưởng đến chúng ta ngày nay. Bộ sách HBR Classics hiện mang đến cho bạn cơ hội đưa những tác phẩm nền tảng này vào tủ sách quản lý thường trực của mình. Mỗi tập chứa đựng một ý tưởng mang tính đột phá đã định hình các thông lệ tốt nhất và truyền cảm hứng cho vô số nhà quản lý trên toàn thế giới—và sẽ thay đổi cách bạn suy nghĩ về thế giới kinh doanh ngày nay.</w:t>
      </w:r>
    </w:p>
    <w:p>
      <w:bookmarkStart w:id="888" w:name="Every_major_industry_was_once_a"/>
      <w:bookmarkStart w:id="889" w:name="Top_of_14_Review_xhtml"/>
      <w:pPr>
        <w:pStyle w:val="Para 048"/>
        <w:pageBreakBefore w:val="on"/>
      </w:pPr>
      <w:r>
        <w:t xml:space="preserve">Mọi ngành công nghiệp lớn từng là một ngành tăng trưởng. Nhưng một số ngành hiện đang cưỡi trên làn sóng nhiệt huyết tăng trưởng lại đang nằm trong bóng tối của sự suy thoái. Những ngành khác được coi là ngành tăng trưởng dày dạn đã thực sự ngừng phát triển. Trong mọi trường hợp, lý do khiến tăng trưởng bị đe dọa,</w:t>
      </w:r>
      <w:r>
        <w:rPr>
          <w:rStyle w:val="Text0"/>
        </w:rPr>
        <w:t> chậm</w:t>
      </w:r>
      <w:r>
        <w:t xml:space="preserve"> lại hoặc dừng lại không phải vì thị trường đã bão hòa. Mà vì đã có sự thất bại của quản lý.</w:t>
      </w:r>
      <w:bookmarkEnd w:id="888"/>
      <w:bookmarkEnd w:id="889"/>
    </w:p>
    <w:p>
      <w:bookmarkStart w:id="890" w:name="FATEFUL_PURPOSES"/>
      <w:pPr>
        <w:pStyle w:val="Para 037"/>
      </w:pPr>
      <w:r>
        <w:t>NHỮNG MỤC ĐÍCH ĐỊNH MỆNH</w:t>
      </w:r>
      <w:bookmarkEnd w:id="890"/>
    </w:p>
    <w:p>
      <w:pPr>
        <w:pStyle w:val="Normal"/>
      </w:pPr>
      <w:r>
        <w:t>Sự thất bại nằm ở cấp lãnh đạo cao nhất. Xét cho cùng, những người chịu trách nhiệm chính là những người hoạch định mục tiêu và chính sách lớn. Vì vậy:</w:t>
      </w:r>
    </w:p>
    <w:p>
      <w:pPr>
        <w:numPr>
          <w:ilvl w:val="0"/>
          <w:numId w:val="23"/>
        </w:numPr>
        <w:pStyle w:val="Para 024"/>
      </w:pPr>
      <w:r>
        <w:t xml:space="preserve">Các công ty đường sắt không ngừng phát triển vì nhu cầu vận chuyển hành khách và hàng hóa giảm đi. Nhu cầu đó vẫn tăng. Đường sắt gặp rắc rối ngày nay không phải vì nhu cầu đó được đáp ứng bởi các phương tiện khác (ô tô, xe tải, máy bay, thậm</w:t>
      </w:r>
      <w:r>
        <w:rPr>
          <w:rStyle w:val="Text0"/>
        </w:rPr>
        <w:t> chí</w:t>
      </w:r>
      <w:r>
        <w:t xml:space="preserve"> cả điện thoại) mà vì chính họ đã không đáp ứng được nhu cầu đó. Họ để người khác giành mất khách hàng vì họ tự coi mình đang kinh doanh đường sắt thay vì kinh doanh vận tải. Lý do họ xác định sai ngành nghề của mình là vì họ định hướng theo đường sắt thay vì định hướng theo vận tải; họ định hướng theo sản phẩm thay vì định hướng theo khách hàng.</w:t>
      </w:r>
    </w:p>
    <w:p>
      <w:pPr>
        <w:numPr>
          <w:ilvl w:val="0"/>
          <w:numId w:val="23"/>
        </w:numPr>
        <w:pStyle w:val="Para 024"/>
      </w:pPr>
      <w:r>
        <w:t>Hollywood suýt bị truyền hình tàn phá hoàn toàn. Thực tế, tất cả các hãng phim lâu đời đều phải trải qua quá trình tái cấu trúc mạnh mẽ. Một số đơn giản là biến mất. Tất cả rơi vào rắc rối không phải vì sự xâm lấn của TV mà vì sự thiển cận của chính họ. Giống như ngành đường sắt, Hollywood đã xác định sai lĩnh vực kinh doanh của mình. Họ nghĩ mình đang trong ngành kinh doanh phim ảnh khi thực ra họ đang trong ngành giải trí. "Phim ảnh" (movies) gợi ý một sản phẩm cụ thể, giới hạn. Điều này tạo ra sự tự mãn ngu ngốc, ngay từ đầu đã khiến các nhà sản xuất xem TV như một mối đe dọa. Hollywood coi thường và từ chối TV trong khi lẽ ra họ phải chào đón nó như một cơ hội – cơ hội để mở rộng lĩnh vực kinh doanh giải trí.</w:t>
      </w:r>
    </w:p>
    <w:p>
      <w:pPr>
        <w:pStyle w:val="Para 008"/>
      </w:pPr>
      <w:r>
        <w:t>Ngày nay, TV là một ngành kinh doanh lớn hơn nhiều so với ngành công nghiệp phim ảnh bị giới hạn trong định nghĩa hẹp trước đây. Nếu Hollywood định hướng theo khách hàng (cung cấp giải trí) thay vì theo sản phẩm (sản xuất phim), liệu họ có phải trải qua cuộc thanh lọc tài chính như vậy không? Tôi nghi ngờ điều đó. Điều cuối cùng đã cứu Hollywood và tạo nên sự hồi sinh của nó là làn sóng các nhà biên kịch, nhà sản xuất và đạo diễn trẻ mới, những người có thành công trước đó trong lĩnh vực truyền hình đã tàn phá các công ty phim cũ và lật đổ các ông trùm điện ảnh lớn.</w:t>
      </w:r>
    </w:p>
    <w:p>
      <w:pPr>
        <w:pStyle w:val="Normal"/>
      </w:pPr>
      <w:r>
        <w:t>Có những ví dụ khác, ít rõ ràng hơn, về các ngành công nghiệp đã và đang gây nguy hiểm cho tương lai của chính mình bằng cách xác định sai mục đích của mình. Tôi sẽ thảo luận chi tiết về một số trong số đó sau và phân tích loại chính sách dẫn đến rắc rối. Ngay bây giờ, có thể hữu ích khi cho thấy một ban quản lý định hướng khách hàng triệt để có thể làm gì để giữ cho một ngành đang tăng trưởng tiếp tục phát triển, ngay cả khi các cơ hội rõ ràng đã cạn kiệt. Và có hai ví dụ đã tồn tại từ lâu. Đó là nylon và thủy tinh – cụ thể là công ty E.I. du Pont de Nemours and Company và Corning Glass Works.</w:t>
      </w:r>
    </w:p>
    <w:p>
      <w:pPr>
        <w:pStyle w:val="Normal"/>
      </w:pPr>
      <w:r>
        <w:t>Cả hai công ty đều có năng lực kỹ thuật tuyệt vời. Định hướng sản phẩm của họ là không thể bàn cãi. Nhưng riêng điều này không giải thích cho thành công của họ. Suy cho cùng, ai lại tự hào về định hướng sản phẩm và ý thức về sản phẩm hơn các công ty dệt may New England cũ, những công ty đã bị tàn sát hoàn toàn? DuPont và Corning thành công không phải chủ yếu vì định hướng sản phẩm hay nghiên cứu mà vì họ cũng hoàn toàn định hướng khách hàng. Chính sự luôn để mắt đến cơ hội áp dụng kiến thức kỹ thuật của mình để tạo ra những ứng dụng thỏa mãn khách hàng là yếu tố tạo nên khối lượng sản phẩm mới thành công khổng lồ của họ. Nếu không có con mắt tinh tường hướng về khách hàng, hầu hết các sản phẩm mới của họ có thể đã sai lầm, và phương thức bán hàng của họ cũng vô dụng.</w:t>
      </w:r>
    </w:p>
    <w:p>
      <w:pPr>
        <w:pStyle w:val="Normal"/>
      </w:pPr>
      <w:r>
        <w:t>Nhôm cũng tiếp tục là một ngành công nghiệp tăng trưởng, nhờ nỗ lực của hai công ty được thành lập trong thời chiến, những công ty đã chủ động tạo ra các ứng dụng mới làm hài lòng khách hàng. Nếu không có Tập đoàn Kaiser Aluminum &amp; Chemical và Công ty Reynolds Metals, tổng nhu cầu về nhôm ngày nay sẽ ít hơn rất nhiều.</w:t>
      </w:r>
    </w:p>
    <w:p>
      <w:bookmarkStart w:id="891" w:name="Error_of_Analysis"/>
      <w:pPr>
        <w:pStyle w:val="Heading 4"/>
      </w:pPr>
      <w:r>
        <w:t>Sai lầm trong phân tích</w:t>
      </w:r>
      <w:bookmarkEnd w:id="891"/>
    </w:p>
    <w:p>
      <w:pPr>
        <w:pStyle w:val="Normal"/>
      </w:pPr>
      <w:r>
        <w:t>Một số người có thể cho rằng thật ngớ ngẩn khi đặt ngành đường sắt lên bàn cân so với nhôm, hay điện ảnh so với thủy tinh. Chẳng phải nhôm và thủy tinh vốn dĩ linh hoạt đến mức các ngành này chắc chắn có nhiều cơ hội tăng trưởng hơn đường sắt và điện ảnh sao? Quan điểm này phạm phải chính sai lầm mà tôi đang nói đến. Nó định nghĩa một ngành công nghiệp, một sản phẩm hay một cụm bí quyết công nghệ một cách quá hẹp, đảm bảo cho sự lão hóa sớm của chúng. Khi nhắc đến “đường sắt,” chúng ta nên chắc chắn rằng chúng ta muốn nói đến “giao thông vận tải.” Với vai trò vận chuyển, đường sắt vẫn còn cơ hội tốt để tăng trưởng rất đáng kể. Chúng không bị giới hạn trong kinh doanh đường sắt theo nghĩa hẹp (mặc dù theo tôi, vận tải đường sắt có tiềm năng trở thành một phương tiện giao thông mạnh hơn nhiều so với người ta thường nghĩ).</w:t>
      </w:r>
    </w:p>
    <w:p>
      <w:pPr>
        <w:pStyle w:val="Normal"/>
      </w:pPr>
      <w:r>
        <w:t>Điều mà ngành đường sắt thiếu không phải là cơ hội mà là một phần trí tưởng tượng và sự táo bạo trong quản lý đã làm nên sự vĩ đại của họ. Ngay cả một người nghiệp dư như Jacques Barzun cũng có thể thấy điều còn thiếu khi ông nói: “Tôi đau lòng khi thấy tổ chức vật chất và xã hội tiên tiến nhất của thế kỷ trước đi xuống trong sự ô nhục tồi tàn vì thiếu đi chính trí tưởng tượng toàn diện đã xây dựng nên nó. [Điều thiếu là] ý chí của các công ty để tồn tại và làm hài lòng công chúng bằng sự sáng tạo và kỹ</w:t>
      </w:r>
      <w:hyperlink w:anchor="1_5">
        <w:r>
          <w:rPr>
            <w:rStyle w:val="Text5"/>
          </w:rPr>
          <w:bookmarkStart w:id="892" w:name="1_4"/>
          <w:t> năng.”1</w:t>
          <w:bookmarkEnd w:id="892"/>
        </w:r>
      </w:hyperlink>
    </w:p>
    <w:p>
      <w:bookmarkStart w:id="893" w:name="SHADOW_OF_OBSOLESCENCE"/>
      <w:pPr>
        <w:pStyle w:val="Para 037"/>
      </w:pPr>
      <w:r>
        <w:t>CÁI BÓNG CỦA SỰ LỖI THỜI</w:t>
      </w:r>
      <w:bookmarkEnd w:id="893"/>
    </w:p>
    <w:p>
      <w:pPr>
        <w:pStyle w:val="Normal"/>
      </w:pPr>
      <w:r>
        <w:t>Không thể kể ra một ngành công nghiệp lớn nào mà lại không có thời điểm đủ tư cách cho danh hiệu kỳ diệu “ngành công nghiệp tăng trưởng.” Trong mỗi trường hợp, sức mạnh được cho là nằm ở sự vượt trội dường như không bị thách thức của sản phẩm. Dường như không có sản phẩm thay thế hiệu quả nào cho nó. Bản thân nó là một sản phẩm thay thế vượt trội cho sản phẩm mà nó đã thay thế một cách đầy thắng lợi. Thế mà từng ngành công nghiệp nổi tiếng này lần lượt rơi vào bóng tối. Chúng ta hãy xem xét ngắn gọn một vài ví dụ nữa, lần này lấy những ví dụ cho đến nay ít được chú ý hơn.</w:t>
      </w:r>
    </w:p>
    <w:p>
      <w:bookmarkStart w:id="894" w:name="Dry_Cleaning"/>
      <w:pPr>
        <w:pStyle w:val="Heading 4"/>
      </w:pPr>
      <w:r>
        <w:t>Giặt khô</w:t>
      </w:r>
      <w:bookmarkEnd w:id="894"/>
    </w:p>
    <w:p>
      <w:pPr>
        <w:pStyle w:val="Normal"/>
      </w:pPr>
      <w:r>
        <w:t>Đây từng là một ngành công nghiệp tăng trưởng với triển vọng tuyệt vời. Trong thời đại quần áo len, hãy tưởng tượng cuối cùng cũng có thể giặt chúng sạch sẽ một cách an toàn và dễ dàng. Sự bùng nổ đã diễn ra. Vậy mà 30 năm sau khi cơn sốt bắt đầu, ngành này đang gặp rắc rối. Sự cạnh tranh đến từ đâu? Từ một phương pháp giặt tốt hơn? Không. Nó đến từ sợi tổng hợp và các chất phụ gia hóa học đã làm giảm nhu cầu giặt khô. Nhưng đây mới chỉ là sự khởi đầu. Ẩn nấp phía sau và sẵn sàng làm cho giặt khô bằng hóa chất trở nên hoàn toàn lỗi thời chính là nhà ảo thuật quyền năng, sóng siêu âm.</w:t>
      </w:r>
    </w:p>
    <w:p>
      <w:bookmarkStart w:id="895" w:name="Electric_Utilities"/>
      <w:pPr>
        <w:pStyle w:val="Heading 4"/>
      </w:pPr>
      <w:r>
        <w:t>Các công ty điện lực</w:t>
      </w:r>
      <w:bookmarkEnd w:id="895"/>
    </w:p>
    <w:p>
      <w:pPr>
        <w:pStyle w:val="Normal"/>
      </w:pPr>
      <w:r>
        <w:t>Đây lại là một trong những sản phẩm được cho là “không thể thay thế” được tôn vinh trên bệ đỡ của sự tăng trưởng bất khả chiến bại. Khi bóng đèn sợi đốt ra đời, đèn dầu đã kết thúc. Sau đó, bánh xe nước và động cơ hơi nước đã bị xé nát bởi sự linh hoạt, độ tin cậy, sự đơn giản và tính sẵn có dễ dàng của động cơ điện. Sự thịnh vượng của các công ty điện lực tiếp tục bành trướng khi ngôi nhà được biến thành một bảo tàng đồ điện gia dụng. Làm sao ai có thể thất bại khi đầu tư vào các công ty điện lực, khi không có cạnh tranh, chỉ có tăng trưởng phía trước?</w:t>
      </w:r>
    </w:p>
    <w:p>
      <w:pPr>
        <w:pStyle w:val="Normal"/>
      </w:pPr>
      <w:r>
        <w:t>Nhưng nhìn lại lần thứ hai thì không mấy an ủi. Khoảng hai mươi công ty ngoài ngành điện đang tiến triển tốt trong việc phát triển một loại pin nhiên liệu hóa học mạnh mẽ, có thể nằm trong một góc kín nào đó của mỗi ngôi nhà và âm thầm sản sinh điện năng. Các đường dây điện làm mất mỹ quan nhiều khu phố sẽ bị loại bỏ. Việc phá đường bất tận và gián đoạn dịch vụ trong các cơn bão cũng sẽ biến mất. Năng lượng mặt trời cũng đang ở phía trước, một lần nữa được tiên phong bởi các công ty ngoài ngành điện.</w:t>
      </w:r>
    </w:p>
    <w:p>
      <w:pPr>
        <w:pStyle w:val="Normal"/>
      </w:pPr>
      <w:r>
        <w:t>Ai nói rằng các công ty điện lực không có đối thủ cạnh tranh? Họ có thể là những nhà độc quyền tự nhiên hiện tại, nhưng ngày mai họ có thể trở thành những cái chết tự nhiên. Để tránh viễn cảnh này, họ cũng sẽ phải phát triển pin nhiên liệu, năng lượng mặt trời và các nguồn năng lượng khác. Để tồn tại, chính họ sẽ phải lên kế hoạch cho sự lỗi thời của những gì hiện đang mang lại sinh kế cho họ.</w:t>
      </w:r>
    </w:p>
    <w:p>
      <w:bookmarkStart w:id="896" w:name="Grocery_Stores"/>
      <w:pPr>
        <w:pStyle w:val="Heading 4"/>
      </w:pPr>
      <w:r>
        <w:t>Các cửa hàng tạp hóa</w:t>
      </w:r>
      <w:bookmarkEnd w:id="896"/>
    </w:p>
    <w:p>
      <w:pPr>
        <w:pStyle w:val="Normal"/>
      </w:pPr>
      <w:r>
        <w:t>Nhiều người khó có thể tin rằng từng có một cơ sở kinh doanh thịnh vượng được gọi là “cửa hàng góc phố.” Siêu thị đã tiếp quản với một hiệu quả mạnh mẽ. Tuy nhiên, các chuỗi cửa hàng thực phẩm lớn những năm 1930 đã suýt bị xóa sổ hoàn toàn bởi sự mở rộng mạnh mẽ của các siêu thị độc lập. Siêu thị thực sự đầu tiên được khai trương vào năm 1930, tại Jamaica, Long Island. Đến năm 1933, các siêu thị đã phát triển mạnh mẽ ở California, Ohio, Pennsylvania và những nơi khác. Tuy nhiên, các chuỗi cửa hàng đã thành lập vênh váo phớt lờ họ. Khi họ chọn để ý đến chúng, thì lại với những mô tả chế giễu như “rẻ tiền,” “kiểu ngựa và xe,” “cách quản lý cửa hàng thùng bánh quy,” và “những kẻ cơ hội phi đạo đức.”</w:t>
      </w:r>
    </w:p>
    <w:p>
      <w:pPr>
        <w:pStyle w:val="Normal"/>
      </w:pPr>
      <w:r>
        <w:t>Giám đốc điều hành của một chuỗi cửa hàng lớn lúc đó đã tuyên bố rằng ông thấy “khó tin rằng mọi người sẽ lái xe hàng dặm để mua thực phẩm và hy sinh dịch vụ cá nhân mà các chuỗi cửa hàng đã hoàn thiện và [người tiêu dùng] đã quen thuộc.”2</w:t>
      </w:r>
      <w:hyperlink w:anchor="2_3">
        <w:r>
          <w:rPr>
            <w:rStyle w:val="Text5"/>
          </w:rPr>
          <w:bookmarkStart w:id="897" w:name="2_2"/>
          <w:t> </w:t>
          <w:bookmarkEnd w:id="897"/>
        </w:r>
      </w:hyperlink>
      <w:r>
        <w:t xml:space="preserve">Mãi đến năm 1936, hội nghị National Wholesale Grocers và Hiệp hội New Jersey Retail Grocers Association nói rằng không có gì phải sợ. Họ nói rằng sức hấp dẫn hẹp của siêu thị đối với người mua theo giá đã giới hạn quy mô thị trường của họ. Họ phải thu hút khách hàng từ xa. Khi những người bắt chước xuất hiện, sẽ có sự thanh lý hàng loạt khi doanh số giảm. Doanh số bán hàng cao của các siêu thị được cho là một phần do tính mới lạ của chúng. Mọi người muốn các cửa hàng tạp hóa tiện lợi trong khu phố. Nếu các cửa hàng lân cận “hợp tác với nhà cung cấp, chú ý đến chi phí và cải thiện dịch vụ,” họ sẽ có thể vượt qua cạnh tranh cho đến khi nó kết</w:t>
      </w:r>
      <w:hyperlink w:anchor="3_3">
        <w:r>
          <w:rPr>
            <w:rStyle w:val="Text5"/>
          </w:rPr>
          <w:bookmarkStart w:id="898" w:name="3_2"/>
          <w:t> thúc.”3</w:t>
          <w:bookmarkEnd w:id="898"/>
        </w:r>
      </w:hyperlink>
    </w:p>
    <w:p>
      <w:pPr>
        <w:pStyle w:val="Normal"/>
      </w:pPr>
      <w:r>
        <w:t>Chuyện đó chưa bao giờ lắng xuống. Các chuỗi cửa hàng phát hiện ra rằng để sống còn, họ phải chuyển sang kinh doanh siêu thị. Điều này đồng nghĩa với việc phá bỏ hoàn toàn những khoản đầu tư khổng lồ vào các cửa hàng góc phố cũng như các phương thức phân phối và bán hàng đã được thiết lập. Những công ty có “dũng khí theo niềm tin” kiên quyết bám lấy triết lý cửa hàng góc phố. Họ giữ được niềm tự hào nhưng mất trắng.</w:t>
      </w:r>
    </w:p>
    <w:p>
      <w:bookmarkStart w:id="899" w:name="A_Self_Deceiving_Cycle"/>
      <w:pPr>
        <w:pStyle w:val="Heading 4"/>
      </w:pPr>
      <w:r>
        <w:t>Một Vòng Luẩn Quẩn Tự Đánh Lừa</w:t>
      </w:r>
      <w:bookmarkEnd w:id="899"/>
    </w:p>
    <w:p>
      <w:pPr>
        <w:pStyle w:val="Normal"/>
      </w:pPr>
      <w:r>
        <w:t>Nhưng trí nhớ con người thường ngắn ngủi. Ví dụ, những người hôm nay tự tin ca ngợi hai vị cứu tinh là điện tử và hóa chất sẽ khó mà thấy được điều gì có thể trục trặc với những ngành công nghiệp đang phát triển như vũ bão này. Họ cũng khó mà hiểu được làm sao một doanh nhân khá nhạy bén lại có thể thiển cận như vị triệu phú nổi tiếng ở Boston, người vào đầu thế kỷ XX đã vô tình kết án những người thừa kế của mình vào cảnh nghèo đói bằng cách quy định toàn bộ tài sản của ông phải mãi mãi được đầu tư duy nhất vào chứng khoán xe điện. Tuyên bố sau khi ông qua đời: “Sẽ luôn có nhu cầu lớn về giao thông đô thị hiệu quả” chẳng an ủi được gì cho những người thừa kế, những người đang sống nhờ việc bơm xăng tại các trạm xăng ô tô.</w:t>
      </w:r>
    </w:p>
    <w:p>
      <w:pPr>
        <w:pStyle w:val="Normal"/>
      </w:pPr>
      <w:r>
        <w:t>Tuy nhiên, trong một khảo sát nhanh mà tôi thực hiện với một nhóm giám đốc điều hành thông minh, gần một nửa đồng ý rằng sẽ khó có thể gây hại cho người thừa kế của họ bằng cách ràng buộc tài sản của họ mãi mãi với ngành điện tử. Khi tôi đối chiếu với ví dụ về xe điện ở Boston, họ đồng thanh trả lời: “Trường hợp đó khác!” Nhưng có khác không? Chẳng phải tình huống cơ bản là giống nhau sao?</w:t>
      </w:r>
    </w:p>
    <w:p>
      <w:pPr>
        <w:pStyle w:val="Normal"/>
      </w:pPr>
      <w:r>
        <w:t xml:space="preserve">Thành thật</w:t>
      </w:r>
      <w:r>
        <w:rPr>
          <w:rStyle w:val="Text0"/>
        </w:rPr>
        <w:t> mà nói, tôi tin rằng không có cái gọi là ngành</w:t>
      </w:r>
      <w:r>
        <w:t> công nghiệp tăng trưởng. Chỉ có những công ty được tổ chức và vận hành để tạo ra và tận dụng các cơ hội tăng trưởng. Các ngành công nghiệp tự cho rằng mình đang cưỡi trên thang cuốn tăng trưởng tự động chắc chắn sẽ rơi vào tình trạng trì trệ. Lịch sử của mọi ngành “tăng trưởng” đã chết hoặc đang hấp hối đều cho thấy một vòng luẩn quẩn tự đánh lừa giữa sự mở rộng dồi dào và sự suy tàn không bị phát hiện. Có bốn điều kiện thường đảm bảo cho vòng luẩn quẩn này:</w:t>
      </w:r>
    </w:p>
    <w:p>
      <w:pPr>
        <w:numPr>
          <w:ilvl w:val="0"/>
          <w:numId w:val="24"/>
        </w:numPr>
        <w:pStyle w:val="Para 024"/>
      </w:pPr>
      <w:r>
        <w:t>Niềm tin rằng tăng trưởng được đảm bảo bởi dân số ngày càng đông và giàu có hơn;</w:t>
      </w:r>
    </w:p>
    <w:p>
      <w:pPr>
        <w:numPr>
          <w:ilvl w:val="0"/>
          <w:numId w:val="24"/>
        </w:numPr>
        <w:pStyle w:val="Para 024"/>
      </w:pPr>
      <w:r>
        <w:t>Niềm tin rằng không có sản phẩm thay thế cạnh tranh nào cho sản phẩm chính của ngành;</w:t>
      </w:r>
    </w:p>
    <w:p>
      <w:pPr>
        <w:numPr>
          <w:ilvl w:val="0"/>
          <w:numId w:val="24"/>
        </w:numPr>
        <w:pStyle w:val="Para 024"/>
      </w:pPr>
      <w:r>
        <w:t>Quá tin tưởng vào sản xuất hàng loạt và lợi thế của việc chi phí đơn vị giảm nhanh khi sản lượng tăng;</w:t>
      </w:r>
    </w:p>
    <w:p>
      <w:pPr>
        <w:numPr>
          <w:ilvl w:val="0"/>
          <w:numId w:val="24"/>
        </w:numPr>
        <w:pStyle w:val="Para 024"/>
      </w:pPr>
      <w:r>
        <w:t>Quá bận tâm đến một sản phẩm phù hợp với việc thử nghiệm khoa học được kiểm soát chặt chẽ, cải tiến, và giảm chi phí sản xuất.</w:t>
      </w:r>
    </w:p>
    <w:p>
      <w:pPr>
        <w:pStyle w:val="Para 008"/>
      </w:pPr>
      <w:r>
        <w:t>Bây giờ tôi muốn xem xét từng điều kiện này một cách chi tiết hơn. Để trình bày quan điểm của mình một cách mạnh mẽ nhất có thể, tôi sẽ minh họa bằng ba ngành công nghiệp: dầu khí, ô tô, và điện tử. Tôi sẽ đặc biệt tập trung vào dầu khí, vì ngành này trải qua nhiều năm tháng và nhiều thăng trầm hơn cả. Không chỉ ba ngành này có danh tiếng tốt với công chúng và nhận được sự tin tưởng của các nhà đầu tư sành sỏi, mà ban lãnh đạo của họ còn được biết đến với tư duy tiến bộ trong các lĩnh vực như kiểm soát tài chính, nghiên cứu sản phẩm, và đào tạo quản lý. Nếu sự lỗi thời có thể làm tê liệt cả những ngành này, thì nó có thể xảy ra ở bất cứ đâu.</w:t>
      </w:r>
    </w:p>
    <w:p>
      <w:bookmarkStart w:id="900" w:name="POPULATION_MYTH"/>
      <w:pPr>
        <w:pStyle w:val="Para 037"/>
      </w:pPr>
      <w:r>
        <w:t>Huyền thoại về dân số</w:t>
      </w:r>
      <w:bookmarkEnd w:id="900"/>
    </w:p>
    <w:p>
      <w:pPr>
        <w:pStyle w:val="Normal"/>
      </w:pPr>
      <w:r>
        <w:t>Niềm tin rằng lợi nhuận được đảm bảo nhờ dân số ngày càng đông và giàu có là điều mà mọi ngành công nghiệp đều yêu thích. Nó làm dịu đi những lo lắng mà ai cũng dễ cảm nhận khi nghĩ về tương lai. Nếu người tiêu dùng ngày càng nhiều và cũng mua nhiều sản phẩm hoặc dịch vụ của bạn hơn, bạn có thể nhìn về tương lai với sự thoải mái hơn hẳn so với khi thị trường đang thu hẹp. Một thị trường đang mở rộng khiến nhà sản xuất không cần phải vắt óc suy nghĩ hay sáng tạo nhiều. Nếu suy nghĩ là phản ứng trí tuệ trước một vấn đề, thì việc không có vấn đề sẽ dẫn đến việc không có suy nghĩ. Nếu sản phẩm của bạn có một thị trường tự động mở rộng, bạn sẽ chẳng bận tâm nhiều đến cách làm sao để mở rộng nó.</w:t>
      </w:r>
    </w:p>
    <w:p>
      <w:pPr>
        <w:pStyle w:val="Normal"/>
      </w:pPr>
      <w:r>
        <w:t>Một trong những ví dụ thú vị nhất về điều này là ngành công nghiệp dầu mỏ. Có lẽ là ngành tăng trưởng lâu đời nhất của chúng ta, ngành này có thành tích đáng nể. Dù hiện tại có một số lo ngại về tốc độ tăng trưởng, nhưng bản thân ngành vẫn khá lạc quan.</w:t>
      </w:r>
    </w:p>
    <w:p>
      <w:pPr>
        <w:pStyle w:val="Normal"/>
      </w:pPr>
      <w:r>
        <w:t>Nhưng tôi tin rằng có thể chứng minh được rằng ngành này đang trải qua một sự thay đổi cơ bản nhưng điển hình. Nó không chỉ ngừng là một ngành tăng trưởng mà thực sự có thể đang suy giảm, so với các ngành khác. Mặc dù thực tế này ít người nhận ra, nhưng có thể hình dung rằng theo thời gian, ngành dầu mỏ có thể sẽ thấy mình ở vị thế chỉ còn vinh quang trong quá khứ như ngành đường sắt hiện nay. Bất chấp công trình tiên phong trong việc phát triển và áp dụng phương pháp giá trị hiện tại (present-value method) để đánh giá đầu tư, trong quan hệ lao động và hợp tác với các nước đang phát triển, ngành dầu mỏ là một ví dụ đáng buồn về cách mà sự tự mãn và sai lầm ngoan cố có thể biến cơ hội thành thảm họa.</w:t>
      </w:r>
    </w:p>
    <w:p>
      <w:pPr>
        <w:pStyle w:val="Normal"/>
      </w:pPr>
      <w:r>
        <w:t>Một trong những đặc điểm của ngành này và các ngành khác, những ngành đã tin rất mạnh mẽ vào lợi ích của việc dân số tăng, đồng thời có một sản phẩm đại trà mà dường như không có sản phẩm thay thế cạnh tranh nào, là các công ty riêng lẻ thường tìm cách vượt qua đối thủ bằng cách cải tiến những gì họ đang làm. Điều này tất nhiên là hợp lý nếu giả định rằng doanh số bán hàng gắn liền với sự tăng dân số của đất nước, vì khách hàng chỉ có thể so sánh sản phẩm theo từng tính năng. Tôi cho rằng đáng chú ý là, ví dụ, kể từ khi John D. Rockefeller gửi đèn dầu miễn phí đến Trung Quốc, ngành dầu mỏ chưa làm điều gì thực sự nổi bật để tạo ra nhu cầu cho sản phẩm của mình. Ngay cả trong việc cải tiến sản phẩm, ngành này cũng chẳng có gì đáng tự hào. Cải tiến lớn nhất duy nhất—phát triển tetraethyl lead—đến từ bên ngoài ngành, cụ thể là từ General Motors và DuPont. Những đóng góp lớn của chính ngành chỉ giới hạn trong công nghệ thăm dò dầu khí, khai thác dầu và lọc dầu.</w:t>
      </w:r>
    </w:p>
    <w:p>
      <w:bookmarkStart w:id="901" w:name="Asking_for_Trouble"/>
      <w:pPr>
        <w:pStyle w:val="Heading 4"/>
      </w:pPr>
      <w:r>
        <w:t>Tự rước họa vào thân</w:t>
      </w:r>
      <w:bookmarkEnd w:id="901"/>
    </w:p>
    <w:p>
      <w:pPr>
        <w:pStyle w:val="Normal"/>
      </w:pPr>
      <w:r>
        <w:t xml:space="preserve">Nói cách khác, những nỗ lực của ngành công nghiệp dầu mỏ tập trung vào việc cải thiện</w:t>
      </w:r>
      <w:r>
        <w:rPr>
          <w:rStyle w:val="Text0"/>
        </w:rPr>
        <w:t> hiệu quả</w:t>
      </w:r>
      <w:r>
        <w:t xml:space="preserve"> khai thác và sản xuất sản phẩm của họ, chứ không thực sự cải thiện sản phẩm chung hay việc tiếp thị nó. Hơn nữa, sản phẩm chính của họ luôn được định nghĩa theo cách hạn hẹp nhất có thể—cụ thể là xăng, chứ không phải năng lượng, nhiên liệu hay giao thông vận tải. Thái độ này đã góp phần đảm bảo rằng:</w:t>
      </w:r>
    </w:p>
    <w:p>
      <w:pPr>
        <w:numPr>
          <w:ilvl w:val="0"/>
          <w:numId w:val="25"/>
        </w:numPr>
        <w:pStyle w:val="Para 024"/>
      </w:pPr>
      <w:r>
        <w:t>Những cải tiến lớn về chất lượng xăng thường không bắt nguồn từ ngành công nghiệp dầu mỏ. Việc phát triển các loại nhiên liệu thay thế vượt trội cũng đến từ bên ngoài ngành dầu mỏ, như sẽ được trình bày sau.</w:t>
      </w:r>
    </w:p>
    <w:p>
      <w:pPr>
        <w:numPr>
          <w:ilvl w:val="0"/>
          <w:numId w:val="25"/>
        </w:numPr>
        <w:pStyle w:val="Para 024"/>
      </w:pPr>
      <w:r>
        <w:t>Những đổi mới lớn trong tiếp thị nhiên liệu ô tô đến từ các công ty dầu nhỏ và mới, những công ty không chủ yếu bận tâm đến sản xuất hay lọc dầu. Chính các công ty này đã tạo ra sự phát triển nhanh chóng của các trạm xăng đa trụ bơm, với điểm nhấn thành công là bố trí rộng rãi và sạch sẽ, dịch vụ nhanh chóng và hiệu quả tại lối vào, cùng xăng chất lượng cao với giá thấp.</w:t>
      </w:r>
    </w:p>
    <w:p>
      <w:pPr>
        <w:pStyle w:val="Para 008"/>
      </w:pPr>
      <w:r>
        <w:t>Vì vậy, ngành dầu mỏ đang tự rước họa từ những người bên ngoài. Sớm hay muộn, trên mảnh đất đầy những nhà đầu tư và doanh nhân khao khát này, một mối đe dọa chắc chắn sẽ xuất hiện. Khả năng này sẽ trở nên rõ ràng hơn khi chúng ta chuyển sang niềm tin nguy hiểm tiếp theo của nhiều ban quản lý. Để duy trì tính liên tục, vì niềm tin thứ hai này gắn chặt với niềm tin thứ nhất, tôi sẽ tiếp tục với ví dụ tương tự.</w:t>
      </w:r>
    </w:p>
    <w:p>
      <w:bookmarkStart w:id="902" w:name="The_Idea_of_Indispensability"/>
      <w:pPr>
        <w:pStyle w:val="Heading 4"/>
      </w:pPr>
      <w:r>
        <w:t>Ý tưởng về sự không thể thiếu</w:t>
      </w:r>
      <w:bookmarkEnd w:id="902"/>
    </w:p>
    <w:p>
      <w:pPr>
        <w:pStyle w:val="Normal"/>
      </w:pPr>
      <w:r>
        <w:t>Ngành công nghiệp dầu mỏ gần như tin chắc rằng không có sản phẩm thay thế cạnh tranh nào cho sản phẩm chính của họ là xăng dầu—hoặc nếu có, thì sản phẩm đó vẫn sẽ là một dẫn xuất của dầu thô, như nhiên liệu diesel hay nhiên liệu máy bay phản lực kerosene.</w:t>
      </w:r>
    </w:p>
    <w:p>
      <w:pPr>
        <w:pStyle w:val="Normal"/>
      </w:pPr>
      <w:r>
        <w:t>Có rất nhiều ảo tưởng hão huyền tự động trong giả định này. Vấn đề là hầu hết các công ty lọc dầu sở hữu trữ lượng dầu thô khổng lồ. Những trữ lượng này chỉ có giá trị khi có thị trường cho các sản phẩm mà dầu có thể chuyển hóa thành. Do đó, họ kiên trì tin vào tính ưu việt cạnh tranh tiếp diễn của nhiên liệu ô tô làm từ dầu thô.</w:t>
      </w:r>
    </w:p>
    <w:p>
      <w:pPr>
        <w:pStyle w:val="Normal"/>
      </w:pPr>
      <w:r>
        <w:t>Ý tưởng này vẫn tồn tại bất chấp mọi bằng chứng lịch sử chống lại nó. Bằng chứng không chỉ cho thấy dầu mỏ chưa bao giờ là một sản phẩm vượt trội cho bất kỳ mục đích nào trong thời gian dài, mà còn cho thấy ngành công nghiệp dầu mỏ chưa bao giờ thực sự là một ngành tăng trưởng. Đúng hơn, nó là một chuỗi các ngành kinh doanh khác nhau đã trải qua các chu kỳ lịch sử thông thường của tăng trưởng, trưởng thành và suy tàn. Sự sống còn chung của ngành là nhờ vào một loạt các cuộc thoát hiểm thần kỳ khỏi sự lỗi thời hoàn toàn, những sự ân xá vào phút chót và bất ngờ khỏi thảm họa toàn diện, gợi nhớ đến những hiểm nguy của Pauline.</w:t>
      </w:r>
    </w:p>
    <w:p>
      <w:bookmarkStart w:id="903" w:name="The_Perils_of_Petroleum"/>
      <w:pPr>
        <w:pStyle w:val="Heading 4"/>
      </w:pPr>
      <w:r>
        <w:t>Những hiểm nguy của dầu mỏ</w:t>
      </w:r>
      <w:bookmarkEnd w:id="903"/>
    </w:p>
    <w:p>
      <w:pPr>
        <w:pStyle w:val="Normal"/>
      </w:pPr>
      <w:r>
        <w:t>Để minh họa, tôi sẽ phác họa chỉ những giai đoạn chính. Đầu tiên, dầu thô phần lớn là một loại thuốc đặc chế (patent medicine). Nhưng ngay cả trước khi trào lưu đó tàn lụi, nhu cầu đã tăng lên rất nhiều nhờ việc sử dụng dầu trong đèn dầu hỏa (kerosene lamps). Viễn cảnh thắp sáng những ngọn đèn của thế giới đã tạo nên một lời hứa tăng trưởng xa hoa. Triển vọng đó tương tự như triển vọng mà ngành công nghiệp này hiện đang dành cho xăng ở những nơi khác trên thế giới. Ngành này gần như không thể chờ đợi để các quốc gia kém phát triển có một chiếc ô tô trong mỗi gara.</w:t>
      </w:r>
    </w:p>
    <w:p>
      <w:pPr>
        <w:pStyle w:val="Normal"/>
      </w:pPr>
      <w:r>
        <w:t>Vào thời kỳ đèn dầu hỏa, các công ty dầu mỏ cạnh tranh với nhau và với đèn khí đốt bằng cách cố gắng cải thiện đặc tính chiếu sáng của dầu hỏa. Rồi đột nhiên điều không tưởng đã xảy ra. Edison phát minh ra một loại đèn hoàn toàn không phụ thuộc vào dầu thô. Nếu không nhờ việc dầu hỏa ngày càng được sử dụng nhiều trong các lò sưởi phòng, thì đèn sợi đốt đã hoàn toàn kết liễu dầu mỏ như một ngành công nghiệp tăng trưởng vào thời điểm đó. Dầu mỏ khi đó sẽ chỉ còn có ích để làm mỡ bôi trơn trục xe.</w:t>
      </w:r>
    </w:p>
    <w:p>
      <w:pPr>
        <w:pStyle w:val="Normal"/>
      </w:pPr>
      <w:r>
        <w:t>Rồi thảm họa và sự cứu rỗi lại ập đến. Hai phát minh vĩ đại đã xuất hiện, cả hai đều không bắt nguồn từ ngành công nghiệp dầu mỏ. Đầu tiên, sự phát triển thành công của các hệ thống sưởi trung tâm trong nhà chạy bằng than đã khiến lò sưởi phòng trở nên lỗi thời. Trong khi ngành công nghiệp đang choáng váng, thì động cơ đốt trong—cũng do những người ngoài ngành phát minh—đã đến như một cú hích vĩ đại nhất từ trước đến nay. Rồi khi sự bành trướng khổng lồ của xăng dầu cuối cùng bắt đầu chững lại vào những năm 1920, thì lò sưởi dầu trung tâm đã xuất hiện như một cứu cánh kỳ diệu. Một lần nữa, sự cứu thoát lại đến từ một phát minh và sự phát triển của người ngoài ngành. Và khi thị trường đó suy yếu, nhu cầu nhiên liệu hàng không trong thời chiến đã đến cứu nguy. Sau chiến tranh, sự mở rộng của hàng không dân dụng, quá trình diesel hóa đường sắt, và nhu cầu bùng nổ về ô tô và xe tải đã duy trì tốc độ tăng trưởng cao của ngành.</w:t>
      </w:r>
    </w:p>
    <w:p>
      <w:pPr>
        <w:pStyle w:val="Normal"/>
      </w:pPr>
      <w:r>
        <w:t>Trong khi đó, hệ thống sưởi dầu tập trung—mà tiềm năng bùng nổ của nó mới chỉ được ca ngợi gần đây—đã gặp phải sự cạnh tranh gay gắt từ khí tự nhiên. Mặc dù bản thân các công ty dầu mỏ sở hữu nguồn khí đốt hiện đang cạnh tranh với dầu của họ, nhưng ngành công nghiệp này không khởi xướng cuộc cách mạng khí tự nhiên, và cho đến ngày nay họ cũng không thu được lợi nhuận đáng kể từ quyền sở hữu khí đốt của mình. Cuộc cách mạng khí đốt được tạo nên bởi các công ty truyền tải mới thành lập, những công ty đã tiếp thị sản phẩm này với một nhiệt huyết mạnh mẽ. Họ đã khởi đầu một ngành công nghiệp mới vĩ đại, trước tiên là bất chấp lời khuyên, sau đó là chống lại sự phản đối của các công ty dầu mỏ.</w:t>
      </w:r>
    </w:p>
    <w:p>
      <w:pPr>
        <w:pStyle w:val="Normal"/>
      </w:pPr>
      <w:r>
        <w:t>Theo đúng logic của tình thế, lẽ ra chính các công ty dầu mỏ phải thực hiện cuộc cách mạng khí đốt. Họ không chỉ sở hữu khí đốt, mà còn là những người duy nhất có kinh nghiệm trong việc xử lý, làm sạch và sử dụng nó, và là những người duy nhất có kinh nghiệm về công nghệ đường ống và truyền tải. Họ cũng hiểu rõ các vấn đề về sưởi ấm. Nhưng, một phần vì họ biết rằng khí tự nhiên sẽ cạnh tranh với việc bán dầu sưởi của chính họ, nên các công ty dầu mỏ đã coi thường tiềm năng của khí đốt. Cuộc cách mạng cuối cùng đã được khởi xướng bởi các giám đốc điều hành đường ống dẫn dầu, những người, không thể thuyết phục công ty của mình tham gia vào lĩnh vực khí đốt, đã từ chức và thành lập nên các công ty truyền tải khí đốt thành công ngoạn mục. Ngay cả sau khi thành công của họ đã trở nên hiển nhiên một cách đau đớn đối với các công ty dầu mỏ, thì những công ty này vẫn không tham gia vào lĩnh vực truyền tải khí đốt. Công việc kinh doanh trị giá hàng tỷ đô la lẽ ra thuộc về họ đã rơi vào tay những người khác. Như trước đây, ngành công nghiệp này đã bị che mắt bởi sự bận tâm hẹp hòi với một sản phẩm cụ thể và giá trị trữ lượng của mình. Họ hầu như không chú ý đến những nhu cầu và sở thích cơ bản của khách hàng.</w:t>
      </w:r>
    </w:p>
    <w:p>
      <w:pPr>
        <w:pStyle w:val="Normal"/>
      </w:pPr>
      <w:r>
        <w:t>Những năm sau chiến tranh không chứng kiến bất kỳ thay đổi nào. Ngay sau Thế chiến II, ngành dầu mỏ rất được khích lệ về tương lai nhờ nhu cầu tăng nhanh đối với các dòng sản phẩm truyền thống. Năm 1950, hầu hết các công ty dự báo tốc độ tăng trưởng nội địa hàng năm khoảng 6% cho đến ít nhất là 1975. Dù tỷ lệ trữ lượng dầu thô so với nhu cầu ở thế giới tự do là khoảng 20:1, trong khi 10:1 thường được coi là tỷ lệ vận hành hợp lý ở Mỹ, nhu cầu bùng nổ đã khiến các nhà thăm dò dầu tìm kiếm thêm mà không quan tâm đúng mức đến những gì tương lai thực sự hứa hẹn. Năm 1952, họ “trúng lớn” ở Trung Đông; tỷ lệ này tăng vọt lên 42:1. Nếu lượng bổ sung gộp vào trữ lượng tiếp tục ở mức trung bình của năm năm qua (37 tỷ thùng mỗi năm), thì đến năm 1970, tỷ lệ dự trữ sẽ lên tới 45:1. Sự dồi dào dầu mỏ này đã làm suy yếu giá dầu thô và các sản phẩm dầu trên toàn thế giới.</w:t>
      </w:r>
    </w:p>
    <w:p>
      <w:bookmarkStart w:id="904" w:name="An_Uncertain_Future"/>
      <w:pPr>
        <w:pStyle w:val="Heading 4"/>
      </w:pPr>
      <w:r>
        <w:t>Một Tương Lai Bất Định</w:t>
      </w:r>
      <w:bookmarkEnd w:id="904"/>
    </w:p>
    <w:p>
      <w:pPr>
        <w:pStyle w:val="Normal"/>
      </w:pPr>
      <w:r>
        <w:t>Giới quản lý ngày nay không thể tìm thấy nhiều an ủi trong ngành hóa dầu đang mở rộng nhanh chóng, một ý tưởng sử dụng dầu khác không bắt nguồn từ các công ty hàng đầu. Tổng sản lượng hóa dầu của Mỹ tương đương khoảng 2% (theo thể tích) nhu cầu về tất cả các sản phẩm dầu mỏ. Mặc dù ngành hóa dầu hiện được dự kiến tăng trưởng khoảng 10% mỗi năm, điều này sẽ không bù đắp được các hao hụt khác đối với tăng trưởng tiêu thụ dầu thô. Hơn nữa, trong khi các sản phẩm hóa dầu rất nhiều và đang tăng lên, điều quan trọng là phải nhớ rằng có những nguồn nguyên liệu thô cơ bản không phải từ dầu mỏ, như than đá. Bên cạnh đó, nhiều loại nhựa có thể được sản xuất với lượng dầu tương đối ít. Một nhà máy lọc dầu công suất 50.000 thùng/ngày hiện được coi là quy mô tối thiểu tuyệt đối để đạt hiệu quả. Nhưng một nhà máy hóa chất công suất 5.000 thùng/ngày đã là một hoạt động khổng lồ.</w:t>
      </w:r>
    </w:p>
    <w:p>
      <w:pPr>
        <w:pStyle w:val="Normal"/>
      </w:pPr>
      <w:r>
        <w:t>Dầu mỏ chưa bao giờ là một ngành công nghiệp tăng trưởng mạnh liên tục. Nó phát triển từng chập những bước, luôn được cứu một cách kỳ diệu bởi những đổi mới và phát triển không do chính nó tạo ra. Lý do nó không tăng trưởng một cách suôn sẻ là vì mỗi lần nó nghĩ rằng mình có một sản phẩm vượt trội an toàn trước khả năng bị thay thế bởi các sản phẩm cạnh tranh, thì sản phẩm đó lại hóa ra kém hơn và nổi tiếng là dễ bị lỗi thời. Cho đến nay, xăng dầu (cho động cơ, dù sao đi nữa) đã thoát khỏi số phận đó. Nhưng, như chúng ta sẽ thấy sau, nó cũng có thể đang hấp hối.</w:t>
      </w:r>
    </w:p>
    <w:p>
      <w:pPr>
        <w:pStyle w:val="Normal"/>
      </w:pPr>
      <w:r>
        <w:t>Điểm cốt lõi của tất cả những điều này là không có gì đảm bảo chống lại sự lỗi thời của sản phẩm. Nếu nghiên cứu của bản thân công ty không làm cho sản phẩm trở nên lỗi thời, thì công ty khác sẽ làm. Trừ khi một ngành công nghiệp đặc biệt may mắn, như ngành dầu mỏ cho đến nay, nó có thể dễ dàng chìm trong biển lỗ—giống như ngành đường sắt đã chịu, các nhà sản xuất roi xe ngựa, các chuỗi cửa hàng tạp hóa góc phố, hầu hết các công ty điện ảnh lớn, và thực sự là nhiều ngành công nghiệp khác cũng vậy.</w:t>
      </w:r>
    </w:p>
    <w:p>
      <w:pPr>
        <w:pStyle w:val="Normal"/>
      </w:pPr>
      <w:r>
        <w:t>Cách tốt nhất để một công ty gặp may là tự mình tạo ra vận may. Điều đó đòi hỏi phải hiểu được điều gì làm nên sự thành công của một doanh nghiệp. Một trong những kẻ thù lớn nhất của sự hiểu biết này là sản xuất hàng loạt (mass production).</w:t>
      </w:r>
    </w:p>
    <w:p>
      <w:bookmarkStart w:id="905" w:name="Production_Pressures"/>
      <w:pPr>
        <w:pStyle w:val="Heading 4"/>
      </w:pPr>
      <w:r>
        <w:t>Áp lực sản xuất</w:t>
      </w:r>
      <w:bookmarkEnd w:id="905"/>
    </w:p>
    <w:p>
      <w:pPr>
        <w:pStyle w:val="Normal"/>
      </w:pPr>
      <w:r>
        <w:t>Các ngành sản xuất hàng loạt bị thúc đẩy bởi một động lực lớn là sản xuất hết mức có thể. Viễn cảnh chi phí đơn vị giảm mạnh khi sản lượng tăng thường khiến hầu hết các công ty không thể cưỡng lại. Tiềm năng lợi nhuận trông thật hấp dẫn. Mọi nỗ lực đều tập trung vào sản xuất. Kết quả là tiếp thị (marketing) bị bỏ bê.</w:t>
      </w:r>
    </w:p>
    <w:p>
      <w:pPr>
        <w:pStyle w:val="Normal"/>
      </w:pPr>
      <w:r>
        <w:t>John Kenneth Galbraith cho rằng điều ngược lại mới xảy ra.4 Sản</w:t>
      </w:r>
      <w:hyperlink w:anchor="4_3">
        <w:r>
          <w:rPr>
            <w:rStyle w:val="Text5"/>
          </w:rPr>
          <w:bookmarkStart w:id="906" w:name="4_2"/>
          <w:t> </w:t>
          <w:bookmarkEnd w:id="906"/>
        </w:r>
      </w:hyperlink>
      <w:r>
        <w:t xml:space="preserve">lượng quá lớn đến mức mọi nỗ lực đều tập trung vào việc tìm cách tiêu thụ nó. Ông nói rằng điều này giải thích cho những quảng cáo có bài hát, sự phá hoại cảnh quan nông thôn bằng các biển quảng cáo, và những hoạt động lãng phí và thô tục khác. Galbraith đã đụng trúng một vấn đề có thật, nhưng ông bỏ lỡ điểm chiến lược. Sản xuất hàng loạt quả thực tạo ra áp lực lớn để “đẩy” sản phẩm đi. Nhưng thứ thường được nhấn mạnh là bán hàng, không phải tiếp thị. Tiếp thị – một quy trình tinh vi và phức tạp hơn – lại bị bỏ qua.</w:t>
      </w:r>
    </w:p>
    <w:p>
      <w:pPr>
        <w:pStyle w:val="Normal"/>
      </w:pPr>
      <w:r>
        <w:t>Sự khác biệt giữa tiếp thị và bán hàng không chỉ là ngữ nghĩa. Bán hàng tập trung vào nhu cầu của người bán, còn tiếp thị tập trung vào nhu cầu của người mua. Bán hàng bận tâm đến nhu cầu của người bán trong việc chuyển sản phẩm thành tiền mặt, còn tiếp thị lại quan tâm đến ý tưởng thỏa mãn nhu cầu của khách hàng thông qua sản phẩm và toàn bộ những thứ liên quan đến việc tạo ra, phân phối, và cuối cùng là tiêu dùng nó.</w:t>
      </w:r>
    </w:p>
    <w:p>
      <w:pPr>
        <w:pStyle w:val="Normal"/>
      </w:pPr>
      <w:r>
        <w:t>Trong một số ngành, sức hấp dẫn của việc sản xuất hàng loạt toàn phần mạnh đến mức ban lãnh đạo cấp cao trên thực tế đã nói với bộ phận bán hàng rằng: “Các anh hãy tiêu thụ nó đi; chúng tôi lo về lợi nhuận.” Ngược lại, một công ty thực sự có tư duy tiếp thị cố gắng tạo ra những hàng hóa và dịch vụ mang lại sự thỏa mãn về giá trị mà người tiêu dùng muốn mua. Những gì họ chào bán không chỉ bao gồm sản phẩm hoặc dịch vụ cơ bản mà còn cả cách nó được cung cấp cho khách hàng, dưới hình thức nào, khi nào, trong điều kiện gì và với các điều khoản giao dịch ra sao. Quan trọng nhất, thứ họ chào bán được quyết định không phải bởi người bán mà bởi người mua. Người bán dựa vào tín hiệu từ người mua để sản phẩm trở thành kết quả của nỗ lực tiếp thị, chứ không phải ngược lại.</w:t>
      </w:r>
    </w:p>
    <w:p>
      <w:bookmarkStart w:id="907" w:name="A_Lag_in_Detroit"/>
      <w:pPr>
        <w:pStyle w:val="Heading 4"/>
      </w:pPr>
      <w:r>
        <w:t>Sự chậm trễ ở Detroit</w:t>
      </w:r>
      <w:bookmarkEnd w:id="907"/>
    </w:p>
    <w:p>
      <w:pPr>
        <w:pStyle w:val="Normal"/>
      </w:pPr>
      <w:r>
        <w:t>Điều này nghe có vẻ như một quy tắc kinh doanh cơ bản, nhưng điều đó không ngăn nó bị vi phạm hàng loạt. Nó chắc chắn bị vi phạm nhiều hơn là được tôn trọng. Hãy lấy ngành công nghiệp ô tô làm ví dụ.</w:t>
      </w:r>
    </w:p>
    <w:p>
      <w:pPr>
        <w:pStyle w:val="Normal"/>
      </w:pPr>
      <w:r>
        <w:t>Ở đây, sản xuất hàng loạt nổi tiếng nhất, được tôn vinh nhất, và có tác động lớn nhất đến toàn xã hội. Ngành này đã gắn vận mệnh của mình với những yêu cầu không ngừng của việc thay đổi mẫu xe hàng năm – một chính sách khiến định hướng khách hàng trở thành một nhu cầu đặc biệt cấp thiết. Do đó, các công ty ô tô hàng năm chi hàng triệu đô la cho nghiên cứu người tiêu dùng. Nhưng việc những chiếc xe cỡ nhỏ (compact cars) mới bán chạy đến vậy trong năm đầu tiên cho thấy các nghiên cứu rộng lớn của Detroit từ lâu đã không phát hiện ra điều khách hàng thực sự muốn. Detroit đã không tin rằng mọi người muốn điều gì khác so với những gì họ đang được cung cấp cho đến khi họ mất hàng triệu khách hàng vào tay các nhà sản xuất xe nhỏ khác.</w:t>
      </w:r>
    </w:p>
    <w:p>
      <w:pPr>
        <w:pStyle w:val="Normal"/>
      </w:pPr>
      <w:r>
        <w:t>Làm sao sự tụt hậu đến khó tin này so với mong muốn của người tiêu dùng lại có thể kéo dài lâu như vậy? Tại sao nghiên cứu không phát hiện ra sở thích của người tiêu dùng trước khi chính các quyết định mua hàng của họ phơi bày sự thật? Chẳng phải đó là mục đích của nghiên cứu người tiêu dùng sao — để biết trước điều gì sẽ xảy ra? Câu trả lời là Detroit chưa bao giờ thực sự nghiên cứu nhu cầu của khách hàng. Họ chỉ nghiên cứu sở thích của khách hàng giữa các loại sản phẩm mà họ đã quyết định cung cấp. Vì Detroit chủ yếu định hướng theo sản phẩm, không phải định hướng theo khách hàng. Ở mức độ mà khách hàng được công nhận là có những nhu cầu mà nhà sản xuất nên cố gắng đáp ứng, Detroit thường hành động như thể công việc đó có thể hoàn thành chỉ bằng các thay đổi sản phẩm. Đôi khi, họ cũng chú ý đến vấn đề tài chính, nhưng điều đó được thực hiện để bán hàng hơn là để giúp khách hàng mua được.</w:t>
      </w:r>
    </w:p>
    <w:p>
      <w:pPr>
        <w:pStyle w:val="Normal"/>
      </w:pPr>
      <w:r>
        <w:t>Còn về việc chăm sóc các nhu cầu khác của khách hàng, chẳng có bao nhiêu việc đáng nói. Các lĩnh vực có nhu cầu chưa được đáp ứng lớn nhất bị phớt lờ, hoặc nếu may mắn lắm thì chỉ được quan tâm như con ghẻ. Đó là ở khâu bán hàng và vấn đề sửa chữa, bảo dưỡng ô tô. Detroit coi những vấn đề này là thứ yếu. Điều này được nhấn mạnh bởi thực tế rằng các khâu bán lẻ và dịch vụ của ngành này không được các nhà sản xuất sở hữu, vận hành hay kiểm soát. Một khi chiếc xe đã được sản xuất, mọi thứ gần như nằm trong bàn tay yếu kém của các đại lý. Minh chứng cho thái độ giữ khoảng cách của Detroit là thực tế, trong khi dịch vụ bảo trì nắm giữ những cơ hội khổng lồ để kích thích doanh số và xây dựng lợi nhuận, chỉ có 57 trong số 7.000 đại lý của Chevrolet cung cấp dịch vụ bảo trì ban đêm.</w:t>
      </w:r>
    </w:p>
    <w:p>
      <w:pPr>
        <w:pStyle w:val="Normal"/>
      </w:pPr>
      <w:r>
        <w:t>Người lái xe nhiều lần bày tỏ sự không hài lòng với dịch vụ bảo trì và lo ngại về việc mua xe trong cơ chế bán hàng hiện tại. Những lo lắng và vấn đề họ gặp phải trong quá trình mua và bảo dưỡng ô tô ngày nay có lẽ còn gay gắt và phổ biến hơn nhiều so với nhiều năm trước. Tuy nhiên, các công ty ô tô dường như không lắng nghe hay học hỏi từ những người tiêu dùng đang đau khổ. Nếu họ có lắng nghe, thì cũng phải qua bộ lọc của sự bận tâm với sản xuất của chính họ. Nỗ lực tiếp thị vẫn bị coi là hệ quả tất yếu của sản phẩm — chứ không phải ngược lại, như lẽ ra phải như vậy. Đó là di sản của sản xuất hàng loạt, với cái nhìn hạn hẹp rằng lợi nhuận về cơ bản nằm ở việc sản xuất hết công suất với chi phí thấp.</w:t>
      </w:r>
    </w:p>
    <w:p>
      <w:bookmarkStart w:id="908" w:name="What_Ford_Put_First"/>
      <w:pPr>
        <w:pStyle w:val="Heading 4"/>
      </w:pPr>
      <w:r>
        <w:t>Điều Ford Đặt Lên Hàng Đầu</w:t>
      </w:r>
      <w:bookmarkEnd w:id="908"/>
    </w:p>
    <w:p>
      <w:pPr>
        <w:pStyle w:val="Normal"/>
      </w:pPr>
      <w:r>
        <w:t xml:space="preserve">Sức hấp dẫn lợi nhuận của sản xuất hàng loạt rõ ràng có vị trí trong kế hoạch và chiến lược của quản lý kinh doanh, nhưng nó phải luôn</w:t>
      </w:r>
      <w:r>
        <w:rPr>
          <w:rStyle w:val="Text0"/>
        </w:rPr>
        <w:t> đi sau</w:t>
      </w:r>
      <w:r>
        <w:t xml:space="preserve"> việc suy nghĩ thấu đáo về khách hàng. Đây là một trong những bài học quan trọng nhất chúng ta có thể học được từ hành vi mâu thuẫn của Henry Ford. Ở một khía cạnh nào đó, Ford vừa là nhà tiếp thị xuất sắc nhất vừa là nhà tiếp thị ngớ ngẩn nhất trong lịch sử nước Mỹ. Ông ngớ ngẩn vì ông từ chối cho khách hàng bất cứ thứ gì ngoài một chiếc xe màu đen. Ông xuất sắc vì ông đã tạo ra một hệ thống sản xuất được thiết kế để phù hợp với nhu cầu thị trường. Chúng ta quen tôn vinh ông vì lý do sai: vì thiên tài sản xuất của ông. Thiên tài thực sự của ông là tiếp thị. Chúng ta nghĩ rằng ông có thể cắt giảm giá bán và do đó bán được hàng triệu chiếc xe giá $500 vì phát minh dây chuyền lắp ráp đã giảm chi phí. Thực ra, ông phát minh dây chuyền lắp ráp vì ông đã kết luận rằng ở mức giá $500, ông có thể bán được hàng triệu chiếc xe. Sản xuất hàng loạt là kết quả,</w:t>
      </w:r>
      <w:r>
        <w:rPr>
          <w:rStyle w:val="Text0"/>
        </w:rPr>
        <w:t> không</w:t>
      </w:r>
      <w:r>
        <w:t> phải nguyên nhân, của việc giá thấp.</w:t>
      </w:r>
    </w:p>
    <w:p>
      <w:pPr>
        <w:pStyle w:val="Normal"/>
      </w:pPr>
      <w:r>
        <w:t>Ford đã nhấn đi nhấn lại điểm này, nhưng một thế hệ các nhà quản lý kinh doanh định hướng sản xuất vẫn không chịu nghe bài học lớn mà ông dạy. Dưới đây là triết lý vận hành mà ông đã diễn đạt một cách ngắn gọn:</w:t>
      </w:r>
    </w:p>
    <w:p>
      <w:pPr>
        <w:pStyle w:val="Normal"/>
      </w:pPr>
      <w:r>
        <w:t>Chính sách của chúng tôi là giảm giá, mở rộng hoạt động và cải tiến sản phẩm. Bạn sẽ nhận thấy rằng việc giảm giá được đặt lên hàng đầu. Chúng tôi chưa bao giờ coi bất kỳ chi phí nào là cố định. Vì vậy, trước tiên chúng tôi giảm giá xuống mức mà chúng tôi tin rằng sẽ bán được nhiều hơn. Sau đó, chúng tôi tiến hành và cố gắng đạt được mức giá đó. Chúng tôi không bận tâm về chi phí. Mức giá mới buộc chi phí phải giảm xuống. Cách thông thường hơn là tính chi phí rồi xác định giá; và mặc dù phương pháp đó có thể là khoa học theo nghĩa hẹp, nhưng nó không khoa học theo nghĩa rộng, vì biết chi phí thì có ích gì nếu nó cho bạn biết rằng bạn không thể sản xuất ở mức giá mà sản phẩm có thể bán được? Nhưng vấn đề cốt lõi là, mặc dù người ta có thể tính toán chi phí là bao nhiêu, và tất nhiên mọi chi phí của chúng tôi đều được tính toán cẩn thận, nhưng không ai biết chi phí nên là bao nhiêu. Một trong những cách để khám phá . . . là đưa ra một mức giá thấp đến mức buộc mọi người trong công ty phải đạt hiệu quả cao nhất. Mức giá thấp khiến mọi người phải đào xới tìm kiếm lợi nhuận. Chúng tôi có nhiều khám phá về sản xuất và bán hàng qua phương pháp ép buộc này hơn là qua bất kỳ phương pháp điều tra thong thả</w:t>
      </w:r>
      <w:hyperlink w:anchor="5_3">
        <w:r>
          <w:rPr>
            <w:rStyle w:val="Text5"/>
          </w:rPr>
          <w:bookmarkStart w:id="909" w:name="5_2"/>
          <w:t> nào.5</w:t>
          <w:bookmarkEnd w:id="909"/>
        </w:r>
      </w:hyperlink>
    </w:p>
    <w:p>
      <w:bookmarkStart w:id="910" w:name="Product_Provincialism"/>
      <w:pPr>
        <w:pStyle w:val="Heading 4"/>
      </w:pPr>
      <w:r>
        <w:t>Sự hẹp hòi về sản phẩm (Product Provincialism)</w:t>
      </w:r>
      <w:bookmarkEnd w:id="910"/>
    </w:p>
    <w:p>
      <w:pPr>
        <w:pStyle w:val="Normal"/>
      </w:pPr>
      <w:r>
        <w:t>Tiềm năng lợi nhuận hấp dẫn từ chi phí sản xuất đơn vị thấp có thể là thái độ tự lừa dối nghiêm trọng nhất đối với một công ty, đặc biệt là công ty "tăng trưởng", nơi mà sự mở rộng nhu cầu dường như được đảm bảo đã có xu hướng làm suy yếu mối quan tâm đúng đắn đến tầm quan trọng của marketing và khách hàng.</w:t>
      </w:r>
    </w:p>
    <w:p>
      <w:pPr>
        <w:pStyle w:val="Normal"/>
      </w:pPr>
      <w:r>
        <w:t>Kết quả thường thấy của sự bận tâm hạn hẹp với những vấn đề được coi là cụ thể là ngành công nghiệp suy giảm thay vì tăng trưởng. Nó thường có nghĩa là sản phẩm không thích ứng được với những thay đổi liên tục của nhu cầu và thị hiếu người tiêu dùng, với các tổ chức và hoạt động marketing mới hoặc được điều chỉnh, hoặc với sự phát triển sản phẩm trong các ngành cạnh tranh hay bổ trợ. Ngành công nghiệp nhìn quá chăm chú vào sản phẩm riêng của mình đến nỗi không thấy được nó đang trở nên lỗi thời như thế nào.</w:t>
      </w:r>
    </w:p>
    <w:p>
      <w:pPr>
        <w:pStyle w:val="Normal"/>
      </w:pPr>
      <w:r>
        <w:t>Ví dụ kinh điển về điều này là ngành công nghiệp roi xe ngựa. Dù cải tiến sản phẩm đến đâu cũng không thể cứu nó khỏi bản án tử hình. Nhưng nếu ngành này tự định nghĩa mình là thuộc lĩnh vực kinh doanh vận tải thay vì kinh doanh roi xe ngựa, nó có thể đã sống sót. Nó đã có thể làm điều mà sự sống còn luôn đòi hỏi—đó là thay đổi. Ngay cả khi nó chỉ định nghĩa hoạt động kinh doanh của mình là cung cấp chất kích thích hoặc chất xúc tác cho một nguồn năng lượng, nó có thể đã sống sót bằng cách trở thành nhà sản xuất, chẳng hạn như đai quạt hoặc bộ lọc không khí.</w:t>
      </w:r>
    </w:p>
    <w:p>
      <w:pPr>
        <w:pStyle w:val="Normal"/>
      </w:pPr>
      <w:r>
        <w:t xml:space="preserve">Một ví dụ có thể còn kinh điển hơn nữa trong tương lai chính là ngành công nghiệp dầu mỏ. Từng để người khác cướp mất những cơ hội tuyệt vời (gồm khí tự nhiên, như đã đề cập, nhiên liệu tên lửa, và dầu bôi trơn động cơ phản lực), lẽ ra ngành dầu mỏ phải rút kinh nghiệm để không bao giờ lặp lại điều đó. Nhưng thực tế không phải vậy. Hiện nay, chúng ta đang chứng kiến những phát triển đặc biệt mới trong hệ thống nhiên liệu được thiết kế riêng để vận hành ô tô. Không chỉ những phát triển này tập trung ở các công ty bên ngoài ngành dầu mỏ, mà ngành dầu mỏ gần như còn cố tình phớt lờ chúng, yên tâm trong mối duyên mặn nồng với dầu thô. Đây chính là câu chuyện đèn dầu hỏa so với đèn sợi đốt lặp lại. Ngành dầu đang cố gắng cải thiện nhiên liệu hydrocarbon thay vì phát triển loại</w:t>
      </w:r>
      <w:r>
        <w:rPr>
          <w:rStyle w:val="Text0"/>
        </w:rPr>
        <w:t> nhiên</w:t>
      </w:r>
      <w:r>
        <w:t xml:space="preserve"> liệu phù hợp nhất với nhu cầu người dùng, dù loại nhiên liệu đó có được tạo ra theo cách khác và từ nguyên liệu khác dầu hay không.</w:t>
      </w:r>
    </w:p>
    <w:p>
      <w:pPr>
        <w:pStyle w:val="Normal"/>
      </w:pPr>
      <w:r>
        <w:t>Dưới đây là một số hướng nghiên cứu của các công ty ngoài ngành dầu khí cho ô tô. Một trong số đó là một nhà sản xuất máy bay đang hợp tác với nhiều công ty điện lực. Các công ty điện lực này hy vọng tận dụng công suất phát điện ngoài giờ cao điểm để sạc lại pin cho xe qua đêm. Một công ty khác cũng theo phương pháp pin là hãng điện tử cỡ trung, có nhiều kinh nghiệm về pin nhỏ tích lũy từ việc chế tạo máy trợ thính. Họ đang cộng tác với một nhà sản xuất ô tô. Nhờ những cải tiến gần đây từ nhu cầu chế tạo bộ lưu trữ điện cỡ nhỏ nhưng công suất lớn trong tên lửa, chúng ta đã có thể tiến gần tới một loại pin tương đối nhỏ, có khả năng chịu được quá tải hoặc xung điện lớn. Các ứng dụng diode germani và pin sử dụng kỹ thuật tấm thiêu kết và nickel-cadmium hứa hẹn tạo ra cuộc cách mạng trong nguồn năng lượng của chúng ta.</w:t>
      </w:r>
    </w:p>
    <w:p>
      <w:pPr>
        <w:numPr>
          <w:ilvl w:val="0"/>
          <w:numId w:val="26"/>
        </w:numPr>
        <w:pStyle w:val="Para 024"/>
      </w:pPr>
      <w:r>
        <w:t>Hơn một chục công ty như vậy hiện đã có mô hình hoạt động tiên tiến của các hệ thống năng lượng; khi hoàn thiện, chúng sẽ thay thế động cơ đốt trong và xóa bỏ nhu cầu dùng xăng. Ưu điểm vượt trội của mỗi hệ thống là loại bỏ việc dừng tiếp nhiên liệu thường xuyên, tốn thời gian và gây khó chịu. Hầu hết các hệ thống này là pin nhiên liệu (fuel cell), được thiết kế để tạo điện năng trực tiếp từ hóa chất mà không qua đốt cháy. Hầu hết chúng dùng hóa chất không có nguồn gốc từ dầu mỏ – thường là hydro và oxy.</w:t>
      </w:r>
    </w:p>
    <w:p>
      <w:pPr>
        <w:numPr>
          <w:ilvl w:val="0"/>
          <w:numId w:val="26"/>
        </w:numPr>
        <w:pStyle w:val="Para 024"/>
      </w:pPr>
      <w:r>
        <w:t>Một số công ty khác đã phát triển các mô hình pin lưu trữ điện tiên tiến.</w:t>
      </w:r>
    </w:p>
    <w:p>
      <w:pPr>
        <w:numPr>
          <w:ilvl w:val="0"/>
          <w:numId w:val="26"/>
        </w:numPr>
        <w:pStyle w:val="Para 024"/>
      </w:pPr>
      <w:r>
        <w:t>Các hệ thống chuyển đổi năng lượng mặt trời cũng đang ngày càng được chú ý. Một giám đốc điều hành ô tô ở Detroit vốn rất thận trọng gần đây đã mạnh dạn dự đoán rằng xe chạy bằng năng lượng mặt trời có thể trở nên phổ biến vào năm 1980.</w:t>
      </w:r>
    </w:p>
    <w:p>
      <w:pPr>
        <w:pStyle w:val="Para 008"/>
      </w:pPr>
      <w:r>
        <w:t>Còn về các công ty dầu mỏ, họ kiểu như "đứng nhìn diễn biến", theo lời một giám đốc nghiên cứu nói với tôi. Một vài công ty có nghiên cứu chút đỉnh về pin nhiên liệu, nhưng nghiên cứu này gần như chỉ giới hạn ở việc phát triển pin chạy bằng hóa chất hydrocarbon. Không công ty nào trong số họ nhiệt tình nghiên cứu pin nhiên liệu, pin lưu trữ hay các nhà máy điện mặt trời. Không công ty nào chi dù chỉ một phần nhỏ cho nghiên cứu trong những lĩnh vực cực kỳ quan trọng này so với khoản chi cho những việc thông thường như giảm cặn buồng đốt trong động cơ xăng. Một công ty dầu khí tổng hợp lớn gần đây đã dè dặt xem xét pin nhiên liệu và kết luận rằng mặc dù "các công ty đang tích cực nghiên cứu nó cho thấy họ tin vào thành công cuối cùng... nhưng thời điểm và mức độ ảnh hưởng của nó còn quá xa để đưa vào dự báo của chúng tôi".</w:t>
      </w:r>
    </w:p>
    <w:p>
      <w:pPr>
        <w:pStyle w:val="Normal"/>
      </w:pPr>
      <w:r>
        <w:t>Tất nhiên, người ta có thể hỏi: tại sao các công ty dầu mỏ lại phải làm điều gì khác đi? Chẳng lẽ pin nhiên liệu hóa học, ắc quy hay năng lượng mặt trời không giết chết các dòng sản phẩm hiện tại sao? Câu trả lời là chúng chắc chắn sẽ làm vậy, và đó chính là lý do vì sao các hãng dầu phải phát triển những bộ nguồn năng lượng này trước các đối thủ, để họ không trở thành những công ty không còn ngành nghề kinh doanh.</w:t>
      </w:r>
    </w:p>
    <w:p>
      <w:pPr>
        <w:pStyle w:val="Normal"/>
      </w:pPr>
      <w:r>
        <w:t>Ban lãnh đạo có thể sẽ hành động đúng đắn hơn để tự bảo toàn nếu họ nghĩ mình đang kinh doanh trong lĩnh vực năng lượng. Nhưng ngay cả như vậy vẫn chưa đủ nếu họ cứ tự nhốt mình trong cái khuôn hẹp của định hướng sản phẩm cứng nhắc. Họ phải nghĩ rằng mình đang chăm lo nhu cầu của khách hàng, chứ không phải tìm kiếm, lọc dầu hay thậm chí bán dầu. Một khi họ thực sự coi công việc kinh doanh của mình là đáp ứng nhu cầu đi lại của con người, thì không gì có thể ngăn họ tạo ra sự tăng trưởng cực kỳ sinh lợi của chính mình.</w:t>
      </w:r>
    </w:p>
    <w:p>
      <w:bookmarkStart w:id="911" w:name="Creative_Destruction"/>
      <w:pPr>
        <w:pStyle w:val="Heading 4"/>
      </w:pPr>
      <w:r>
        <w:t>Sự phá hủy sáng tạo</w:t>
      </w:r>
      <w:bookmarkEnd w:id="911"/>
    </w:p>
    <w:p>
      <w:pPr>
        <w:pStyle w:val="Normal"/>
      </w:pPr>
      <w:r>
        <w:t>Vì lời nói thì rẻ mà hành động thì đắt, có lẽ nên chỉ rõ cách suy nghĩ này bao gồm những gì và dẫn đến đâu. Hãy bắt đầu từ điểm khởi đầu: khách hàng. Có thể thấy rằng người lái xe cực kỳ khó chịu với những phiền phức, chậm trễ và trải nghiệm khi mua xăng. Thực ra người ta không hề mua xăng. Họ không thể nhìn, nếm, cảm nhận, đánh giá hay thực sự kiểm tra nó. Cái họ mua là quyền được tiếp tục lái xe. Trạm xăng giống như một người thu thuế mà người dân buộc phải trả một khoản phí định kỳ để được dùng xe. Điều này khiến trạm xăng về cơ bản là một tổ chức không được ưa chuộng. Nó không bao giờ có thể trở nên phổ biến hay dễ chịu, chỉ có thể bớt không được ưa chuộng, bớt khó chịu hơn mà thôi.</w:t>
      </w:r>
    </w:p>
    <w:p>
      <w:pPr>
        <w:pStyle w:val="Normal"/>
      </w:pPr>
      <w:r>
        <w:t>Giảm bớt sự không được ưa chuộng hoàn toàn có nghĩa là loại bỏ nó. Không ai thích người thu thuế, kể cả một người vui vẻ dễ chịu. Không ai muốn dừng chuyến đi để mua một sản phẩm huyễn hoặc, dù từ một Adonis đẹp trai hay một Venus quyến rũ. Vì vậy, những công ty đang nghiên cứu các loại nhiên liệu thay thế kỳ lạ để loại bỏ nhu cầu tiếp nhiên liệu thường xuyên đang tiến thẳng vào vòng tay dang rộng của những người lái xe bực bội. Họ đang cưỡi trên làn sóng tất yếu, không phải vì họ tạo ra thứ gì đó vượt trội về công nghệ hay tinh vi hơn, mà vì họ đang đáp ứng một nhu cầu mạnh mẽ của khách hàng. Họ cũng đang loại bỏ mùi khó chịu và ô nhiễm không khí.</w:t>
      </w:r>
    </w:p>
    <w:p>
      <w:pPr>
        <w:pStyle w:val="Normal"/>
      </w:pPr>
      <w:r>
        <w:t>Một khi các công ty dầu mỏ nhận ra logic thỏa mãn khách hàng của những gì một hệ thống năng lượng khác có thể làm, họ sẽ thấy rằng họ không còn lựa chọn nào khác ngoài việc phát triển một loại nhiên liệu hiệu quả, bền lâu (hoặc một cách nào đó để cung cấp nhiên liệu hiện tại mà không làm phiền người lái xe), giống như các chuỗi cửa hàng thực phẩm lớn không có lựa chọn nào khác ngoài việc kinh doanh siêu thị, hay các công ty đèn chân không không có lựa chọn nào khác ngoài việc sản xuất chất bán dẫn. Vì lợi ích của chính mình, các hãng dầu sẽ phải phá hủy chính những tài sản sinh lời cao của mình. Không một sự mơ tưởng nào có thể cứu họ khỏi sự cần thiết phải tham gia vào hình thức "phá hủy sáng tạo" này.</w:t>
      </w:r>
    </w:p>
    <w:p>
      <w:pPr>
        <w:pStyle w:val="Normal"/>
      </w:pPr>
      <w:r>
        <w:t>Tôi diễn đạt nhu cầu này một cách mạnh mẽ như vậy vì tôi nghĩ ban quản lý phải nỗ lực rất nhiều để thoát khỏi những lối mòn thông thường. Trong thời đại ngày nay, một công ty hay ngành hàng rất dễ để cho mục đích của mình bị chi phối bởi nền kinh tế sản xuất hàng loạt và phát triển một định hướng sản phẩm lệch lạc nguy hiểm. Nói tóm lại, nếu ban quản lý để mình trôi dạt, họ luôn trôi dạt theo hướng nghĩ rằng mình đang sản xuất hàng hóa và dịch vụ, chứ không phải là sự hài lòng của khách hàng. Dù có thể họ sẽ không sa đà tới mức bảo nhân viên bán hàng rằng “Các anh chị cứ bán đi, lợi nhuận để chúng tôi lo,” nhưng họ có thể, mà không hề hay biết, đang thực hành chính công thức ấy cho sự suy tàn héo úa. Số phận lịch sử của hết ngành tăng trưởng này đến ngành tăng trưởng khác chính là sự hạn hẹp tầm nhìn về sản phẩm mang tính tự sát.</w:t>
      </w:r>
    </w:p>
    <w:p>
      <w:bookmarkStart w:id="912" w:name="DANGERS_OF_R_D"/>
      <w:pPr>
        <w:pStyle w:val="Para 037"/>
      </w:pPr>
      <w:r>
        <w:t>NHỮNG NGUY CƠ TỪ R&amp;D</w:t>
      </w:r>
      <w:bookmarkEnd w:id="912"/>
    </w:p>
    <w:p>
      <w:pPr>
        <w:pStyle w:val="Normal"/>
      </w:pPr>
      <w:r>
        <w:t>Một mối nguy lớn khác đối với sự tăng trưởng liên tục của một công ty nảy sinh khi ban lãnh đạo cấp cao hoàn toàn bị mê hoặc bởi những tiềm năng lợi nhuận từ nghiên cứu và phát triển kỹ thuật. Để minh họa, trước tiên tôi sẽ nói về một ngành công nghiệp mới—điện tử—rồi quay lại với các công ty dầu khí. Bằng cách so sánh một ví dụ mới với một ví dụ quen thuộc, tôi hy vọng sẽ nhấn mạnh được sự phổ biến và tính ngấm ngầm của một cách suy nghĩ nguy hiểm.</w:t>
      </w:r>
    </w:p>
    <w:p>
      <w:bookmarkStart w:id="913" w:name="Marketing_Shortchanged"/>
      <w:pPr>
        <w:pStyle w:val="Heading 4"/>
      </w:pPr>
      <w:r>
        <w:t>MARKETING BỊ XEM NHẸ</w:t>
      </w:r>
      <w:bookmarkEnd w:id="913"/>
    </w:p>
    <w:p>
      <w:pPr>
        <w:pStyle w:val="Normal"/>
      </w:pPr>
      <w:r>
        <w:t>Trong trường hợp của ngành điện tử, mối nguy lớn nhất mà các công ty mới đầy hào nhoáng trong lĩnh vực này phải đối mặt không phải là họ không chú trọng đủ đến nghiên cứu và phát triển, mà là họ chú trọng quá nhiều đến nó. Và việc các công ty điện tử phát triển nhanh nhất đạt được sự xuất chúng nhờ tập trung mạnh vào nghiên cứu kỹ thuật hoàn toàn không phải là điều đáng bàn. Họ đã vụt lên giàu có nhờ một làn sóng đột ngột của sự đón nhận chung mạnh mẽ bất thường đối với các ý tưởng kỹ thuật mới. Ngoài ra, thành công của họ được định hình trong thị trường gần như được đảm bảo của các khoản trợ cấp quân sự và bởi các đơn hàng quân sự mà trong nhiều trường hợp thực sự có trước cả khi có cơ sở để sản xuất sản phẩm. Nói cách khác, sự mở rộng của họ gần như hoàn toàn thiếu vắng nỗ lực tiếp thị.</w:t>
      </w:r>
    </w:p>
    <w:p>
      <w:pPr>
        <w:pStyle w:val="Normal"/>
      </w:pPr>
      <w:r>
        <w:t>Vì vậy, họ đang phát triển trong những điều kiện gần như nguy hiểm tạo ra ảo tưởng rằng một sản phẩm vượt trội sẽ tự bán được. Không có gì ngạc nhiên khi, sau khi tạo dựng một công ty thành công bằng việc làm ra một sản phẩm vượt trội, ban quản lý tiếp tục định hướng theo sản phẩm thay vì theo những người tiêu dùng nó. Họ phát triển triết lý rằng tăng trưởng liên tục là vấn đề của sự đổi mới và cải tiến sản phẩm liên tục.</w:t>
      </w:r>
    </w:p>
    <w:p>
      <w:pPr>
        <w:pStyle w:val="Normal"/>
      </w:pPr>
      <w:r>
        <w:t>Một số yếu tố khác có xu hướng củng cố và duy trì niềm tin này:</w:t>
      </w:r>
    </w:p>
    <w:p>
      <w:pPr>
        <w:numPr>
          <w:ilvl w:val="0"/>
          <w:numId w:val="27"/>
        </w:numPr>
        <w:pStyle w:val="Para 024"/>
      </w:pPr>
      <w:r>
        <w:t>Bởi vì các sản phẩm điện tử rất phức tạp và tinh vi, ban quản lý trở nên quá nhiều kỹ sư và nhà khoa học. Điều này tạo ra một sự thiên vị có chọn lọc ủng hộ nghiên cứu và sản xuất mà coi nhẹ tiếp thị. Tổ chức có xu hướng tự xem mình là nơi tạo ra mọi thứ hơn là đáp ứng nhu cầu của khách hàng. Tiếp thị bị đối xử như một hoạt động còn lại, “thứ gì đó khác” phải làm sau khi công việc quan trọng là tạo ra sản phẩm và sản xuất đã hoàn thành.</w:t>
      </w:r>
    </w:p>
    <w:p>
      <w:pPr>
        <w:numPr>
          <w:ilvl w:val="0"/>
          <w:numId w:val="27"/>
        </w:numPr>
        <w:pStyle w:val="Para 024"/>
      </w:pPr>
      <w:r>
        <w:t>Thiên hướng ưu tiên nghiên cứu, phát triển và sản xuất sản phẩm còn được cộng thêm với thiên hướng thích giải quyết các biến số có thể kiểm soát được. Các kỹ sư và nhà khoa học cảm thấy thoải mái trong thế giới của những thứ cụ thể như máy móc, ống nghiệm, dây chuyền sản xuất, và cả bảng cân đối kế toán. Những khái niệm trừu tượng mà họ yêu thích là những thứ có thể kiểm chứng hoặc thao tác được trong phòng thí nghiệm, hoặc nếu không thể kiểm chứng thì cũng phải có tính chức năng, như các tiên đề của Euclid. Nói tóm lại, ban quản lý của các công ty tăng trưởng hấp dẫn mới (new glamour-growth companies) có xu hướng ưa chuộng các hoạt động kinh doanh cho phép nghiên cứu kỹ lưỡng, thử nghiệm và kiểm soát—những thực tế cứng rắn và thực dụng của phòng lab, xưởng sản xuất và sổ sách kế toán.</w:t>
      </w:r>
    </w:p>
    <w:p>
      <w:pPr>
        <w:pStyle w:val="Para 008"/>
      </w:pPr>
      <w:r>
        <w:t xml:space="preserve">Thứ bị coi rẻ (hay bị bỏ qua) chính là những thực</w:t>
      </w:r>
      <w:r>
        <w:rPr>
          <w:rStyle w:val="Text0"/>
        </w:rPr>
        <w:t> tế của</w:t>
      </w:r>
      <w:r>
        <w:t> thị trường. Người tiêu dùng thì khó lường, đa dạng, thất thường, ngốc nghếch, thiển cận, bướng bỉnh, và nói chung là phiền phức. Đó không phải là điều các nhà quản lý kỹ thuật nói ra, nhưng trong sâu thẳm ý thức, đó là điều họ tin. Và điều này giải thích việc họ tập trung vào những gì họ biết và những gì họ kiểm soát được—cụ thể là nghiên cứu sản phẩm, kỹ thuật và sản xuất. Sự nhấn mạnh vào sản xuất trở nên đặc biệt hấp dẫn khi sản phẩm có thể được làm ra với chi phí đơn vị giảm dần. Không có cách nào hấp dẫn hơn để kiếm tiền bằng việc vận hành nhà máy hết công suất.</w:t>
      </w:r>
    </w:p>
    <w:p>
      <w:pPr>
        <w:pStyle w:val="Normal"/>
      </w:pPr>
      <w:r>
        <w:t>Định hướng quá nặng nề về khoa học-kỹ thuật-sản xuất của rất nhiều công ty điện tử ngày nay vẫn hoạt động khá hiệu quả, bởi vì họ đang tiến vào những vùng biên giới mới, nơi các lực lượng vũ trang đã đi tiên phong và tạo ra những thị trường gần như chắc chắn. Các công ty này đang ở vị trí thuận lợi là phải lấp đầy, chứ không phải tìm kiếm thị trường; họ không cần phải khám phá khách hàng cần gì và muốn gì, mà khách hàng tự nguyện đến với các yêu cầu cụ thể về sản phẩm mới. Nếu một nhóm chuyên gia tư vấn (consultants) được giao nhiệm vụ cụ thể là thiết kế một tình huống kinh doanh được tính toán để ngăn chặn sự xuất hiện và phát triển của quan điểm marketing định hướng khách hàng, thì họ cũng không thể tạo ra điều gì tốt hơn những điều kiện vừa được mô tả.</w:t>
      </w:r>
    </w:p>
    <w:p>
      <w:bookmarkStart w:id="914" w:name="Stepchild_Treatment"/>
      <w:pPr>
        <w:pStyle w:val="Heading 4"/>
      </w:pPr>
      <w:r>
        <w:t>Sự đối xử như con ghẻ</w:t>
      </w:r>
      <w:bookmarkEnd w:id="914"/>
    </w:p>
    <w:p>
      <w:pPr>
        <w:pStyle w:val="Normal"/>
      </w:pPr>
      <w:r>
        <w:t>Ngành công nghiệp dầu mỏ là một ví dụ điển hình về việc khoa học, công nghệ và sản xuất hàng loạt có thể làm chệch hướng cả một nhóm công ty khỏi nhiệm vụ chính của họ. Ở mức độ khách hàng được nghiên cứu (mà cũng chẳng nhiều), trọng tâm luôn là thu thập thông tin nhằm giúp các công ty dầu cải thiện những gì họ đang làm. Họ cố gắng tìm ra những chủ đề quảng cáo thuyết phục hơn, những chiến dịch xúc tiến bán hàng hiệu quả hơn, thị phần của các công ty khác nhau là bao nhiêu, người dân thích hay không thích điều gì ở các đại lý trạm xăng và các công ty dầu, vân vân. Dường như không ai quan tâm đến việc tìm hiểu sâu về những nhu cầu cơ bản của con người mà ngành này có thể đang cố gắng đáp ứng, bằng việc tìm hiểu sâu về các đặc tính cơ bản của nguyên liệu thô mà các công ty xử lý khi cố gắng mang lại sự hài lòng cho khách hàng.</w:t>
      </w:r>
    </w:p>
    <w:p>
      <w:pPr>
        <w:pStyle w:val="Normal"/>
      </w:pPr>
      <w:r>
        <w:t>Những câu hỏi cơ bản về khách hàng và thị trường hiếm khi được đặt ra. Những vấn đề này thường bị đối xử như con ghẻ – có thừa nhận là tồn tại, có phải chăm lo, nhưng không đáng để thực sự suy nghĩ hay dành cho sự quan tâm đúng mức. Chẳng công ty dầu mỏ nào thấy hào hứng với khách hàng ngay trước sân nhà mình bằng cảm giác tìm thấy dầu ở sa mạc Sahara. Và không gì cho thấy rõ sự bỏ bê mảng tiếp thị (marketing) bằng cách mà báo chí ngành dầu khí đối xử với nó.</w:t>
      </w:r>
    </w:p>
    <w:p>
      <w:pPr>
        <w:pStyle w:val="Normal"/>
      </w:pPr>
      <w:r>
        <w:t xml:space="preserve">Số đặc biệt kỷ niệm 100 năm</w:t>
      </w:r>
      <w:r>
        <w:rPr>
          <w:rStyle w:val="Text0"/>
        </w:rPr>
        <w:t> của tạp chí American Petroleum Institute</w:t>
      </w:r>
      <w:r>
        <w:t> Quarterly, xuất bản năm 1959 để kỷ niệm sự kiện phát hiện dầu mỏ tại Titusville, Pennsylvania, gồm 21 bài viết lớn ca ngợi sự vĩ đại của ngành dầu khí. Chỉ có một bài nói về những thành tựu trong lĩnh vực tiếp thị, và đó cũng chỉ là một loạt ảnh ghi lại sự thay đổi kiến trúc của các trạm xăng. Số báo này còn có một chuyên mục đặc biệt mang tên “Chân trời mới” (New Horizons), dành để trình bày vai trò tuyệt vời của dầu mỏ trong tương lai nước Mỹ. Mọi đề cập đều lạc quan phấn khởi, chưa từng ngụ ý rằng dầu mỏ có thể gặp phải đối thủ cạnh tranh gay gắt nào. Ngay cả khi nhắc đến năng lượng nguyên tử, bài báo cũng chỉ vui vẻ liệt kê cách dầu mỏ sẽ giúp đưa năng lượng nguyên tử đến thành công. Không hề có một chút lo ngại nào rằng sự giàu có của ngành dầu khí có thể bị đe dọa, cũng chẳng có gợi ý nào rằng một “chân trời mới” có thể bao gồm những cách thức mới và tốt hơn để phục vụ chính khách hàng hiện tại của ngành.</w:t>
      </w:r>
    </w:p>
    <w:p>
      <w:pPr>
        <w:pStyle w:val="Normal"/>
      </w:pPr>
      <w:r>
        <w:t>Nhưng ví dụ rõ ràng nhất cho việc tiếp thị bị đối xử như con ghẻ lại nằm ở một loạt bài ngắn đặc biệt khác mang tựa đề “Tiềm năng cách mạng của điện tử”. Dưới tiêu đề đó, trong mục lục xuất hiện danh sách các bài viết sau:</w:t>
      </w:r>
    </w:p>
    <w:p>
      <w:pPr>
        <w:numPr>
          <w:ilvl w:val="0"/>
          <w:numId w:val="28"/>
        </w:numPr>
        <w:pStyle w:val="Para 024"/>
      </w:pPr>
      <w:r>
        <w:t>“Trong công cuộc tìm kiếm dầu mỏ”</w:t>
      </w:r>
    </w:p>
    <w:p>
      <w:pPr>
        <w:numPr>
          <w:ilvl w:val="0"/>
          <w:numId w:val="28"/>
        </w:numPr>
        <w:pStyle w:val="Para 024"/>
      </w:pPr>
      <w:r>
        <w:t>“Trong các hoạt động sản xuất”</w:t>
      </w:r>
    </w:p>
    <w:p>
      <w:pPr>
        <w:numPr>
          <w:ilvl w:val="0"/>
          <w:numId w:val="28"/>
        </w:numPr>
        <w:pStyle w:val="Para 024"/>
      </w:pPr>
      <w:r>
        <w:t>“Trong các quy trình lọc dầu”</w:t>
      </w:r>
    </w:p>
    <w:p>
      <w:pPr>
        <w:numPr>
          <w:ilvl w:val="0"/>
          <w:numId w:val="28"/>
        </w:numPr>
        <w:pStyle w:val="Para 024"/>
      </w:pPr>
      <w:r>
        <w:t>“Trong vận hành đường ống dẫn dầu”</w:t>
      </w:r>
    </w:p>
    <w:p>
      <w:pPr>
        <w:pStyle w:val="Para 008"/>
      </w:pPr>
      <w:r>
        <w:t xml:space="preserve">Điều đáng chú ý là mọi lĩnh vực chức năng chính của ngành đều có tên trong danh sách,</w:t>
      </w:r>
      <w:r>
        <w:rPr>
          <w:rStyle w:val="Text0"/>
        </w:rPr>
        <w:t> trừ tiếp</w:t>
      </w:r>
      <w:r>
        <w:t xml:space="preserve"> thị. Tại sao vậy? Có thể vì người ta tin rằng điện tử chẳng mang lại tiềm năng cách mạng nào cho việc tiếp thị dầu khí (điều này hiển nhiên là sai), hoặc ban biên tập đã quên không bàn về mảng tiếp thị (điều này có vẻ đúng hơn và càng cho thấy nó bị coi như con ghẻ).</w:t>
      </w:r>
    </w:p>
    <w:p>
      <w:pPr>
        <w:pStyle w:val="Normal"/>
      </w:pPr>
      <w:r>
        <w:t>Thứ tự liệt kê bốn lĩnh vực chức năng cũng phần nào phơi bày sự xa rời của ngành dầu khí đối với người tiêu dùng. Ngành này được mặc định là bắt đầu từ việc tìm kiếm dầu và kết thúc ở khâu phân phối từ nhà máy lọc dầu. Nhưng theo tôi, sự thật là ngành công nghiệp này bắt đầu từ nhu cầu của khách hàng đối với sản phẩm của nó. Từ điểm khởi nguồn đó, định nghĩa về ngành ngược dòng dần về những khâu có mức độ quan trọng giảm dần, cho đến khi dừng hẳn ở việc tìm kiếm dầu.</w:t>
      </w:r>
    </w:p>
    <w:p>
      <w:bookmarkStart w:id="915" w:name="The_Beginning_and_End"/>
      <w:pPr>
        <w:pStyle w:val="Heading 4"/>
      </w:pPr>
      <w:r>
        <w:t>Khởi đầu và Kết thúc</w:t>
      </w:r>
      <w:bookmarkEnd w:id="915"/>
    </w:p>
    <w:p>
      <w:pPr>
        <w:pStyle w:val="Normal"/>
      </w:pPr>
      <w:r>
        <w:t xml:space="preserve">Quan điểm xem một ngành công nghiệp là một quá trình làm thỏa mãn khách hàng, chứ không phải quá trình sản xuất hàng hóa, là điều mà mọi người làm kinh doanh cần phải hiểu. Một ngành công nghiệp bắt đầu từ khách hàng và nhu cầu của họ, chứ không bắt đầu từ bằng sáng chế, nguyên liệu thô hay kỹ năng bán hàng. Khi đã có nhu cầu của khách hàng, ngành này phát triển</w:t>
      </w:r>
      <w:r>
        <w:rPr>
          <w:rStyle w:val="Text0"/>
        </w:rPr>
        <w:t> ngược</w:t>
      </w:r>
      <w:r>
        <w:t xml:space="preserve"> dòng: đầu tiên lo đảm bảo việc đưa sản phẩm đến tay người tiêu</w:t>
      </w:r>
      <w:r>
        <w:rPr>
          <w:rStyle w:val="Text0"/>
        </w:rPr>
        <w:t> dùng để</w:t>
      </w:r>
      <w:r>
        <w:t xml:space="preserve"> thỏa mãn họ, sau đó lùi xa hơn để chế tạo ra những thứ giúp đạt được sự thỏa mãn đó. Nguyên vật liệu này được tạo ra bằng cách nào không quan trọng đối với khách hàng, vì vậy hình thức sản xuất, chế biến cụ thể hay bất cứ điều gì tương tự không thể được coi là khía cạnh sống còn của ngành. Cuối cùng, ngành lại lùi xa hơn nữa</w:t>
      </w:r>
      <w:r>
        <w:rPr>
          <w:rStyle w:val="Text0"/>
        </w:rPr>
        <w:t> để tìm</w:t>
      </w:r>
      <w:r>
        <w:t xml:space="preserve"> kiếm các nguyên liệu thô cần thiết để tạo ra sản phẩm.</w:t>
      </w:r>
    </w:p>
    <w:p>
      <w:pPr>
        <w:pStyle w:val="Normal"/>
      </w:pPr>
      <w:r>
        <w:t>Sự trớ trêu của một số ngành công nghiệp định hướng nghiên cứu và phát triển kỹ thuật là các nhà khoa học giữ các vị trí điều hành cao lại hoàn toàn phi khoa học khi xác định nhu cầu và mục đích tổng thể của công ty. Họ vi phạm hai quy tắc đầu tiên của phương pháp khoa học: nhận thức và xác định các vấn đề của công ty, sau đó phát triển các giả thuyết có thể kiểm chứng để giải quyết chúng. Họ chỉ khoa học về những điều thuận tiện, chẳng hạn như các thí nghiệm trong phòng thí nghiệm và sản phẩm.</w:t>
      </w:r>
    </w:p>
    <w:p>
      <w:pPr>
        <w:pStyle w:val="Normal"/>
      </w:pPr>
      <w:r>
        <w:t>Khách hàng (và việc thỏa mãn những nhu cầu sâu xa nhất của họ) không được coi là “vấn đề”—không phải vì có niềm tin chắc chắn rằng vấn đề đó không tồn tại, mà vì cả một đời hoạt động trong tổ chức đã khiến ban quản lý quen nhìn theo hướng ngược lại. Tiếp thị (marketing) chỉ là đứa con ghẻ.</w:t>
      </w:r>
    </w:p>
    <w:p>
      <w:pPr>
        <w:pStyle w:val="Normal"/>
      </w:pPr>
      <w:r>
        <w:t>Tôi không có ý nói rằng việc bán hàng bị bỏ qua. Hoàn toàn không phải vậy. Nhưng một lần nữa, bán hàng không phải là tiếp thị. Như đã chỉ ra, bán hàng chỉ quan tâm đến những thủ thuật và kỹ thuật để khiến người ta đổi tiền mặt lấy sản phẩm của bạn. Nó không quan tâm đến giá trị mà cuộc trao đổi đó mang lại. Và nó không, như tiếp thị vẫn luôn làm, xem toàn bộ quá trình kinh doanh như một nỗ lực tích hợp chặt chẽ để khám phá, tạo ra, khơi gợi và thỏa mãn nhu cầu của khách hàng. Khách hàng là ai đó “ngoài kia” mà với sự xảo quyệt thích hợp, ta có thể tách họ khỏi số tiền lẻ của họ.</w:t>
      </w:r>
    </w:p>
    <w:p>
      <w:pPr>
        <w:pStyle w:val="Normal"/>
      </w:pPr>
      <w:r>
        <w:t>Thực tế, ngay cả việc bán hàng cũng không nhận được nhiều sự chú ý ở một số công ty có đầu óc công nghệ. Vì có một thị trường gần như được đảm bảo cho dòng sản phẩm mới dồi dào của họ, họ thực sự không biết thị trường thực sự là gì. Cứ như thể họ đang sống trong một nền kinh tế kế hoạch hóa, chuyển sản phẩm một cách thường lệ từ nhà máy đến cửa hàng bán lẻ. Việc họ tập trung thành công vào sản phẩm có xu hướng khiến họ tin vào tính đúng đắn của những gì mình đã làm, và họ không thấy được những đám mây đen đang tụ lại trên thị trường.</w:t>
      </w:r>
    </w:p>
    <w:p>
      <w:pPr>
        <w:pStyle w:val="Para 055"/>
      </w:pPr>
      <w:r>
        <w:t>Chưa đầy 75 năm trước, các tuyến đường sắt của Mỹ nhận được sự trung thành mãnh liệt từ những nhà đầu tư Phố Wall sắc sảo. Các vị quân chủ châu Âu đầu tư rất mạnh vào chúng. Người ta nghĩ rằng sự giàu có vĩnh cửu là phúc lành cho bất cứ ai có thể gom góp vài nghìn đô la để mua cổ phiếu đường sắt. Không một hình thức vận tải nào khác có thể cạnh tranh với đường sắt về tốc độ, tính linh hoạt, độ bền, tính kinh tế và tiềm năng tăng trưởng.</w:t>
      </w:r>
    </w:p>
    <w:p>
      <w:pPr>
        <w:pStyle w:val="Normal"/>
      </w:pPr>
      <w:r>
        <w:t>Như Jacques Barzun đã nói: “Vào đầu thế kỷ, nó là một thể chế, một hình ảnh của con người, một truyền thống, một quy tắc danh dự, một nguồn thi ca, một vườn ươm những khát khao tuổi trẻ, một món đồ chơi cao quý nhất, và một cỗ máy trang nghiêm nhất—chỉ sau xe tang—đánh dấu các giai đoạn trong đời</w:t>
      </w:r>
      <w:hyperlink w:anchor="6_1">
        <w:r>
          <w:rPr>
            <w:rStyle w:val="Text5"/>
          </w:rPr>
          <w:bookmarkStart w:id="916" w:name="6"/>
          <w:t> người.”6</w:t>
          <w:bookmarkEnd w:id="916"/>
        </w:r>
      </w:hyperlink>
    </w:p>
    <w:p>
      <w:pPr>
        <w:pStyle w:val="Normal"/>
      </w:pPr>
      <w:r>
        <w:t>Ngay cả sau khi xe hơi, xe tải và máy bay ra đời, những ông trùm đường sắt vẫn giữ sự tự tin đến mức không gì lay chuyển được. Nếu bạn nói với họ 60 năm trước rằng trong 30 năm nữa họ sẽ ngã ngửa, phá sản và phải cầu xin trợ cấp chính phủ, họ sẽ nghĩ bạn bị điên hoàn toàn. Một tương lai như vậy đơn giản là không được coi là có thể. Nó thậm chí không phải là một chủ đề có thể thảo luận, hay một câu hỏi có thể đặt ra, hay một vấn đề mà bất kỳ người tỉnh táo nào sẽ coi là đáng để suy đoán. Thế mà rất nhiều ý tưởng “điên rồ” giờ đây được chấp nhận như một lẽ đương nhiên—ví dụ, ý tưởng về những ống kim loại nặng 100 tấn lướt nhẹ nhàng trên không trung ở độ cao 20.000 feet, chở 100 công dân tỉnh táo và vững vàng đang thong thả nhâm nhi martini—và chúng đã giáng những đòn tàn nhẫn lên ngành đường sắt.</w:t>
      </w:r>
    </w:p>
    <w:p>
      <w:pPr>
        <w:pStyle w:val="Normal"/>
      </w:pPr>
      <w:r>
        <w:t>Cụ thể, các công ty khác phải làm gì để tránh số phận này? Định hướng khách hàng bao gồm những gì? Những câu hỏi này phần lớn đã được trả lời qua các ví dụ và phân tích trước đó. Sẽ cần một bài viết khác để trình bày chi tiết những gì cần thiết cho từng ngành cụ thể. Dù sao, rõ ràng là việc xây dựng một công ty định hướng khách hàng hiệu quả không chỉ đơn thuần là ý định tốt hay thủ thuật quảng cáo; nó liên quan đến những vấn đề sâu sắc về tổ chức con người và lãnh đạo. Hiện tại, hãy để tôi chỉ đề xuất một số yêu cầu chung có vẻ cần thiết.</w:t>
      </w:r>
    </w:p>
    <w:p>
      <w:bookmarkStart w:id="917" w:name="The_Visceral_Feel_of_Greatness"/>
      <w:pPr>
        <w:pStyle w:val="Heading 4"/>
      </w:pPr>
      <w:r>
        <w:t>Cảm giác thấm thía của sự vĩ đại</w:t>
      </w:r>
      <w:bookmarkEnd w:id="917"/>
    </w:p>
    <w:p>
      <w:pPr>
        <w:pStyle w:val="Normal"/>
      </w:pPr>
      <w:r>
        <w:t>Rõ ràng, công ty phải làm những gì mà sự sống còn đòi hỏi. Công ty phải thích ứng với yêu cầu của thị trường, và phải làm điều đó sớm hơn là muộn. Nhưng chỉ sống sót thôi là một khát vọng tầm thường. Bất cứ ai cũng có thể sống sót theo cách này hay cách khác, ngay cả kẻ lang thang đầu đường xó chợ. Bí quyết là sống sót một cách hào hùng, cảm nhận xung lực dâng trào của sự làm chủ thương mại: không chỉ trải nghiệm mùi hương ngọt ngào của thành công mà còn có cảm giác thấm thía về sự vĩ đại của doanh nhân.</w:t>
      </w:r>
    </w:p>
    <w:p>
      <w:pPr>
        <w:pStyle w:val="Normal"/>
      </w:pPr>
      <w:r>
        <w:t xml:space="preserve">Không một tổ chức nào đạt được sự vĩ đại nếu thiếu một nhà lãnh đạo đầy nhiệt huyết, được thúc đẩy bởi ý chí</w:t>
      </w:r>
      <w:r>
        <w:rPr>
          <w:rStyle w:val="Text0"/>
        </w:rPr>
        <w:t> thành công mãnh</w:t>
      </w:r>
      <w:r>
        <w:t> liệt. Nhà lãnh đạo phải có một tầm nhìn lớn lao, có thể thu hút đông đảo những người theo dõi nhiệt tình. Trong kinh doanh, những người theo dõi đó chính là khách hàng.</w:t>
      </w:r>
    </w:p>
    <w:p>
      <w:pPr>
        <w:pStyle w:val="Normal"/>
      </w:pPr>
      <w:r>
        <w:t>Để tạo ra những khách hàng này, toàn bộ công ty phải được xem như một cơ thể sống chuyên tạo ra và làm hài lòng khách hàng. Ban lãnh đạo không nên xem mình là người sản xuất sản phẩm, mà là người mang lại những giá trị khiến khách hàng hài lòng và gắn bó. Họ phải thấm nhuần tư tưởng này (và mọi hệ quả cũng như đòi hỏi của nó) vào từng ngóc ngách của tổ chức. Việc đó cần được thực hiện liên tục với một phong cách truyền cảm hứng và khích lệ mọi người bên trong. Nếu không, công ty sẽ chỉ là một tập hợp rời rạc các bộ phận, thiếu một mục tiêu hay định hướng chung.</w:t>
      </w:r>
    </w:p>
    <w:p>
      <w:pPr>
        <w:pStyle w:val="Normal"/>
      </w:pPr>
      <w:r>
        <w:t xml:space="preserve">Tóm lại, tổ chức phải học cách nhìn nhận mình không phải là nơi sản xuất hàng hóa hay dịch vụ,</w:t>
      </w:r>
      <w:r>
        <w:rPr>
          <w:rStyle w:val="Text0"/>
        </w:rPr>
        <w:t> mà là nơi thu</w:t>
      </w:r>
      <w:r>
        <w:t xml:space="preserve"> hút khách hàng thông qua những việc làm</w:t>
      </w:r>
      <w:r>
        <w:rPr>
          <w:rStyle w:val="Text0"/>
        </w:rPr>
        <w:t> khiến</w:t>
      </w:r>
      <w:r>
        <w:t xml:space="preserve"> người ta muốn hợp tác. Giám đốc điều hành có trách nhiệm không thể tránh khỏi trong việc tạo dựng môi trường, quan điểm, thái độ và khát vọng đó. Vị giám đốc ấy phải định hình phong cách, phương hướng và mục tiêu của công ty. Điều này có nghĩa là ông ấy phải biết rõ mình muốn đi đến đâu và đảm bảo toàn thể tổ chức đều hào hứng nhận thức được nơi đó. Đó là yêu cầu đầu tiên của sự lãnh đạo, bởi nếu</w:t>
      </w:r>
      <w:r>
        <w:rPr>
          <w:rStyle w:val="Text0"/>
        </w:rPr>
        <w:t> nhà lãnh đạo không biết mình sẽ đi đâu, thì đi đường nào cũng</w:t>
      </w:r>
      <w:r>
        <w:t> đến.</w:t>
      </w:r>
    </w:p>
    <w:p>
      <w:pPr>
        <w:pStyle w:val="Normal"/>
      </w:pPr>
      <w:r>
        <w:t>Nếu đi đường nào cũng được, thì giám đốc điều hành chi bằng thu xếp cặp táp và đi câu cá. Một tổ chức nếu không biết hoặc không quan tâm mình sẽ đi về đâu, thì chẳng cần một vị lãnh đạo mang tính nghi lễ để quảng cáo điều đó. Mọi người sẽ sớm nhận ra thôi.</w:t>
      </w:r>
    </w:p>
    <w:p>
      <w:bookmarkStart w:id="918" w:name="NOTES_1"/>
      <w:pPr>
        <w:pStyle w:val="Para 037"/>
      </w:pPr>
      <w:r>
        <w:t>GHI CHÚ</w:t>
      </w:r>
      <w:bookmarkEnd w:id="918"/>
    </w:p>
    <w:p>
      <w:pPr>
        <w:pStyle w:val="Normal"/>
      </w:pPr>
      <w:hyperlink w:anchor="1_4">
        <w:r>
          <w:rPr>
            <w:rStyle w:val="Text2"/>
          </w:rPr>
          <w:bookmarkStart w:id="919" w:name="1_5"/>
          <w:t>1.</w:t>
          <w:bookmarkEnd w:id="919"/>
        </w:r>
      </w:hyperlink>
      <w:r>
        <w:t xml:space="preserve"> Jacques Barzun, “Trains and the Mind of Man,”</w:t>
      </w:r>
      <w:r>
        <w:rPr>
          <w:rStyle w:val="Text0"/>
        </w:rPr>
        <w:t> Holiday,</w:t>
      </w:r>
      <w:r>
        <w:t> tháng 2 năm 1960.</w:t>
      </w:r>
    </w:p>
    <w:p>
      <w:pPr>
        <w:pStyle w:val="Normal"/>
      </w:pPr>
      <w:hyperlink w:anchor="2_2">
        <w:r>
          <w:rPr>
            <w:rStyle w:val="Text2"/>
          </w:rPr>
          <w:bookmarkStart w:id="920" w:name="2_3"/>
          <w:t>2.</w:t>
          <w:bookmarkEnd w:id="920"/>
        </w:r>
      </w:hyperlink>
      <w:r>
        <w:t xml:space="preserve"> Để biết thêm chi tiết, xem M.M. Zimmerman,</w:t>
      </w:r>
      <w:r>
        <w:rPr>
          <w:rStyle w:val="Text0"/>
        </w:rPr>
        <w:t> The Super Market: A Revolution in Distribution</w:t>
      </w:r>
      <w:r>
        <w:t xml:space="preserve"> (McGraw-Hill, 1955).</w:t>
      </w:r>
    </w:p>
    <w:p>
      <w:pPr>
        <w:pStyle w:val="Normal"/>
      </w:pPr>
      <w:hyperlink w:anchor="3_2">
        <w:r>
          <w:rPr>
            <w:rStyle w:val="Text2"/>
          </w:rPr>
          <w:bookmarkStart w:id="921" w:name="3_3"/>
          <w:t>3.</w:t>
          <w:bookmarkEnd w:id="921"/>
        </w:r>
      </w:hyperlink>
      <w:r>
        <w:t xml:space="preserve"> Sđd, tr. 45–47.</w:t>
      </w:r>
    </w:p>
    <w:p>
      <w:pPr>
        <w:pStyle w:val="Normal"/>
      </w:pPr>
      <w:hyperlink w:anchor="4_2">
        <w:r>
          <w:rPr>
            <w:rStyle w:val="Text2"/>
          </w:rPr>
          <w:bookmarkStart w:id="922" w:name="4_3"/>
          <w:t>4.</w:t>
          <w:bookmarkEnd w:id="922"/>
        </w:r>
      </w:hyperlink>
      <w:r>
        <w:t xml:space="preserve"> John Kenneth Galbraith,</w:t>
      </w:r>
      <w:r>
        <w:rPr>
          <w:rStyle w:val="Text0"/>
        </w:rPr>
        <w:t> The Affluent Society</w:t>
      </w:r>
      <w:r>
        <w:t xml:space="preserve"> (Houghton Mifflin, 1958).</w:t>
      </w:r>
    </w:p>
    <w:p>
      <w:pPr>
        <w:pStyle w:val="Normal"/>
      </w:pPr>
      <w:hyperlink w:anchor="5_2">
        <w:r>
          <w:rPr>
            <w:rStyle w:val="Text2"/>
          </w:rPr>
          <w:bookmarkStart w:id="923" w:name="5_3"/>
          <w:t>5.</w:t>
          <w:bookmarkEnd w:id="923"/>
        </w:r>
      </w:hyperlink>
      <w:r>
        <w:t xml:space="preserve"> Henry Ford,</w:t>
      </w:r>
      <w:r>
        <w:rPr>
          <w:rStyle w:val="Text0"/>
        </w:rPr>
        <w:t> My Life and Work</w:t>
      </w:r>
      <w:r>
        <w:t xml:space="preserve"> (Doubleday, 1923).</w:t>
      </w:r>
    </w:p>
    <w:p>
      <w:pPr>
        <w:pStyle w:val="Normal"/>
      </w:pPr>
      <w:hyperlink w:anchor="6">
        <w:r>
          <w:rPr>
            <w:rStyle w:val="Text2"/>
          </w:rPr>
          <w:bookmarkStart w:id="924" w:name="6_1"/>
          <w:t>6.</w:t>
          <w:bookmarkEnd w:id="924"/>
        </w:r>
      </w:hyperlink>
      <w:r>
        <w:t xml:space="preserve"> Barzun, “Trains and the Mind of Man.”</w:t>
      </w:r>
    </w:p>
    <w:p>
      <w:bookmarkStart w:id="925" w:name="Top_of_14_Author_xhtml"/>
      <w:bookmarkStart w:id="926" w:name="ABOUT_THE_AUTHOR_Theodore_Levitt"/>
      <w:pPr>
        <w:pStyle w:val="Para 172"/>
        <w:pageBreakBefore w:val="on"/>
      </w:pPr>
      <w:r>
        <w:t>VỀ TÁC GIẢ</w:t>
      </w:r>
      <w:bookmarkEnd w:id="925"/>
      <w:bookmarkEnd w:id="926"/>
    </w:p>
    <w:p>
      <w:pPr>
        <w:pStyle w:val="Normal"/>
      </w:pPr>
      <w:r>
        <w:rPr>
          <w:rStyle w:val="Text0"/>
        </w:rPr>
        <w:t>Theodore Levitt</w:t>
      </w:r>
      <w:r>
        <w:t xml:space="preserve"> là Giáo sư Quản trị Kinh doanh Edward W. Carter, Giáo sư danh dự, tại Trường Kinh doanh Harvard. Ông từng là Chủ tịch Khu vực Marketing tại HBS và là Biên tập viên của</w:t>
      </w:r>
      <w:r>
        <w:rPr>
          <w:rStyle w:val="Text0"/>
        </w:rPr>
        <w:t> Harvard Business Review.</w:t>
      </w:r>
      <w:r>
        <w:t xml:space="preserve"> Ông là tác giả hoặc đồng tác giả của bảy cuốn sách và nhiều bài viết đoạt giải về các chủ đề kinh tế, chính trị, quản lý và marketing.</w:t>
      </w:r>
    </w:p>
    <w:p>
      <w:bookmarkStart w:id="927" w:name="ALSO_BY_THIS_AUTHOR_Harvard_Busi_4"/>
      <w:bookmarkStart w:id="928" w:name="Top_of_14_Author1_xhtml"/>
      <w:pPr>
        <w:pStyle w:val="Para 172"/>
        <w:pageBreakBefore w:val="on"/>
      </w:pPr>
      <w:r>
        <w:t>CŨNG CỦA TÁC GIẢ NÀY</w:t>
      </w:r>
      <w:bookmarkEnd w:id="927"/>
      <w:bookmarkEnd w:id="928"/>
    </w:p>
    <w:p>
      <w:pPr>
        <w:pStyle w:val="Para 117"/>
      </w:pPr>
      <w:r>
        <w:t>Harvard Business Review Press Books</w:t>
      </w:r>
    </w:p>
    <w:p>
      <w:pPr>
        <w:pStyle w:val="Para 064"/>
      </w:pPr>
      <w:r>
        <w:t>Ted Levitt on Marketing</w:t>
      </w:r>
    </w:p>
    <w:p>
      <w:pPr>
        <w:pStyle w:val="Para 233"/>
      </w:pPr>
      <w:r>
        <w:t>Harvard Business Review</w:t>
      </w:r>
      <w:r>
        <w:rPr>
          <w:rStyle w:val="Text0"/>
        </w:rPr>
        <w:t xml:space="preserve"> Articles</w:t>
      </w:r>
    </w:p>
    <w:p>
      <w:pPr>
        <w:pStyle w:val="Para 023"/>
      </w:pPr>
      <w:r>
        <w:t>“The Globalization of Markets”</w:t>
      </w:r>
    </w:p>
    <w:p>
      <w:pPr>
        <w:pStyle w:val="Para 023"/>
      </w:pPr>
      <w:r>
        <w:t>“Exploit the Product Life Cycle”</w:t>
      </w:r>
    </w:p>
    <w:p>
      <w:pPr>
        <w:pStyle w:val="Para 023"/>
      </w:pPr>
      <w:r>
        <w:t>“Marketing Success Through Differentiation— of Anything”</w:t>
      </w:r>
    </w:p>
    <w:p>
      <w:pPr>
        <w:pStyle w:val="Para 023"/>
      </w:pPr>
      <w:r>
        <w:t>“Production-Line Approach to Service”</w:t>
      </w:r>
    </w:p>
    <w:p>
      <w:pPr>
        <w:pStyle w:val="Para 023"/>
      </w:pPr>
      <w:r>
        <w:t>“Marketing Intangible Products and Product Intangibles”</w:t>
      </w:r>
    </w:p>
    <w:p>
      <w:pPr>
        <w:pStyle w:val="Para 023"/>
      </w:pPr>
      <w:r>
        <w:t>“After the Sale Is Over . . .”</w:t>
      </w:r>
    </w:p>
    <w:p>
      <w:pPr>
        <w:pStyle w:val="Para 023"/>
      </w:pPr>
      <w:r>
        <w:t>“Creativity Is Not Enough”</w:t>
      </w:r>
    </w:p>
    <w:p>
      <w:pPr>
        <w:pStyle w:val="Para 023"/>
      </w:pPr>
      <w:r>
        <w:t>“The Industrialization of Service”</w:t>
      </w:r>
    </w:p>
    <w:p>
      <w:bookmarkStart w:id="929" w:name="Article_Summary_The_Idea_in_Brie_1"/>
      <w:bookmarkStart w:id="930" w:name="Top_of_14_Summary_xhtml"/>
      <w:pPr>
        <w:pStyle w:val="Para 134"/>
        <w:pageBreakBefore w:val="on"/>
      </w:pPr>
      <w:r>
        <w:t>TÓM TẮT BÀI VIẾT</w:t>
      </w:r>
      <w:bookmarkEnd w:id="929"/>
      <w:bookmarkEnd w:id="930"/>
    </w:p>
    <w:p>
      <w:bookmarkStart w:id="931" w:name="The_Idea_in_Brief"/>
      <w:pPr>
        <w:pStyle w:val="Para 173"/>
      </w:pPr>
      <w:r>
        <w:t>Ý TƯỞNG CỐT LÕI</w:t>
      </w:r>
      <w:bookmarkEnd w:id="931"/>
    </w:p>
    <w:p>
      <w:pPr>
        <w:pStyle w:val="Para 021"/>
      </w:pPr>
      <w:r>
        <w:t xml:space="preserve">Bạn thực sự đang kinh doanh</w:t>
      </w:r>
      <w:r>
        <w:rPr>
          <w:rStyle w:val="Text0"/>
        </w:rPr>
        <w:t> lĩnh</w:t>
      </w:r>
      <w:r>
        <w:t xml:space="preserve"> vực gì? Một câu hỏi tưởng chừng hiển nhiên—nhưng tất cả chúng ta nên tự</w:t>
      </w:r>
      <w:r>
        <w:rPr>
          <w:rStyle w:val="Text0"/>
        </w:rPr>
        <w:t> hỏi trước</w:t>
      </w:r>
      <w:r>
        <w:t xml:space="preserve"> khi nhu cầu đối với sản phẩm hoặc dịch vụ của công ty mình suy giảm.</w:t>
      </w:r>
    </w:p>
    <w:p>
      <w:pPr>
        <w:pStyle w:val="Para 174"/>
      </w:pPr>
      <w:r>
        <w:t xml:space="preserve">Các công ty đường sắt đã không đặt câu hỏi tương tự—và ngừng phát triển. Tại sao? Không phải vì con người không còn cần vận chuyển. Cũng không phải vì các sáng tạo khác (ô tô, máy bay) đã đáp ứng nhu cầu vận chuyển. Đúng hơn, đường sắt ngừng phát triển</w:t>
      </w:r>
      <w:r>
        <w:rPr>
          <w:rStyle w:val="Text0"/>
        </w:rPr>
        <w:t> vì họ</w:t>
      </w:r>
      <w:r>
        <w:t xml:space="preserve"> không chuyển mình để đáp ứng những nhu cầu đó. Các nhà điều hành của họ đã hiểu sai rằng họ đang kinh doanh đường sắt, chứ không phải kinh doanh vận tải. Họ xem mình là người cung cấp một sản phẩm thay vì phục vụ khách hàng. Quá nhiều ngành công nghiệp khác cũng mắc sai lầm tương tự—tự đặt mình vào nguy cơ lỗi thời.</w:t>
      </w:r>
    </w:p>
    <w:p>
      <w:pPr>
        <w:pStyle w:val="Para 174"/>
      </w:pPr>
      <w:r>
        <w:t>Làm thế nào để đảm bảo tăng trưởng liên tục cho công ty của bạn? Tập trung vào việc đáp ứng nhu cầu của khách hàng thay vì bán sản phẩm. Gã khổng lồ hóa chất DuPont luôn theo sát những mối quan tâm cấp bách nhất của khách hàng—và triển khai bí quyết kỹ thuật của mình để tạo ra ngày càng nhiều sản phẩm hấp dẫn khách hàng và liên tục mở rộng thị trường. Nếu DuPont chỉ đơn thuần tìm thêm công dụng cho phát minh chủ lực của mình là nylon, có lẽ ngày nay họ đã không còn tồn tại.</w:t>
      </w:r>
    </w:p>
    <w:p>
      <w:bookmarkStart w:id="932" w:name="The_Idea_in_Practice"/>
      <w:pPr>
        <w:pStyle w:val="Para 173"/>
      </w:pPr>
      <w:r>
        <w:t>Ý TƯỞNG TRONG THỰC TIỄN</w:t>
      </w:r>
      <w:bookmarkEnd w:id="932"/>
    </w:p>
    <w:p>
      <w:pPr>
        <w:pStyle w:val="Para 021"/>
      </w:pPr>
      <w:r>
        <w:t>Chúng ta đặt doanh nghiệp của mình vào nguy cơ lỗi thời khi chấp nhận bất kỳ huyền thoại nào sau đây:</w:t>
      </w:r>
    </w:p>
    <w:p>
      <w:pPr>
        <w:pStyle w:val="Para 021"/>
      </w:pPr>
      <w:r>
        <w:rPr>
          <w:rStyle w:val="Text1"/>
        </w:rPr>
        <w:t>Huyền</w:t>
      </w:r>
      <w:r>
        <w:t xml:space="preserve"> thoại 1: Dân số ngày càng tăng và thịnh vượng hơn sẽ đảm bảo sự tăng trưởng của chúng ta. Khi thị trường đang mở rộng, chúng ta thường cho rằng mình không cần phải suy nghĩ sáng tạo về doanh nghiệp. Thay vào đó, chúng ta tìm cách vượt qua đối thủ chỉ bằng cách cải thiện những gì mình đang làm. Hậu quả: Chúng ta tăng hiệu</w:t>
      </w:r>
      <w:r>
        <w:rPr>
          <w:rStyle w:val="Text0"/>
        </w:rPr>
        <w:t> quả sản</w:t>
      </w:r>
      <w:r>
        <w:t xml:space="preserve"> xuất sản phẩm, thay vì nâng cao giá trị</w:t>
      </w:r>
      <w:r>
        <w:rPr>
          <w:rStyle w:val="Text0"/>
        </w:rPr>
        <w:t> mà</w:t>
      </w:r>
      <w:r>
        <w:t xml:space="preserve"> những sản phẩm đó mang lại cho khách hàng.</w:t>
      </w:r>
    </w:p>
    <w:p>
      <w:pPr>
        <w:pStyle w:val="Para 129"/>
      </w:pPr>
      <w:r>
        <w:rPr>
          <w:rStyle w:val="Text1"/>
        </w:rPr>
        <w:t>Lầm tưởng</w:t>
      </w:r>
      <w:r>
        <w:t xml:space="preserve"> 2: Không có sản phẩm thay thế cạnh tranh nào cho sản phẩm chủ lực của ngành chúng ta. Tin rằng sản phẩm của mình không có đối thủ khiến doanh nghiệp của chúng ta dễ bị tổn thương trước những cải tiến mang tính đột phá từ bên ngoài ngành—thường đến từ các công ty nhỏ hơn, mới hơn, tập trung vào nhu cầu khách hàng thay vì bản thân sản phẩm.</w:t>
      </w:r>
    </w:p>
    <w:p>
      <w:pPr>
        <w:pStyle w:val="Para 129"/>
      </w:pPr>
      <w:r>
        <w:rPr>
          <w:rStyle w:val="Text1"/>
        </w:rPr>
        <w:t>Lầm tưởng</w:t>
      </w:r>
      <w:r>
        <w:t xml:space="preserve"> 3: Chúng ta có thể tự bảo vệ mình thông qua sản xuất hàng loạt. Ít ai trong chúng ta có thể cưỡng lại viễn cảnh lợi nhuận tăng cao nhờ chi phí đơn vị giảm mạnh. Nhưng tập trung vào sản xuất hàng loạt lại nhấn mạnh nhu cầu của</w:t>
      </w:r>
      <w:r>
        <w:rPr>
          <w:rStyle w:val="Text0"/>
        </w:rPr>
        <w:t> công ty—trong</w:t>
      </w:r>
      <w:r>
        <w:t xml:space="preserve"> khi chúng ta nên tập trung vào nhu cầu của</w:t>
      </w:r>
      <w:r>
        <w:rPr>
          <w:rStyle w:val="Text0"/>
        </w:rPr>
        <w:t> khách</w:t>
      </w:r>
      <w:r>
        <w:t> hàng.</w:t>
      </w:r>
    </w:p>
    <w:p>
      <w:pPr>
        <w:pStyle w:val="Para 129"/>
      </w:pPr>
      <w:r>
        <w:rPr>
          <w:rStyle w:val="Text1"/>
        </w:rPr>
        <w:t>Lầm tưởng</w:t>
      </w:r>
      <w:r>
        <w:t xml:space="preserve"> 4: Nghiên cứu và phát triển kỹ thuật sẽ đảm bảo sự tăng trưởng của chúng ta. Khi R&amp;D tạo ra những sản phẩm đột phá, chúng ta có thể bị cám dỗ để tổ chức công ty xoay quanh công nghệ thay vì người tiêu dùng. Thay vào đó, chúng ta nên duy trì tập trung vào việc thỏa mãn nhu cầu của khách hàng.</w:t>
      </w:r>
    </w:p>
    <w:p>
      <w:bookmarkStart w:id="933" w:name="Harvard_Business_Review_CLASSICS_13"/>
      <w:bookmarkStart w:id="934" w:name="Top_of_15_03_Title_xhtml"/>
      <w:pPr>
        <w:pStyle w:val="Para 032"/>
        <w:pageBreakBefore w:val="on"/>
      </w:pPr>
      <w:r>
        <w:t>Harvard Business Review</w:t>
      </w:r>
      <w:bookmarkEnd w:id="933"/>
      <w:bookmarkEnd w:id="934"/>
    </w:p>
    <w:p>
      <w:pPr>
        <w:pStyle w:val="Para 033"/>
      </w:pPr>
      <w:r>
        <w:t>KINH ĐIỂN</w:t>
      </w:r>
    </w:p>
    <w:p>
      <w:pPr>
        <w:pStyle w:val="Para 036"/>
      </w:pPr>
      <w:r>
        <w:t>BẠN CÓ MUỐN GIỮ CHÂN KHÁCH HÀNG MÃI MÃI?</w:t>
      </w:r>
    </w:p>
    <w:p>
      <w:pPr>
        <w:pStyle w:val="Para 026"/>
      </w:pPr>
      <w:r>
        <w:t>B. Joseph Pine II, Don Peppers, and</w:t>
        <w:br w:clear="none"/>
        <w:t>Martha Rogers</w:t>
      </w:r>
    </w:p>
    <w:p>
      <w:pPr>
        <w:pStyle w:val="Para 012"/>
      </w:pPr>
      <w:r>
        <w:t>Harvard Business Review Press</w:t>
      </w:r>
    </w:p>
    <w:p>
      <w:pPr>
        <w:pStyle w:val="Para 012"/>
      </w:pPr>
      <w:r>
        <w:t>Boston, Massachusetts</w:t>
      </w:r>
    </w:p>
    <w:p>
      <w:bookmarkStart w:id="935" w:name="a16"/>
      <w:bookmarkStart w:id="936" w:name="sbo_rt_content_15"/>
      <w:bookmarkStart w:id="937" w:name="Top_of_16_01_cover_xhtml"/>
      <w:pPr>
        <w:pStyle w:val="Para 234"/>
        <w:pageBreakBefore w:val="on"/>
      </w:pPr>
      <w:r>
        <w:drawing>
          <wp:anchor distL="0" distR="0" distT="0" distB="0" simplePos="0" relativeHeight="1" behindDoc="0" locked="0" layoutInCell="1" allowOverlap="1">
            <wp:simplePos x="0" y="0"/>
            <wp:positionH relativeFrom="margin">
              <wp:align>left</wp:align>
            </wp:positionH>
            <wp:positionV relativeFrom="line">
              <wp:align>top</wp:align>
            </wp:positionV>
            <wp:extent cx="5372100" cy="8229600"/>
            <wp:effectExtent l="0" r="0" t="0" b="0"/>
            <wp:wrapTopAndBottom/>
            <wp:docPr id="39" name="sahlman_cover.jpg" descr="cover"/>
            <wp:cNvGraphicFramePr>
              <a:graphicFrameLocks noChangeAspect="1"/>
            </wp:cNvGraphicFramePr>
            <a:graphic>
              <a:graphicData uri="http://schemas.openxmlformats.org/drawingml/2006/picture">
                <pic:pic>
                  <pic:nvPicPr>
                    <pic:cNvPr id="0" name="sahlman_cover.jpg" descr="cover"/>
                    <pic:cNvPicPr/>
                  </pic:nvPicPr>
                  <pic:blipFill>
                    <a:blip r:embed="rId28"/>
                    <a:stretch>
                      <a:fillRect/>
                    </a:stretch>
                  </pic:blipFill>
                  <pic:spPr>
                    <a:xfrm>
                      <a:off x="0" y="0"/>
                      <a:ext cx="5372100" cy="8229600"/>
                    </a:xfrm>
                    <a:prstGeom prst="rect">
                      <a:avLst/>
                    </a:prstGeom>
                  </pic:spPr>
                </pic:pic>
              </a:graphicData>
            </a:graphic>
          </wp:anchor>
        </w:drawing>
      </w:r>
      <w:bookmarkEnd w:id="935"/>
      <w:bookmarkEnd w:id="936"/>
      <w:bookmarkEnd w:id="937"/>
    </w:p>
    <w:p>
      <w:bookmarkStart w:id="938" w:name="Top_of_15_04_Copyright_xhtml"/>
      <w:bookmarkStart w:id="939" w:name="Copyright_2009_Harvard_Business"/>
      <w:pPr>
        <w:pStyle w:val="Para 235"/>
        <w:pageBreakBefore w:val="on"/>
      </w:pPr>
      <w:r>
        <w:t>Bản quyền 2009 Harvard Business School Publishing Corporation</w:t>
      </w:r>
      <w:bookmarkEnd w:id="938"/>
      <w:bookmarkEnd w:id="939"/>
    </w:p>
    <w:p>
      <w:pPr>
        <w:pStyle w:val="Para 006"/>
      </w:pPr>
      <w:r>
        <w:t xml:space="preserve">Được xuất bản lần đầu trên</w:t>
      </w:r>
      <w:r>
        <w:rPr>
          <w:rStyle w:val="Text0"/>
        </w:rPr>
        <w:t> Harvard Business Review vào</w:t>
      </w:r>
      <w:r>
        <w:t xml:space="preserve"> tháng 3 năm 1995</w:t>
      </w:r>
    </w:p>
    <w:p>
      <w:pPr>
        <w:pStyle w:val="Para 006"/>
      </w:pPr>
      <w:r>
        <w:t>Tái bản #95209</w:t>
      </w:r>
    </w:p>
    <w:p>
      <w:pPr>
        <w:pStyle w:val="Para 006"/>
      </w:pPr>
      <w:r>
        <w:t>Bảo lưu mọi quyền</w:t>
      </w:r>
    </w:p>
    <w:p>
      <w:pPr>
        <w:pStyle w:val="18 Block"/>
      </w:pPr>
    </w:p>
    <w:p>
      <w:pPr>
        <w:pStyle w:val="Para 006"/>
      </w:pPr>
      <w:r>
        <w:t xml:space="preserve">Không một phần nào của ấn phẩm này được sao chép, lưu trữ hoặc đưa vào hệ thống truy xuất, hoặc truyền tải dưới bất kỳ hình thức nào, bằng bất kỳ phương tiện nào (điện tử, cơ học, sao chụp, ghi âm, hoặc cách khác), mà không có sự cho phép trước của nhà xuất bản. Các yêu cầu xin phép nên gửi tới</w:t>
      </w:r>
      <w:r>
        <w:rPr>
          <w:rStyle w:val="Text2"/>
        </w:rPr>
        <w:t> permissions@hbsp.harvard.edu,</w:t>
      </w:r>
      <w:r>
        <w:t> hoặc gửi thư tới Permissions, Harvard Business School Publishing, 60 Harvard Way, Boston, Massachusetts 02163.</w:t>
      </w:r>
    </w:p>
    <w:p>
      <w:pPr>
        <w:pStyle w:val="Para 006"/>
      </w:pPr>
      <w:r>
        <w:t>Thông tin biên mục của Library of Congress sẽ được bổ sung sau.</w:t>
      </w:r>
    </w:p>
    <w:p>
      <w:bookmarkStart w:id="940" w:name="THE_HARVARD_BUSINESSREVIEW_CLASS_1"/>
      <w:bookmarkStart w:id="941" w:name="Top_of_15_05_Review_Series_xhtml"/>
      <w:pPr>
        <w:pStyle w:val="Para 236"/>
        <w:pageBreakBefore w:val="on"/>
      </w:pPr>
      <w:r>
        <w:t>LOẠT BÀI KINH ĐIỂN</w:t>
        <w:br w:clear="none"/>
        <w:t> HARVARD BUSINESSREVIEW</w:t>
      </w:r>
      <w:bookmarkEnd w:id="940"/>
      <w:bookmarkEnd w:id="941"/>
    </w:p>
    <w:p>
      <w:pPr>
        <w:pStyle w:val="Normal"/>
      </w:pPr>
      <w:r>
        <w:t xml:space="preserve">Từ năm 1922,</w:t>
      </w:r>
      <w:r>
        <w:rPr>
          <w:rStyle w:val="Text0"/>
        </w:rPr>
        <w:t> Harvard Business Review đã</w:t>
      </w:r>
      <w:r>
        <w:t xml:space="preserve"> là nguồn cung cấp hàng đầu những ý tưởng đột phá trong thực tiễn quản lý — nhiều ý tưởng trong số đó vẫn còn nguyên giá trị và ảnh hưởng đến chúng ta ngày nay. Loạt bài HBR Classics ngày nay mang đến cho bạn cơ hội đưa những tác phẩm quan trọng này vào tủ sách quản lý thường trực của mình. Mỗi tập sách chứa đựng một ý tưởng đột phá đã định hình các phương pháp thực hành tốt nhất và truyền cảm hứng cho vô số nhà quản lý trên toàn thế giới — và sẽ thay đổi cách bạn suy nghĩ về thế giới kinh doanh ngày nay.</w:t>
      </w:r>
    </w:p>
    <w:p>
      <w:bookmarkStart w:id="942" w:name="Customers__whether_consumers_or"/>
      <w:bookmarkStart w:id="943" w:name="Top_of_15_07_Chapter_01_xhtml"/>
      <w:pPr>
        <w:pStyle w:val="Para 120"/>
        <w:pageBreakBefore w:val="on"/>
      </w:pPr>
      <w:r>
        <w:t>Khách hàng, dù là người tiêu dùng cá nhân hay doanh nghiệp, không muốn có thêm nhiều lựa chọn. Họ muốn chính xác những gì họ cần — khi nào, ở đâu và theo cách họ muốn — và công nghệ ngày nay giúp các công ty có thể đáp ứng điều đó. Công nghệ tương tác và cơ sở dữ liệu cho phép các công ty thu thập lượng lớn dữ liệu về nhu cầu và sở thích của từng khách hàng. Công nghệ thông tin và hệ thống sản xuất linh hoạt giúp các công ty tùy chỉnh số lượng lớn hàng hóa hoặc dịch vụ cho từng khách hàng với chi phí tương đối thấp. Nhưng rất ít công ty khai thác được tiềm năng này. Hầu hết các nhà quản lý vẫn nhìn thế giới qua lăng kính kép của tiếp thị đại trà và sản xuất hàng loạt. Để xử lý các thị trường ngày càng biến động và phân mảnh, họ cố tung ra nhiều loại hàng hóa và dịch vụ đa dạng hơn, đồng thời nhắm đến các phân khúc thị trường ngày càng nhỏ hơn với các thông điệp quảng cáo được cá nhân hóa hơn. Nhưng cuối cùng, các nhà quản lý này chỉ khiến khách hàng bị ngập trong quá nhiều sự lựa chọn.</w:t>
      </w:r>
      <w:bookmarkEnd w:id="942"/>
      <w:bookmarkEnd w:id="943"/>
    </w:p>
    <w:p>
      <w:pPr>
        <w:pStyle w:val="Normal"/>
      </w:pPr>
      <w:r>
        <w:t xml:space="preserve">Một công ty mong muốn mang đến cho khách hàng chính xác những gì họ muốn phải nhìn thế giới qua lăng kính mới. Công ty phải sử dụng công nghệ để trở thành hai điều: một nhà tùy biến hàng</w:t>
      </w:r>
      <w:r>
        <w:rPr>
          <w:rStyle w:val="Text0"/>
        </w:rPr>
        <w:t> loạt (mass customizer)</w:t>
      </w:r>
      <w:r>
        <w:t xml:space="preserve"> cung cấp hiệu quả hàng hóa và dịch vụ được cá nhân hóa theo từng người, và một nhà tiếp</w:t>
      </w:r>
      <w:r>
        <w:rPr>
          <w:rStyle w:val="Text0"/>
        </w:rPr>
        <w:t> thị một-một (one-to-one</w:t>
      </w:r>
      <w:r>
        <w:t xml:space="preserve"> marketer) thu thập thông tin từ mỗi khách hàng về nhu cầu và sở thích cụ thể của họ. Logic song sinh của tùy biến hàng loạt (mass customization) và tiếp thị một-một (one-to-one marketing) gắn kết nhà sản xuất và người tiêu dùng trong cái mà chúng tôi</w:t>
      </w:r>
      <w:r>
        <w:rPr>
          <w:rStyle w:val="Text0"/>
        </w:rPr>
        <w:t> gọi là mối quan hệ học hỏi</w:t>
      </w:r>
      <w:r>
        <w:t> (learning relationship)—một kết nối liên tục trở nên thông minh hơn khi hai bên tương tác với nhau, hợp tác để đáp ứng nhu cầu của người tiêu dùng theo thời gian.</w:t>
      </w:r>
    </w:p>
    <w:p>
      <w:pPr>
        <w:pStyle w:val="Normal"/>
      </w:pPr>
      <w:r>
        <w:t>Trong các mối quan hệ học hỏi, từng khách hàng dạy cho công ty ngày càng nhiều về sở thích và nhu cầu của họ, mang lại cho công ty một lợi thế cạnh tranh to lớn. Khách hàng càng dạy công ty nhiều, công ty càng trở nên giỏi hơn trong việc cung cấp chính xác những gì họ muốn—chính xác theo cách họ muốn—và đối thủ càng khó lôi kéo họ đi. Ngay cả khi đối thủ xây dựng được năng lực tương tự, một khách hàng đã tham gia vào mối quan hệ học hỏi với công ty sẽ phải tốn rất nhiều thời gian và công sức để dạy cho đối thủ những gì công ty đã biết.</w:t>
      </w:r>
    </w:p>
    <w:p>
      <w:pPr>
        <w:pStyle w:val="Normal"/>
      </w:pPr>
      <w:r>
        <w:t>Nhờ lợi thế cạnh tranh vô cùng mạnh mẽ này, một công ty có thể vun đắp mối quan hệ học hỏi với khách hàng sẽ có thể giữ chân họ gần như mãi mãi—với điều kiện công ty tiếp tục cung cấp các sản phẩm hoặc dịch vụ tùy biến chất lượng cao với mức giá cạnh tranh hợp lý và không bỏ lỡ làn sóng công nghệ tiếp theo. (Mối quan hệ học hỏi sẽ không cứu được một nhà sản xuất roi ngựa trước sự ra đời của ô tô.)</w:t>
      </w:r>
    </w:p>
    <w:p>
      <w:pPr>
        <w:pStyle w:val="Normal"/>
      </w:pPr>
      <w:r>
        <w:t>Một công ty xuất sắc trong việc xây dựng mối quan hệ học hỏi với khách hàng có tên, đúng như tên gọi, là Individual, Inc. Công ty ở Burlington, Massachusetts này, cạnh tranh với các dịch vụ tin tức, chọn lọc và tra cứu thông tin, cung cấp các bài báo đã xuất bản được chọn lọc để phù hợp với sở thích cụ thể, luôn thay đổi của từng khách hàng. Thay vì phải lục lọi đống bài báo cắt dán hoặc phải thành thạo các lệnh phức tạp để tìm kiếm cơ sở dữ liệu, khách hàng của Individual—bao gồm các công ty đa dạng như MCI Telecommunications, McKinsey &amp; Company, Avon Products, và Fidelity Investments—nhận được một cách dễ dàng các bài viết kịp thời, mới mẻ, phù hợp được chuyển ngay đến bàn làm việc qua fax, phần mềm nhóm (groupware) (như Lotus Notes), dịch vụ trực tuyến, Internet, hoặc thư điện tử.</w:t>
      </w:r>
    </w:p>
    <w:p>
      <w:pPr>
        <w:pStyle w:val="Normal"/>
      </w:pPr>
      <w:r>
        <w:t xml:space="preserve">Khi ai đó đăng ký dịch vụ First! của</w:t>
      </w:r>
      <w:r>
        <w:rPr>
          <w:rStyle w:val="Text0"/>
        </w:rPr>
        <w:t> Individual,</w:t>
      </w:r>
      <w:r>
        <w:t xml:space="preserve"> công ty chỉ định một giám đốc biên tập để xác định khách hàng muốn loại thông tin gì. Giám đốc biên tập và khách hàng chuyển những yêu cầu đó thành các mô tả đơn giản, chẳng hạn như các bài báo về những ứng dụng mới của công nghệ thông tin trong chăm sóc sức khỏe tại nhà hoặc về các sản phẩm mới do các công ty bán dẫn Nhật Bản phát triển. Giám đốc biên tập nhập các yêu cầu vào hệ thống phần mềm SMART của Individual (viết tắt của System for Manipulation and Retrieval of Text). Sau đó SMART tiếp quản. Mỗi ngày làm việc, hệ thống tìm kiếm 400 nguồn chứa hơn 12.000 bài báo để chọn ra những bài có khả năng phù hợp nhất với nhu cầu của khách hàng, và chuyển chúng đến theo phương thức mà khách hàng đã chọn.</w:t>
      </w:r>
    </w:p>
    <w:p>
      <w:pPr>
        <w:pStyle w:val="Normal"/>
      </w:pPr>
      <w:r>
        <w:t>Mỗi tuần, Individual yêu cầu khách hàng mới (qua fax hoặc máy tính) đánh giá mỗi bài viết là “không liên quan”, “hơi liên quan” hoặc “rất liên quan”. Các phản hồi được đưa vào hệ thống, khiến SMART ngày càng thông minh hơn. Trong tuần đầu tiên của dịch vụ, hầu hết khách hàng chỉ thấy 40% đến 60% số bài viết là hơi hoặc rất liên quan. Đến tuần thứ tư hoặc thứ năm, SMART đã tăng các đánh giá đó lên mức mục tiêu 80% đến 90%. Khi đạt được mức đó, Individual giảm tần suất đánh giá xuống còn một lần mỗi tháng, điều này vẫn cho phép công ty theo kịp nhu cầu thay đổi của khách hàng.</w:t>
      </w:r>
    </w:p>
    <w:p>
      <w:pPr>
        <w:pStyle w:val="Normal"/>
      </w:pPr>
      <w:r>
        <w:t xml:space="preserve">Individual cũng thường xuyên đáp ứng yêu cầu của khách hàng về các nguồn thông tin mới và cách thức nhận thông tin. Ví dụ, Sun Microsystems đã yêu cầu công</w:t>
      </w:r>
      <w:r>
        <w:rPr>
          <w:rStyle w:val="Text0"/>
        </w:rPr>
        <w:t> ty</w:t>
      </w:r>
      <w:r>
        <w:t xml:space="preserve"> đặt First! trên máy chủ Internet nội bộ của họ. Khi Individual cung cấp dịch vụ này, họ nhận thấy nhiều khách hàng khác cũng phụ thuộc vào Internet để gửi và chia sẻ thông tin muốn nhận dịch vụ theo cách tương tự. Sự đáp ứng nhanh nhạy này chắc chắn là một lý do khiến Individual, với hơn 30.000 người dùng và hơn 4.000 tài khoản, đạt được tỷ lệ giữ chân khách hàng từ 85% đến 90%. Nhưng còn một lý do khác: vì thời gian và công sức mà mỗi khách hàng đã bỏ ra để dạy công ty biết bài viết nào liên quan và bài nào không, việc chuyển sang đối thủ cạnh tranh sẽ buộc khách hàng phải đầu tư lại từ đầu.</w:t>
      </w:r>
    </w:p>
    <w:p>
      <w:pPr>
        <w:pStyle w:val="Para 090"/>
      </w:pPr>
      <w:r>
        <w:bookmarkStart w:id="944" w:name="s1"/>
        <w:t>TỪ</w:t>
        <w:bookmarkEnd w:id="944"/>
        <w:t> SẢN XUẤT HÀNG LOẠT ĐẾN CÁ NHÂN HÓA HÀNG LOẠT</w:t>
      </w:r>
    </w:p>
    <w:p>
      <w:pPr>
        <w:pStyle w:val="Normal"/>
      </w:pPr>
      <w:r>
        <w:t xml:space="preserve">Mặc dù Individual sử dụng công nghệ thông tin và tương tác một cách triệt để, hầu hết các nhà quản lý vẫn không hiểu rằng sự đa dạng không giống với sự tùy biến. Tùy biến (customization) nghĩa là sản xuất một sản phẩm hoặc cung cấp một</w:t>
      </w:r>
      <w:r>
        <w:rPr>
          <w:rStyle w:val="Text0"/>
        </w:rPr>
        <w:t> dịch vụ theo</w:t>
      </w:r>
      <w:r>
        <w:t xml:space="preserve"> nhu cầu cụ thể của khách hàng, còn tùy biến hàng loạt (mass customization) là thực hiện điều đó một cách hiệu quả về chi phí. Tùy biến hàng loạt đòi hỏi định hướng lấy khách hàng làm trung tâm trong quy trình sản xuất và giao hàng, yêu cầu công ty hợp tác với từng khách hàng để thiết kế sản phẩm hoặc dịch vụ mong muốn, sau đó được xây dựng từ nền tảng các mô-đun được thiết kế sẵn và có thể lắp ráp theo vô số cách.</w:t>
      </w:r>
    </w:p>
    <w:p>
      <w:pPr>
        <w:pStyle w:val="Normal"/>
      </w:pPr>
      <w:r>
        <w:t>Ngược lại, sản xuất hàng loạt và tiếp thị đại trà lấy sản phẩm làm trung tâm đòi hỏi phải đẩy các tùy chọn (và hàng tồn kho) vào các kênh phân phối và hy vọng rằng mỗi tùy chọn mới sẽ được đủ số lượng khách hàng đón nhận để việc sản xuất nó trở nên đáng giá. Điều này buộc khách hàng phải tìm kiếm một sản phẩm hoặc dịch vụ duy nhất họ muốn trong số một loạt các lựa chọn ngày càng tăng.</w:t>
      </w:r>
    </w:p>
    <w:p>
      <w:pPr>
        <w:pStyle w:val="Normal"/>
      </w:pPr>
      <w:r>
        <w:t xml:space="preserve">Hãy nhìn vào các cửa hàng tạp hóa. Theo New</w:t>
      </w:r>
      <w:r>
        <w:rPr>
          <w:rStyle w:val="Text0"/>
        </w:rPr>
        <w:t> Products News, số</w:t>
      </w:r>
      <w:r>
        <w:t xml:space="preserve"> lượng sản phẩm mới, bao gồm cả các phiên bản mở rộng dòng sản phẩm, được giới thiệu tại các cửa hàng tạp hóa mỗi năm đã tăng từ dưới 3.000 vào năm 1980 lên hơn 10.000 vào năm 1988 và hơn 17.000 vào năm 1993. Tạp chí Progressive</w:t>
      </w:r>
      <w:r>
        <w:rPr>
          <w:rStyle w:val="Text0"/>
        </w:rPr>
        <w:t> Grocer báo cáo</w:t>
      </w:r>
      <w:r>
        <w:t xml:space="preserve"> rằng số lượng mã hàng lưu kho (stock-keeping units) trong một siêu thị trung bình đã tăng gấp đôi lên hơn 30.000 trong giai đoạn 1980-1994. Xu hướng tương tự cũng có thể thấy trong nhiều ngành dịch vụ: hãy chứng kiến sự gia tăng chóng mặt của các loại thẻ tín dụng affinity và vô số lựa chọn do các công ty điện thoại cung cấp.</w:t>
      </w:r>
    </w:p>
    <w:p>
      <w:pPr>
        <w:pStyle w:val="Normal"/>
      </w:pPr>
      <w:r>
        <w:t>Các công ty cũng đang làm người tiêu dùng ngập trong vô số thông điệp đa dạng hơn. Và tất nhiên, có nhiều phương tiện truyền thông hơn để truyền tải chúng: thư trực tiếp (direct mail), tiếp thị qua điện thoại (telemarketing), các phụ trang đặc biệt của báo, và số lượng kênh truyền hình ngày càng tăng, cùng nhiều hình thức khác.</w:t>
      </w:r>
    </w:p>
    <w:p>
      <w:pPr>
        <w:pStyle w:val="Normal"/>
      </w:pPr>
      <w:r>
        <w:t>Ví dụ, tờ báo trung bình hiện nay nặng hơn 55% so với chỉ mười năm trước, chủ yếu là do các phụ trang được thiết kế để chứa quảng cáo nhắm mục tiêu đặc biệt. Vấn đề với các phụ trang này là chúng được phát cho mọi người đăng ký. Người không làm vườn vẫn nhận được phụ trang về làm vườn, và người đọc báo trước khi đến văn phòng vẫn nhận được phụ trang về làm việc tại nhà. Vì vậy, suy cho cùng, các phụ trang này chẳng đặc biệt gì cả.</w:t>
      </w:r>
    </w:p>
    <w:p>
      <w:pPr>
        <w:pStyle w:val="Normal"/>
      </w:pPr>
      <w:r>
        <w:t>Các nhà tiếp thị đại chúng (mass marketer) sử dụng công nghệ thông tin để xác định những khách hàng tiềm năng nhất cho sản phẩm họ muốn bán. Phần lớn thông tin đến từ các hồ sơ giao dịch đơn giản (như mua hàng và hóa đơn của khách hàng) và thông tin công khai (như đăng ký xe, mẫu đổi địa chỉ, và dữ liệu điều tra dân số) do các công ty như R.L. Polk và Donnelley Marketing biên soạn. Từ dữ liệu đó, nhà tiếp thị đại chúng tạo danh sách những khách hàng tiềm năng nhất và chào mời họ bằng các ưu đãi hoặc thông điệp mà nhà tiếp thị đã cố gắng cá nhân hóa bằng cách đoán sở thích của họ. Ngược lại, nhà tiếp thị một-một (one-to-one marketer) đối thoại với từng khách hàng—một người tại một thời điểm—và sử dụng phản hồi ngày càng chi tiết hơn để tìm ra sản phẩm hoặc dịch vụ tốt nhất cho khách hàng đó. Mặc dù nhiều công ty đang hướng tới mô hình này, nhưng ít ai đã áp dụng hoàn toàn hoặc kết hợp nó với tùy biến hàng loạt (mass customization).</w:t>
      </w:r>
    </w:p>
    <w:p>
      <w:pPr>
        <w:pStyle w:val="Normal"/>
      </w:pPr>
      <w:r>
        <w:t>Hãy lấy Hallmark Cards và American Greetings, những người dẫn đầu trong ngành công nghiệp thiệp chúc mừng đa dạng. Cả hai công ty đã lắp đặt các ki-ốt điện tử (electronic kiosk) trong cửa hàng và những nơi công cộng khác để mọi người có thể tự tạo thiệp chúc mừng của riêng mình. Người tiêu dùng có thể chạm vào màn hình của ki-ốt của một trong hai công ty, nhanh chóng chọn loại thiệp cần thiết (ví dụ như thiệp kỷ niệm hoặc thiệp sinh nhật), duyệt qua nhiều lựa chọn, sau đó chỉnh sửa hoặc tự viết lời nhắn để bày tỏ đúng cảm xúc. Tấm thiệp sẽ được in ra trong khoảng một phút.</w:t>
      </w:r>
    </w:p>
    <w:p>
      <w:pPr>
        <w:pStyle w:val="Normal"/>
      </w:pPr>
      <w:r>
        <w:t>Cả hai công ty có vẻ hài lòng với hiệu quả hoạt động của các mảng kinh doanh tùy biến hàng loạt (mass customization), nhưng cả hai đều chưa khai thác hết tiềm năng của nó. Đồ họa cho các tấm thiệp đều được cài đặt sẵn (vì vậy chỉ có thể tùy chỉnh lời nhắn), và có rất ít tổ chức (nên việc duyệt qua các lựa chọn có thể mất thời gian). Tuy nhiên, điểm yếu lớn nhất của các ki-ốt điện tử là thiếu hệ thống ghi lại sở thích của từng khách hàng. Mỗi lần sử dụng hệ thống, người dùng phải bắt đầu lại từ đầu.</w:t>
      </w:r>
    </w:p>
    <w:p>
      <w:pPr>
        <w:pStyle w:val="Normal"/>
      </w:pPr>
      <w:r>
        <w:t>Nếu một công ty thiệp chúc mừng biết tận dụng tối đa sức mạnh của việc cá nhân hóa hàng loạt (mass customization) và tiếp thị một-một (one-to-one marketing), công ty đó sẽ có thể ghi nhớ những dịp quan trọng trong cuộc đời bạn và nhắc bạn mua thiệp. Công ty sẽ đưa ra gợi ý dựa trên những lần mua trước của bạn. Quầy tự phục vụ (kiosk) của họ sẽ hiển thị các lựa chọn trước đây, vừa để đảm bảo bạn không mắc lỗi gửi cùng một tấm thiệp cho cùng một người hai lần, vừa để cho bạn lựa chọn gửi cùng một tấm thiệp vui nhộn đó cho một người khác—tất nhiên là có sự cá nhân hóa phù hợp. Có lẽ công ty sẽ gửi thiệp qua bưu điện hoặc chuyển qua Internet giúp bạn để chúng đến đúng hẹn. Có thể công ty sẽ nhắc bạn gửi thiệp, cho phép bạn tự thiết kế, và sắp xếp việc giao thiệp qua máy tính cá nhân của bạn bằng một dịch vụ trực tuyến (on-line service) cho phép bạn tích hợp đồ họa hoặc ảnh của chính mình. Thậm chí họ có thể thấy thiết kế của bạn quá tốt đến mức xin phép bạn thêm nó vào kho hàng của họ.</w:t>
      </w:r>
    </w:p>
    <w:p>
      <w:pPr>
        <w:pStyle w:val="Normal"/>
      </w:pPr>
      <w:r>
        <w:t>Chắc chắn, không phải khách hàng nào cũng muốn đầu tư thời gian cho một mối quan hệ như vậy. Cũng không phải khách hàng nào cũng mua đủ thiệp để mối quan hệ đó trở nên đáng giá đối với công ty. Nhưng lợi ích của việc thiết lập và vun đắp mối quan hệ học hỏi (learning relationship) với những khách hàng mua thiệp thường xuyên là vô cùng lớn đối với một công ty thiệp chúc mừng. Vì mỗi tấm thiệp bán cho những khách hàng đó sẽ được điều chỉnh chính xác theo nhu cầu của họ, công ty có thể tính giá cao hơn (premium) và biên lợi nhuận sẽ tăng lên. Và vì công ty được trang bị để đảm bảo khách hàng không bao giờ quên một dịp nào, họ sẽ bán được nhiều thiệp hơn cho khách hàng đó. Việc phát triển sản phẩm của công ty sẽ trở nên hiệu quả hơn nhờ khả năng mở rộng để hiểu chính xác ai đang mua gì, khi nào, và tại sao—chưa kể đến khả năng sử dụng những ý tưởng mới mà khách hàng có thể cung cấp.</w:t>
      </w:r>
    </w:p>
    <w:p>
      <w:pPr>
        <w:pStyle w:val="Normal"/>
      </w:pPr>
      <w:r>
        <w:t>Nhưng quan trọng nhất, công ty sẽ giữ chân được nhiều khách hàng hơn, đặc biệt là những khách hàng giá trị nhất: những người mua thường xuyên. Khách hàng càng dạy cho công ty nhiều về sở thích cá nhân, các dịp kỷ niệm và người nhận thiệp (địa chỉ, mối quan hệ, v.v.) của họ, thì họ càng ngại lặp lại quá trình đó với một nhà cung cấp khác. Miễn là công ty hoàn thành phần nghĩa vụ của mình trong thỏa thuận, đối thủ cạnh tranh sẽ không bao giờ có thể lôi kéo được khách hàng của họ đi. Cuộc chiến sẽ chỉ giới hạn ở việc thu hút khách hàng mới.</w:t>
      </w:r>
    </w:p>
    <w:p>
      <w:pPr>
        <w:pStyle w:val="Para 090"/>
      </w:pPr>
      <w:r>
        <w:bookmarkStart w:id="945" w:name="s2"/>
        <w:t/>
        <w:bookmarkEnd w:id="945"/>
        <w:t>KHI NÀO CÁC MỐI QUAN HỆ HỌC HỎI LÀ PHÙ HỢP?</w:t>
      </w:r>
    </w:p>
    <w:p>
      <w:pPr>
        <w:pStyle w:val="Normal"/>
      </w:pPr>
      <w:r>
        <w:t>Dù những lợi ích của mối quan hệ học hỏi là hấp dẫn và mạnh mẽ đến đâu, mô hình kinh doanh hoàn toàn khác biệt này không thể được áp dụng theo cùng một cách bởi tất cả mọi người. Các công ty như nhà xây dựng, môi giới bất động sản, và nhà sản xuất thiết bị gia dụng—những công ty không tương tác thường xuyên với người dùng cuối—không thể học hỏi đủ để tạo nên một mối quan hệ học hỏi có hiệu quả với những khách hàng đó. Nhưng họ có thể thấy hữu ích khi phát triển những mối quan hệ như vậy với các nhà thầu chính (general contractors). Tương tự, các nhà sản xuất sản phẩm như kẹp giấy, những công ty có doanh thu hoặc biên lợi nhuận trên mỗi khách hàng quá thấp để biện minh cho việc xây dựng mối quan hệ học hỏi cá nhân với từng khách hàng, có thể thấy lợi thế khi nuôi dưỡng mối quan hệ học hỏi với các chuỗi cung ứng văn phòng, những bên tương tác trực tiếp với người dùng cuối.</w:t>
      </w:r>
    </w:p>
    <w:p>
      <w:pPr>
        <w:pStyle w:val="Normal"/>
      </w:pPr>
      <w:r>
        <w:t>Ngay cả các nhà sản xuất hàng hóa như lúa mì hay khí đốt tự nhiên, những sản phẩm khó có thể tùy biến, và các sản phẩm kiểu hàng hóa được mua chủ yếu dựa trên giá cả, cũng có nhiều lợi ích từ cách tiếp cận này. Các mối quan hệ học hỏi (learning relationships) có thể giúp những công ty này thiết kế các dịch vụ làm khác biệt hóa sản phẩm của họ. Đây là chiến lược mà Bandag, công ty bán lốp xe tải đắp lại (retreads) cho hơn 500 đại lý lắp đặt trên toàn quốc, đang theo đuổi.</w:t>
      </w:r>
    </w:p>
    <w:p>
      <w:pPr>
        <w:pStyle w:val="Normal"/>
      </w:pPr>
      <w:r>
        <w:t>Lốp đắp lại của Bandag về cơ bản là một mặt hàng thông thường vì chúng có giá cả và chất lượng tương đương với các đối thủ cạnh tranh. Để thoát khỏi đám đông, Bandag đang cung cấp các dịch vụ bổ sung. Ví dụ, công ty hỗ trợ các đại lý của mình trong việc nộp và thu hồi các khoản bảo hành từ các nhà sản xuất lốp xe, và sẽ sớm bắt đầu cung cấp các dịch vụ quản lý đội xe toàn diện cho các tài khoản quốc gia lớn nhất của mình.</w:t>
      </w:r>
    </w:p>
    <w:p>
      <w:pPr>
        <w:pStyle w:val="Normal"/>
      </w:pPr>
      <w:r>
        <w:t>Bandag có kế hoạch nhúng các con chip máy tính vào cao su của những chiếc lốp mới được đắp lại để đo áp suất và nhiệt độ của từng lốp cũng như đếm số vòng quay của nó. Thông tin đó sẽ cho phép công ty không chỉ cho từng khách hàng biết thời điểm tối ưu để đắp lại từng lốp (từ đó giảm thời gian ngừng hoạt động do nổ lốp) mà còn giúp công ty cải thiện hoạt động của đội xe của mình.</w:t>
      </w:r>
    </w:p>
    <w:p>
      <w:pPr>
        <w:pStyle w:val="Normal"/>
      </w:pPr>
      <w:r>
        <w:t>Do chi phí hiện tại để xây dựng những năng lực như vậy còn cao, nhiều nhà sản xuất, nhà cung cấp dịch vụ và nhà bán lẻ có thể nhận thấy, giống như Bandag đã làm, rằng chỉ nên thiết lập mối quan hệ học hỏi (learning relationships) với những khách hàng tốt nhất của họ. Nhưng khi những tiến bộ trong công nghệ thông tin tiếp tục hạ thấp chi phí xây dựng mối quan hệ học hỏi, chúng sẽ trở nên hợp lý về mặt kinh tế trong nhiều doanh nghiệp hơn và cho nhiều đối tượng khách hàng rộng rãi hơn. Nhiều loại ngành công nghiệp đã chín muồi cho cuộc cách mạng. Chúng bao gồm những ngành sau đây.</w:t>
      </w:r>
    </w:p>
    <w:p>
      <w:pPr>
        <w:pStyle w:val="Para 047"/>
      </w:pPr>
      <w:r>
        <w:t>Sản phẩm hoặc dịch vụ phức tạp</w:t>
      </w:r>
    </w:p>
    <w:p>
      <w:pPr>
        <w:pStyle w:val="Normal"/>
      </w:pPr>
      <w:r>
        <w:t>Hầu hết mọi người không muốn phải lần mò qua hàng trăm hoặc hàng nghìn lựa chọn, tính năng, cơ cấu giá, phương thức giao hàng và mạng lưới để tìm ra sản phẩm hoặc dịch vụ nào phù hợp nhất với họ. Một giải pháp là các công ty nên hợp tác với khách hàng trong việc thiết kế riêng sản phẩm, như Andersen Corporation, nhà sản xuất cửa sổ có trụ sở tại Bayport, Minnesota, đang làm. Công ty này đã giải quyết vấn đề quá tải thông tin cho khách hàng (các chủ nhà và nhà thầu xây dựng) bằng cách phát triển một hệ thống đa phương tiện có tên là Window of Knowledge. Nhân viên bán hàng sử dụng một trạm làm việc với 50.000 bộ phận cửa sổ có thể có để giúp khách hàng thiết kế cửa sổ của riêng họ. Hệ thống tự động tạo ra các bản báo giá và thông số kỹ thuật sản xuất không sai sót, có thể lưu lại để sử dụng sau này. Cơ sở dữ liệu kết quả về các cấu hình cửa sổ giúp Andersen hiểu sâu hơn về hiệu quả hoạt động kinh doanh của mình.</w:t>
      </w:r>
    </w:p>
    <w:p>
      <w:pPr>
        <w:pStyle w:val="Para 047"/>
      </w:pPr>
      <w:r>
        <w:t>Các sản phẩm giá trị lớn</w:t>
      </w:r>
    </w:p>
    <w:p>
      <w:pPr>
        <w:pStyle w:val="Normal"/>
      </w:pPr>
      <w:r>
        <w:t>Một công ty thành công trong việc cá nhân hóa mọi khía cạnh của việc sở hữu một sản phẩm đắt tiền hoặc sử dụng dịch vụ cao cấp sẽ có được lợi thế cạnh tranh so với các đối thủ. Hãy xem xét ngành ô tô. Một người mua xe, trong suốt cuộc đời của mình, có thể tạo ra hoạt động kinh doanh trị giá hàng trăm nghìn đô la khi tính đến việc tài trợ, dịch vụ, giới thiệu, cũng như việc mua ban đầu. Tất cả cùng nhau, chúng đại diện cho một cơ hội to lớn cho các công ty phục vụ sở thích cá nhân của khách hàng. Các cơ hội tương tự cũng áp dụng cho các sản phẩm thương mại giá trị cao, bao gồm máy móc, hệ thống thông tin, gia công ngoài (outsourcing) và tư vấn. (Xem khung “Cách Có Được Khách Hàng Mãi Mãi” ở cuối bài viết.)</w:t>
      </w:r>
    </w:p>
    <w:p>
      <w:pPr>
        <w:pStyle w:val="Para 047"/>
      </w:pPr>
      <w:r>
        <w:t>Các sản phẩm và dịch vụ có thể số hóa</w:t>
      </w:r>
    </w:p>
    <w:p>
      <w:pPr>
        <w:pStyle w:val="Normal"/>
      </w:pPr>
      <w:r>
        <w:t>Bất cứ thứ gì có thể số hóa đều có thể được cá nhân hóa. Nếu những sản phẩm như vậy được mua thường xuyên, tạo ra một mẫu hình rõ rệt về sở thích cá nhân, chúng có thể rất phù hợp cho tiếp thị một-một (one-to-one marketing). Các ứng viên rõ ràng không chỉ bao gồm thiệp chúc mừng mà còn cả phần mềm, tạp chí định kỳ, dịch vụ viễn thông, và các sản phẩm giải trí như phim ảnh, video, trò chơi và nhạc đã ghi. Thực tế, nhiều công ty trong các lĩnh vực này đang nỗ lực phát triển các mối quan hệ học hỏi (learning relationships).</w:t>
      </w:r>
    </w:p>
    <w:p>
      <w:pPr>
        <w:pStyle w:val="Para 047"/>
      </w:pPr>
      <w:r>
        <w:t>Dịch vụ trực tuyến</w:t>
      </w:r>
    </w:p>
    <w:p>
      <w:pPr>
        <w:pStyle w:val="Normal"/>
      </w:pPr>
      <w:r>
        <w:t>Các nhà cung cấp dịch vụ trực tuyến đã cung cấp một loạt các lựa chọn rộng rãi—bao gồm mua sắm điện tử, diễn đàn theo chủ đề quan tâm, giải trí, tin tức và dịch vụ tài chính—nhưng hiếm có ai cung cấp sự tiện lợi được điều chỉnh riêng. Hiện tại, người dùng phải điều hướng qua hết lựa chọn này đến lựa chọn khác. Một đối thủ cạnh tranh học được mong muốn và nhu cầu của khách hàng có thể điều hướng không gian mạng thay cho khách hàng đó và chỉ chọn ra những lựa chọn liên quan.</w:t>
      </w:r>
    </w:p>
    <w:p>
      <w:pPr>
        <w:pStyle w:val="Para 047"/>
      </w:pPr>
      <w:r>
        <w:t>Các sản phẩm xa xỉ và đặc biệt</w:t>
      </w:r>
    </w:p>
    <w:p>
      <w:pPr>
        <w:pStyle w:val="Normal"/>
      </w:pPr>
      <w:r>
        <w:t>Nhiều doanh nghiệp (như may mặc, nước hoa và mỹ phẩm, dụng cụ thể thao, và rượu vang hảo hạng) có những khách hàng với sở thích cá nhân phức tạp. Ví dụ, mọi người không chỉ khác nhau về số đo cơ thể mà còn khác nhau về cách họ thích quần áo vừa vặn và trông như thế nào. Levi Strauss đang tận dụng những khác biệt này bằng cách cá nhân hóa hàng loạt (mass-customizing) quần jean nữ, sử dụng công nghệ do Custom Clothing Technology Corporation ở Newton, Massachusetts cung cấp. Sau khi khách hàng được đo số đo tại cửa hàng, cô ấy thử một hoặc hai chiếc quần jean để xác định sở thích chính xác của mình. Thông tin sau đó được gửi về nhà máy để sản xuất nhanh chóng. Mặc dù Levi Strauss hiện chỉ giới hạn chương trình này ở một kiểu quần jean, cách tiếp cận này mang lại cho công ty những cơ hội to lớn để xây dựng các mối quan hệ học hỏi.</w:t>
      </w:r>
    </w:p>
    <w:p>
      <w:pPr>
        <w:pStyle w:val="Para 047"/>
      </w:pPr>
      <w:r>
        <w:t>Dịch vụ bán lẻ</w:t>
      </w:r>
    </w:p>
    <w:p>
      <w:pPr>
        <w:pStyle w:val="Normal"/>
      </w:pPr>
      <w:r>
        <w:t>Trong nhiều ngành công nghiệp, các nhà bán lẻ có lợi thế lớn hơn so với các nhà sản xuất trong việc xây dựng mối quan hệ học hỏi với người dùng cuối, đặc biệt khi khách hàng muốn chạm, cảm nhận và xem xét (quần áo, giày dép và sách) hoặc khi sản phẩm được tiêu dùng ngay lập tức (ví dụ, trong nhà hàng và quán bar). Họ cũng có lợi thế khi khách hàng cá nhân không mua một lượng lớn sản phẩm của bất kỳ nhà sản xuất cụ thể nào (như hàng tạp hóa và hàng đóng gói). Điều đó là do nhà bán lẻ có vị trí tốt hơn để nhận thấy các mẫu hình trong việc mua sắm của khách hàng và vì việc xây dựng mối quan hệ học hỏi có thể tốn kém hơn đối với nhà sản xuất. Cuối cùng, nhiều nhà bán lẻ cung cấp cho người tiêu dùng không phải là bản thân sản phẩm mà là dịch vụ, và dịch vụ có thể được cá nhân hóa hàng loạt dễ dàng hơn hầu hết các sản phẩm. (Xem khung “Peapod Đang Cá Nhân Hóa Siêu Thị Ảo Như Thế Nào” ở cuối bài viết.)</w:t>
      </w:r>
    </w:p>
    <w:p>
      <w:pPr>
        <w:pStyle w:val="Para 090"/>
      </w:pPr>
      <w:r>
        <w:bookmarkStart w:id="946" w:name="s3"/>
        <w:t/>
        <w:bookmarkEnd w:id="946"/>
        <w:t>TRANH GIÀNH KHÁCH HÀNG CUỐI CÙNG</w:t>
      </w:r>
    </w:p>
    <w:p>
      <w:pPr>
        <w:pStyle w:val="Normal"/>
      </w:pPr>
      <w:r>
        <w:t>Các nhà bán lẻ, đại lý bảo hiểm, nhà phân phối, người trang trí nội thất, nhà thầu xây dựng, và những người khác giao dịch trực tiếp với khách hàng cuối cùng chắc chắn có thể khẳng định rằng họ nên là người kiểm soát mối quan hệ với khách hàng đó. Mặt khác, các nhà sản xuất và nhà cung cấp dịch vụ lại có lợi thế khi khách hàng thường xuyên mua cùng một loại sản phẩm (đồ vệ sinh cá nhân, tạp chí hoặc văn phòng phẩm); khi sản phẩm có thể được giao tận nhà hoặc văn phòng một cách kinh tế (máy tính cá nhân, phần mềm hoặc các dịch vụ như chăm sóc cỏ và sửa ống nước); hoặc khi khách hàng đã có sẵn sự gắn bó với sản phẩm hoặc thương hiệu (như rượu Scotch cao cấp, quần jean hàng hiệu, hoặc đồng hồ xa xỉ).</w:t>
      </w:r>
    </w:p>
    <w:p>
      <w:pPr>
        <w:pStyle w:val="Normal"/>
      </w:pPr>
      <w:r>
        <w:t>Rõ ràng, những ranh giới này không cố định và luôn thay đổi: các nhà sản xuất và nhà cung cấp dịch vụ có thể trở thành nhà bán lẻ và ngược lại. Và những tiến bộ công nghệ đang khiến cho một mắt xích trong chuỗi giá trị ngày càng dễ dàng làm suy yếu lợi thế tự nhiên của một mắt xích khác. Hãy thử nghĩ về ba lý do cơ bản khiến người tiêu dùng đến cửa hàng bán lẻ: để có được thông tin cần thiết cho quyết định mua hàng, để thanh toán sản phẩm, và để nhận sản phẩm. Nhờ chính những công nghệ dựa trên thông tin giúp tạo ra các mối quan hệ học hỏi (learning relationships), người tiêu dùng sẽ ngày càng không cần phải đến cửa hàng vì bất kỳ lý do nào trong số đó.</w:t>
      </w:r>
    </w:p>
    <w:p>
      <w:pPr>
        <w:pStyle w:val="Normal"/>
      </w:pPr>
      <w:r>
        <w:t>Ngày nay, người tiêu dùng có thể tiếp cận thông tin tốt hơn—khách quan, so sánh được, chính xác và tức thời—qua các dịch vụ trực tuyến, danh mục CD-ROM và hệ thống phản hồi bằng fax, và sau này họ có thể nhận được thông tin qua truyền hình tương tác. Sự bùng nổ liên tục của mua sắm qua danh mục và qua truyền hình tại nhà cho thấy, người tiêu dùng và doanh nghiệp có thể mua hàng hóa và dịch vụ qua điện thoại và các dịch vụ trực tuyến chuyên dụng dễ dàng như, nếu không muốn nói là dễ hơn, so với mua trực tiếp; và các biện pháp bảo mật gần như chắc chắn sẽ sớm được triển khai để cho phép mua sản phẩm qua Internet. Cuối cùng, hầu như mọi thứ đều có thể được giao thẳng tận nhà nhờ Federal Express, UPS, các dịch vụ giao hàng chuyên dụng, và (đối với sản phẩm số hóa) fax và dịch vụ trực tuyến.</w:t>
      </w:r>
    </w:p>
    <w:p>
      <w:pPr>
        <w:pStyle w:val="Normal"/>
      </w:pPr>
      <w:r>
        <w:t>Đối với các nhà bán lẻ, thông điệp đã rõ: nếu muốn duy trì hoặc tăng cường lợi thế cạnh tranh, họ phải bắt đầu thiết lập các mối quan hệ học hỏi (learning relationships) với những khách hàng tốt nhất ngay từ hôm nay. Mặt khác, một nhà sản xuất hoặc công ty dịch vụ cách người dùng cuối một hoặc nhiều mắt xích có nhiều lựa chọn. Họ có thể xây dựng mối quan hệ học hỏi hợp tác với các đơn vị ở mắt xích kế tiếp, tích lũy hiểu biết về mong muốn, nhu cầu và sở thích của họ theo thời gian, và tùy biến hàng loạt (mass-customize) sản phẩm và dịch vụ để đáp ứng các yêu cầu đó. Đó là cách tiếp cận mà mảng Personal Lines của ITT Hartford đang áp dụng với các đại lý độc lập bán bảo hiểm ô tô và bảo hiểm nhà cho họ. Và đó cũng là hướng đi của Andersen—công ty nhận thấy rằng các chủ nhà cá nhân mua cửa sổ quá hiếm để có thể hình thành một mối quan hệ lâu dài và hiệu quả với doanh nghiệp. Dù Andersen vẫn dự định tùy biến hàng loạt cửa sổ cho người tiêu dùng, họ cũng có kế hoạch nuôi dưỡng các mối quan hệ học hỏi với kiến trúc sư, nhà thầu xây dựng và nhà phân phối cửa sổ.</w:t>
      </w:r>
    </w:p>
    <w:p>
      <w:pPr>
        <w:pStyle w:val="Normal"/>
      </w:pPr>
      <w:r>
        <w:t>Một lựa chọn khác cho nhà sản xuất hoặc công ty dịch vụ là thiết lập quan hệ đối tác chặt chẽ hơn với các nhà bán lẻ để cùng nhau kiểm soát mối quan hệ học hỏi với từng khách hàng cuối cùng. Quan hệ đối tác như vậy đòi hỏi phải chia sẻ thông tin và kiến thức (và có thể là một cơ sở dữ liệu chung), liên kết các hoạt động một cách chặt chẽ để mong muốn của người tiêu dùng có thể được chuyển thành sản phẩm và dịch vụ phù hợp một cách hiệu quả và nhanh chóng, và có thể đưa ra các quyết định đầu tư và chiến lược chung về cách phục vụ khách hàng cuối cùng tốt nhất theo thời gian. Lựa chọn này có thể hợp lý với các công ty như nhà sản xuất ô tô, vốn phụ thuộc nhiều vào các đại lý để cung cấp trải nghiệm chạm, cảm nhận và lái thử cần thiết cho người tiêu dùng khi đưa ra quyết định mua hàng.</w:t>
      </w:r>
    </w:p>
    <w:p>
      <w:pPr>
        <w:pStyle w:val="Para 090"/>
      </w:pPr>
      <w:r>
        <w:bookmarkStart w:id="947" w:name="s4"/>
        <w:t/>
        <w:bookmarkEnd w:id="947"/>
        <w:t>CÁCH XÂY DỰNG MỐI QUAN HỆ HỌC HỎI</w:t>
      </w:r>
    </w:p>
    <w:p>
      <w:pPr>
        <w:pStyle w:val="Normal"/>
      </w:pPr>
      <w:r>
        <w:t xml:space="preserve">Nếu các nhà quản lý quyết định rằng công ty của họ có thể và nên vun đắp mối quan hệ học hỏi với khách hàng, họ sẽ thực hiện điều đó như thế nào? Về cơ bản có bốn thành</w:t>
      </w:r>
      <w:r>
        <w:rPr>
          <w:rStyle w:val="Text0"/>
        </w:rPr>
        <w:t> phần cần xem xét:</w:t>
      </w:r>
      <w:r>
        <w:t xml:space="preserve"> chiến lược thông tin để bắt đầu đối thoại với khách hàng và ghi nhớ sở thích</w:t>
      </w:r>
      <w:r>
        <w:rPr>
          <w:rStyle w:val="Text0"/>
        </w:rPr>
        <w:t> của họ; chiến lược sản</w:t>
      </w:r>
      <w:r>
        <w:t xml:space="preserve"> xuất/giao hàng để đáp ứng những gì công ty học được về từng khách</w:t>
      </w:r>
      <w:r>
        <w:rPr>
          <w:rStyle w:val="Text0"/>
        </w:rPr>
        <w:t> hàng; chiến lược tổ chức</w:t>
      </w:r>
      <w:r>
        <w:t xml:space="preserve"> để quản lý cả khách hàng và năng lực; và chiến</w:t>
      </w:r>
      <w:r>
        <w:rPr>
          <w:rStyle w:val="Text0"/>
        </w:rPr>
        <w:t> lược đánh giá để đo</w:t>
      </w:r>
      <w:r>
        <w:t xml:space="preserve"> lường hiệu quả hoạt động.</w:t>
      </w:r>
    </w:p>
    <w:p>
      <w:pPr>
        <w:pStyle w:val="Para 047"/>
      </w:pPr>
      <w:r>
        <w:t>Chiến lược thông tin</w:t>
      </w:r>
    </w:p>
    <w:p>
      <w:pPr>
        <w:pStyle w:val="Normal"/>
      </w:pPr>
      <w:r>
        <w:t>Việc vun đắp mối quan hệ học hỏi phụ thuộc vào khả năng của công ty trong việc thu thập và quản lý thông tin về khách hàng. Bước đầu tiên là xác định những khách hàng cá nhân mà việc xây dựng mối quan hệ học hỏi với họ là đáng giá. Điều này dễ dàng đối với các doanh nghiệp như khách sạn hay hãng hàng không, vì khách hàng đặt chỗ dưới tên của họ và các giao dịch cùng sở thích của họ dễ dàng theo dõi.</w:t>
      </w:r>
    </w:p>
    <w:p>
      <w:pPr>
        <w:pStyle w:val="Normal"/>
      </w:pPr>
      <w:r>
        <w:t>Trong các ngành mà khách hàng ẩn danh, chẳng hạn như bán lẻ, công ty có thể phải sử dụng một trong hai cách để thuyết phục họ tiết lộ danh tính và cung cấp thông tin về bản thân: cho họ thấy rằng nếu làm vậy, công ty có thể phục vụ họ tốt hơn, hoặc tặng họ thứ gì đó có giá trị đổi lại, như quà tặng hoặc chiết khấu. Ví dụ, Waldenbooks giảm giá 10% cho mọi giao dịch mua nếu khách hàng xác nhận danh tính bằng cách trở thành Độc giả Ưu tiên (Preferred Readers). Chương trình này cho phép công ty theo dõi các giao dịch mua của những khách hàng đó tại bất kỳ cửa hàng Waldenbooks nào. Việc nắm được sở thích của khách hàng giúp nhà bán sách cho một khách hàng cụ thể biết, chẳng hạn, khi nào cuốn tiểu thuyết tiếp theo của William Styron sẽ ra mắt hoặc khi một tác giả mà khách hàng đã mua sách sẽ đến một cửa hàng địa phương để ký tặng.</w:t>
      </w:r>
    </w:p>
    <w:p>
      <w:pPr>
        <w:pStyle w:val="Normal"/>
      </w:pPr>
      <w:r>
        <w:t>Rất ít công ty muốn có mối quan hệ như vậy với tất cả khách hàng. Ví dụ, chương trình của Waldenbooks nhắm đến những người chi hơn 100 đô la mỗi năm tại các cửa hàng của họ. Như một công cụ sàng lọc, công ty thu phí thành viên hằng năm là 10 đô la để giữ tư cách Độc giả Ưu tiên.</w:t>
      </w:r>
    </w:p>
    <w:p>
      <w:pPr>
        <w:pStyle w:val="Normal"/>
      </w:pPr>
      <w:r>
        <w:t>Giống như bất kỳ chương trình mới nào, thường tốt nhất là bắt đầu với những khách hàng có giá trị nhất của công ty. Khi công ty nhận thấy giá trị của mối quan hệ học hỏi với họ vượt qua chi phí, công ty có thể dần mở rộng chương trình sang các khách hàng khác.</w:t>
      </w:r>
    </w:p>
    <w:p>
      <w:pPr>
        <w:pStyle w:val="Normal"/>
      </w:pPr>
      <w:r>
        <w:t>Một khi công ty đã xác định được những khách hàng mà mình mong muốn có mối quan hệ học hỏi, có nhiều cách để thực hiện một cuộc đối thoại hiệu quả. Một loạt các công nghệ tương tác đang phát triển nhanh chóng—bao gồm ki-ốt điện tử, dịch vụ trực tuyến và thư điện tử dựa trên cơ sở dữ liệu—đang làm cho các cuộc đối thoại này dễ dàng và ít tốn kém hơn. (Xem khung “Cách Tương Tác: Một Mẫu Các Công Nghệ Ngày Nay” ở cuối bài viết.) Các doanh nghiệp có sự tiếp xúc cá nhân tự nhiên với khách hàng, qua điện thoại hoặc gặp mặt, có cơ hội vàng để tìm hiểu về họ.</w:t>
      </w:r>
    </w:p>
    <w:p>
      <w:pPr>
        <w:pStyle w:val="Normal"/>
      </w:pPr>
      <w:r>
        <w:t>Khi tiến hành đối thoại với khách hàng, điều quan trọng là cơ sở dữ liệu phải “ghi nhớ” không chỉ những sở thích được khai báo trong các giao dịch mua trước đây mà còn cả những sở thích xuất hiện từ câu hỏi, khiếu nại, gợi ý và hành động.</w:t>
      </w:r>
    </w:p>
    <w:p>
      <w:pPr>
        <w:pStyle w:val="Normal"/>
      </w:pPr>
      <w:r>
        <w:t>Chuỗi khách sạn Ritz-Carlton đào tạo tất cả nhân viên của mình—từ những người ở quầy lễ tân đến những người làm bảo trì và dọn phòng—cách trò chuyện với khách hàng và cách xử lý khiếu nại ngay lập tức. Ngoài ra, công ty cung cấp cho mỗi nhân viên một “sổ ghi chú sở thích của khách” để ghi lại mọi sở thích thu thập được từ các cuộc trò chuyện và quan sát khách hàng. Mỗi ngày, công ty nhập những sở thích đó vào một cơ sở dữ liệu toàn hệ thống, hiện chứa hồ sơ của gần nửa triệu khách hàng. Nhân viên tại bất kỳ khách sạn Ritz-Carlton nào trong số 28 khách sạn trên toàn thế giới đều có thể truy cập các hồ sơ này thông qua hệ thống đặt chỗ du lịch Covia.</w:t>
      </w:r>
    </w:p>
    <w:p>
      <w:pPr>
        <w:pStyle w:val="Normal"/>
      </w:pPr>
      <w:r>
        <w:t>Giả sử bạn ở khách sạn Ritz-Carlton tại Cancún, Mexico, gọi dịch vụ phòng cho bữa tối và yêu cầu một viên đá trong ly rượu vang trắng của mình. Nhiều tháng sau, khi bạn ở Ritz-Carlton tại Naples, Florida, và gọi một ly rượu vang trắng từ dịch vụ phòng, gần như chắc chắn bạn sẽ được hỏi có muốn thêm đá vào không. Điều tương tự cũng áp dụng nếu bạn yêu cầu chỗ ngồi cạnh cửa sổ trong nhà hàng, một minibar không có rượu trong phòng, hoặc nhiều vật dụng hoặc sở thích khác giúp cá nhân hóa kỳ nghỉ của bạn tại Ritz-Carlton.</w:t>
      </w:r>
    </w:p>
    <w:p>
      <w:pPr>
        <w:pStyle w:val="Normal"/>
      </w:pPr>
      <w:r>
        <w:t>Bằng cách lưu giữ thông tin như vậy, công ty trở nên có khả năng tốt hơn để đáp ứng các gợi ý, giải quyết khiếu nại và theo kịp nhu cầu thay đổi của khách hàng. Nhiều công ty mắc sai lầm khi coi khách hàng như những thực thể tĩnh thay vì những con người có sở thích, lối sống và hoàn cảnh không ngừng tiến hóa và thay đổi.</w:t>
      </w:r>
    </w:p>
    <w:p>
      <w:pPr>
        <w:pStyle w:val="Normal"/>
      </w:pPr>
      <w:r>
        <w:t>Một số nhà quản lý có thể tự hỏi liệu khách hàng có xem việc yêu cầu thông tin cá nhân chi tiết là xâm phạm quyền riêng tư hay không. Hầu hết mọi người không ngại tiết lộ thói quen mua sắm, số đo cơ thể và tên cùng địa chỉ bạn bè nếu họ tin rằng họ sẽ nhận được điều gì đó có giá trị đổi lại. Nỗi lo của người tiêu dùng cũng sẽ được xoa dịu nếu công ty tuyên bố dứt khoát rằng họ sẽ bảo vệ nghiêm ngặt thông tin cá nhân, điều mà bất kỳ công ty nào xây dựng mối quan hệ học hỏi đều phải làm. Không giống như những nhà tiếp thị đại chúng, những người mua bán dữ liệu khách hàng một cách bừa bãi, các công ty tìm cách xây dựng mối quan hệ học hỏi nhận ra rằng thông tin đó là một tài sản quý giá.</w:t>
      </w:r>
    </w:p>
    <w:p>
      <w:pPr>
        <w:pStyle w:val="Para 047"/>
      </w:pPr>
      <w:r>
        <w:t>Chiến lược Sản xuất/Giao hàng</w:t>
      </w:r>
    </w:p>
    <w:p>
      <w:pPr>
        <w:pStyle w:val="Normal"/>
      </w:pPr>
      <w:r>
        <w:t xml:space="preserve">Trẻ em có thể tạo ra vô số thiết kế độc đáo với các khối xếp hình Lego. Các công ty dịch vụ và sản xuất đã thành công trong việc tùy biến hàng loạt (mass customization) áp dụng cách tiếp cận tương tự: họ tạo ra các mô-đun (module)—thành phần hoặc quy trình—có thể lắp ráp theo nhiều cách khác nhau để công ty có thể điều chỉnh sản phẩm hoặc dịch vụ cho từng khách hàng cụ thể với chi phí tương đối thấp. (Xem B. Joseph Pine II, Bart Victor, và Andrew C. Boynton, “Making Mass Customization Work,” HBR tháng 9–10 năm 1993.) Thú thực, có nhiều cơ hội để áp dụng cách tiếp cận này trong một số ngành kinh doanh hơn những ngành khác. Ví dụ, khách sạn Ritz-Carlton là một nhà tùy biến (customizer) hơn là một nhà tùy biến hàng loạt. Nếu công ty này tìm ra cách tùy biến hàng loạt các dịch vụ của mình, như Peapod đã làm, thì họ có thể đáp ứng sở thích của nhiều khách</w:t>
      </w:r>
      <w:r>
        <w:rPr>
          <w:rStyle w:val="Text0"/>
        </w:rPr>
        <w:t> hàng</w:t>
      </w:r>
      <w:r>
        <w:t xml:space="preserve"> hơn và tăng lợi nhuận.</w:t>
      </w:r>
    </w:p>
    <w:p>
      <w:pPr>
        <w:pStyle w:val="Normal"/>
      </w:pPr>
      <w:r>
        <w:t>Tuy nhiên, chỉ tạo ra các mô-đun quy trình hoặc thành phần là chưa đủ. Một công ty cũng cần một công cụ thiết kế có thể tiếp nhận yêu cầu của khách hàng và dễ dàng xác định cách sử dụng năng lực của mình để đáp ứng chúng. Hệ thống SMART của Individual, Inc. và hệ thống Window of Knowledge của Andersen là những ví dụ về công cụ thiết kế giúp các công ty hiệu quả nhất có thể trong việc xác định nhu cầu của khách hàng, tối ưu nhất có thể trong sản xuất và giao hàng, và dễ dàng nhất có thể trong việc kết nối hai yếu tố này.</w:t>
      </w:r>
    </w:p>
    <w:p>
      <w:pPr>
        <w:pStyle w:val="Para 047"/>
      </w:pPr>
      <w:r>
        <w:t>Chiến lược tổ chức</w:t>
      </w:r>
    </w:p>
    <w:p>
      <w:pPr>
        <w:pStyle w:val="Normal"/>
      </w:pPr>
      <w:r>
        <w:t>Các tổ chức tiếp thị truyền thống phụ thuộc vào các quản lý sản phẩm (product manager) để đưa sản phẩm ra thị trường, qua các kênh phân phối và đến tay khách hàng. Các quản lý sản phẩm thường chịu trách nhiệm thực hiện nghiên cứu thị trường, xác định các yêu cầu cho một sản phẩm khá chuẩn hóa, và phát triển kế hoạch tiếp thị. Và khi sản phẩm đã được giới thiệu, họ được thưởng vì bán được càng nhiều càng tốt. Trong khi những kỹ thuật này rất phù hợp cho tiếp thị đại chúng, chúng lại không phù hợp với các mối quan hệ học hỏi (learning relationships), nơi mà điều ngược lại được đòi hỏi: rút ra mong muốn và nhu cầu của khách hàng từ một cuộc đối thoại và tạo ra sản phẩm hoặc dịch vụ đáp ứng những yêu cầu đó.</w:t>
      </w:r>
    </w:p>
    <w:p>
      <w:pPr>
        <w:pStyle w:val="Normal"/>
      </w:pPr>
      <w:r>
        <w:t xml:space="preserve">Để xây dựng các mối quan hệ học hỏi, các công ty không cần quản lý sản phẩm; họ cần</w:t>
      </w:r>
      <w:r>
        <w:rPr>
          <w:rStyle w:val="Text0"/>
        </w:rPr>
        <w:t> quản lý khách hàng</w:t>
      </w:r>
      <w:r>
        <w:t xml:space="preserve"> (customer manager). Đúng như tên gọi, quản lý khách hàng phụ trách mối quan hệ với khách hàng. Trong khi họ chịu trách nhiệm về một danh mục khách hàng có nhu cầu tương tự, họ cũng phải khai thác tối đa tiềm năng kinh doanh từ mỗi khách hàng,</w:t>
      </w:r>
      <w:r>
        <w:rPr>
          <w:rStyle w:val="Text0"/>
        </w:rPr>
        <w:t> từng</w:t>
      </w:r>
      <w:r>
        <w:t xml:space="preserve"> người một. Để làm được điều này, quản lý khách hàng phải nắm rõ sở thích của khách hàng và có thể giúp họ diễn đạt rõ nhu cầu. Họ đóng vai trò như người gác cổng (gatekeeper) trong công ty, kiểm soát mọi trao đổi thông tin từ và đến mỗi khách hàng.</w:t>
      </w:r>
    </w:p>
    <w:p>
      <w:pPr>
        <w:pStyle w:val="Normal"/>
      </w:pPr>
      <w:r>
        <w:t xml:space="preserve">Ngoài ra, các công ty cần có</w:t>
      </w:r>
      <w:r>
        <w:rPr>
          <w:rStyle w:val="Text0"/>
        </w:rPr>
        <w:t> các quản lý năng lực</w:t>
      </w:r>
      <w:r>
        <w:t> (capability manager), mỗi người thực hiện một quy trình sản xuất hoặc giao hàng riêng biệt để đáp ứng yêu cầu của từng khách hàng. Người phụ trách mỗi năng lực đảm bảo rằng có đủ năng lực cần thiết và quy trình có thể được thực hiện một cách đáng tin cậy và hiệu quả.</w:t>
      </w:r>
    </w:p>
    <w:p>
      <w:pPr>
        <w:pStyle w:val="Normal"/>
      </w:pPr>
      <w:r>
        <w:t xml:space="preserve">Các quản lý khách hàng phải biết những gì các quản lý năng lực có thể cung cấp và phải đi đầu trong việc xác định khi nào cần các năng lực mới để đáp ứng nhu cầu của khách hàng. Về phần mình, các quản lý năng lực phải biết những gì quản lý khách hàng yêu cầu và có thể tìm ra cách tạo ra điều đó. Ví dụ, khi một khách hàng của Peapod thông báo với quản lý khách hàng của mình (một đại diện dịch vụ thành viên) rằng anh ta muốn có thể đặt cả cà chua chín và xanh, công ty đã mở rộng các tính năng của phần mềm đặt hàng và tạo ra một bộ quản lý năng lực mới: các chuyên gia nông sản (produce specialists). Những chuyên gia này có kỹ năng và kinh nghiệm để bóp cà chua và vỗ dưa, chẳng hạn. Tương tự, một quản lý khách hàng tại công ty Individual bốn tuổi đã yêu cầu quản lý nhà cung cấp thông tin của công ty—người chịu trách nhiệm quản lý và thu thập các nguồn thông tin mới—thêm tạp chí</w:t>
      </w:r>
      <w:r>
        <w:rPr>
          <w:rStyle w:val="Text0"/>
        </w:rPr>
        <w:t> New England Journal of Medicine</w:t>
      </w:r>
      <w:r>
        <w:t xml:space="preserve"> sau khi biết rằng một khách hàng cần các bài báo từ ấn phẩm này. Individual mở rộng số lượng nguồn của mình từ 75 đến 100 mỗi năm theo cách này.</w:t>
      </w:r>
    </w:p>
    <w:p>
      <w:pPr>
        <w:pStyle w:val="Normal"/>
      </w:pPr>
      <w:r>
        <w:t>Trái ngược với vai trò của quản lý sản phẩm truyền thống là tìm kiếm khách hàng cho các sản phẩm của công ty, vai trò của quản lý khách hàng là tìm kiếm sản phẩm cho khách hàng của công ty. Thường thì, một quản lý khách hàng sẽ biết được nhu cầu về một sản phẩm hoặc thành phần dịch vụ nào đó mà tổ chức tự đánh giá là không đủ năng lực để sản xuất hoặc cung cấp. Quản lý năng lực sau đó có thể sắp xếp để có được nó từ một đối tác chiến lược hoặc nhà cung cấp bên thứ ba. Ví dụ, sẽ không đáng để doanh nghiệp phần cứng và phần mềm máy tính của AT&amp;T, AT&amp;T Global Information Solutions (trước đây là NCR), viết phần mềm cho mọi nhu cầu có thể hình dung được của khách hàng. Khi một nhóm tập trung vào khách hàng (tương đương với quản lý khách hàng của đơn vị) biết rằng một khách hàng cần một ứng dụng cụ thể không có sẵn nội bộ, nhóm này thường yêu cầu nhóm quản lý năng lực mua hoặc cấp phép phần mềm.</w:t>
      </w:r>
    </w:p>
    <w:p>
      <w:pPr>
        <w:pStyle w:val="Normal"/>
      </w:pPr>
      <w:r>
        <w:t>Tuy nhiên, trong mọi trường hợp, quản lý khách hàng phải chịu trách nhiệm về việc làm hài lòng khách hàng. Tại mảng kinh doanh Personal Lines của ITT Hartford, mỗi khi một khách hàng (một đại lý độc lập) đưa ra yêu cầu, Personal Lines thành lập một nhóm tức thời gồm những người từ các mô-đun dịch vụ cần thiết (ví dụ như bảo lãnh (underwriting), thanh toán bồi thường (claims payment), hoặc phục vụ khách hàng (servicing)) để đáp ứng yêu cầu đó. Nhưng quản lý khách hàng là người chịu trách nhiệm đảm bảo dịch vụ tùy chỉnh đã hứa. Người đó xác định cam kết với đại lý vào đầu mỗi giao dịch, và một hệ thống theo dõi đảm bảo cam kết được thực hiện.</w:t>
      </w:r>
    </w:p>
    <w:p>
      <w:pPr>
        <w:pStyle w:val="Para 047"/>
      </w:pPr>
      <w:r>
        <w:t>Chiến lược đánh giá</w:t>
      </w:r>
    </w:p>
    <w:p>
      <w:pPr>
        <w:pStyle w:val="Normal"/>
      </w:pPr>
      <w:r>
        <w:t>Rõ ràng, giá trị của một mối quan hệ học hỏi (learning relationship) đối với công ty sẽ khác nhau giữa từng khách hàng. Một số khách hàng sẽ sẵn sàng đầu tư thời gian và công sức hơn những người khác. Những người sẵn sàng tham gia sẽ có nhiều yêu cầu hoặc kỳ vọng đa dạng, nghĩa là công ty sẽ có khả năng khác nhau để đóng góp và thu lợi từ mỗi mối quan hệ. Do đó, các công ty nên quyết định theo đuổi những mối quan hệ học hỏi tiềm năng nào.</w:t>
      </w:r>
    </w:p>
    <w:p>
      <w:pPr>
        <w:pStyle w:val="Normal"/>
      </w:pPr>
      <w:r>
        <w:t>Cách tiếp cận lý tưởng cho nhiệm vụ này là suy nghĩ về giá trị vòng đời của khách hàng (lifetime value). Giá trị vòng đời là tổng của dòng lợi nhuận và các lợi ích khác trong tương lai từ tất cả các giao dịch mua hàng và giao dịch với một khách hàng cụ thể, được chiết khấu về giá trị hiện tại. Trong bài báo “Zero Defections: Quality Comes to Services” (HBR tháng 9–10 năm 1990), Frederick F. Reichheld và W. Earl Sasser, Jr. đã chỉ ra rằng khách hàng được công ty giữ chân càng lâu thì họ càng mang lại nhiều lợi nhuận nhờ vào việc tăng mua hàng, giảm chi phí vận hành, sự giới thiệu, mức giá cao hơn (price premiums) và giảm chi phí thu hút khách hàng. Chúng tôi muốn bổ sung thêm một yếu tố nữa vào danh sách: một số khách hàng sẽ có giá trị vòng đời cao hơn vì những hiểu biết (insights) họ cung cấp cho công ty có thể tạo ra năng lực mới có thể áp dụng cho các khách hàng khác. Mặc dù đó là một nhiệm vụ khó khăn, các công ty muốn xây dựng mối quan hệ học hỏi nên cố gắng theo dõi càng nhiều yếu tố trong số đó càng tốt, sử dụng các thông tin như lịch sử giao dịch và phản hồi của khách hàng.</w:t>
      </w:r>
    </w:p>
    <w:p>
      <w:pPr>
        <w:pStyle w:val="Normal"/>
      </w:pPr>
      <w:r>
        <w:t xml:space="preserve">Thị phần khách</w:t>
      </w:r>
      <w:r>
        <w:rPr>
          <w:rStyle w:val="Text0"/>
        </w:rPr>
        <w:t> hàng (customer</w:t>
      </w:r>
      <w:r>
        <w:t> share) của công ty—tức tỷ trọng trong tổng chi tiêu mua hàng của mỗi khách hàng—là một trong những thước đo thành công hữu ích nhất trong việc xây dựng mối quan hệ học hỏi. Để tính thị phần khách hàng, công ty phải nắm được phần nào khách hàng đang mua gì từ đối thủ cạnh tranh và họ có thể sẵn sàng mua gì từ công ty. Nguồn thông tin tốt nhất là chính khách hàng—một lý do nữa giải thích vì sao đối thoại lại quan trọng.</w:t>
      </w:r>
    </w:p>
    <w:p>
      <w:pPr>
        <w:pStyle w:val="Normal"/>
      </w:pPr>
      <w:r>
        <w:t xml:space="preserve">Một thước đo hiệu quả quan trọng khác mà chúng tôi gọi là sự hy</w:t>
      </w:r>
      <w:r>
        <w:rPr>
          <w:rStyle w:val="Text0"/>
        </w:rPr>
        <w:t> sinh của khách hàng</w:t>
      </w:r>
      <w:r>
        <w:t> (customer sacrifice): khoảng cách giữa điều mỗi khách hàng thực sự mong muốn và cần với những gì công ty có thể cung cấp. Để hiểu được sự hy sinh của từng khách hàng, các công ty xây dựng mối quan hệ học hỏi phải vượt qua những con số hài lòng khách hàng tổng hợp mà hầu như ai cũng thu thập hiện nay. Đó là lý do tại sao Peapod hỏi mỗi khách hàng trong mỗi phiên mua sắm về mức độ hoàn thành đơn hàng gần nhất. Hiểu và theo dõi khoảng cách này sẽ giúp các nhà quản lý khách hàng chứng minh nhu cầu về năng lực mới để làm sâu sắc thêm các mối quan hệ học hỏi, đồng thời cung cấp cho các nhà quản lý năng lực thông tin họ cần để quyết định cách mở rộng hoặc thay đổi năng lực của công ty.</w:t>
      </w:r>
    </w:p>
    <w:p>
      <w:pPr>
        <w:pStyle w:val="Para 090"/>
      </w:pPr>
      <w:r>
        <w:bookmarkStart w:id="948" w:name="s5"/>
        <w:t/>
        <w:bookmarkEnd w:id="948"/>
        <w:t>TRỞ THÀNH NHÀ MÔI GIỚI HỌC TẬP (LEARNING BROKER)</w:t>
      </w:r>
    </w:p>
    <w:p>
      <w:pPr>
        <w:pStyle w:val="Normal"/>
      </w:pPr>
      <w:r>
        <w:t xml:space="preserve">Sau khi một công ty trở nên thành thạo trong việc vun đắp các mối quan hệ học hỏi (learning relationships) với khách hàng hiện tại, làm thế nào để họ có thể mở rộng? Có hai lựa chọn hiển nhiên: thu hút khách hàng mới trong các thị trường hiện tại của công ty hoặc mở rộng sang các địa điểm mới. Nhưng có một lựa chọn thứ ba: cung cấp</w:t>
      </w:r>
      <w:r>
        <w:rPr>
          <w:rStyle w:val="Text0"/>
        </w:rPr>
        <w:t> các</w:t>
      </w:r>
      <w:r>
        <w:t xml:space="preserve"> sản phẩm khác cho</w:t>
      </w:r>
      <w:r>
        <w:rPr>
          <w:rStyle w:val="Text0"/>
        </w:rPr>
        <w:t> khách</w:t>
      </w:r>
      <w:r>
        <w:t xml:space="preserve"> hàng hiện tại và trở thành một nhà môi giới học tập.</w:t>
      </w:r>
    </w:p>
    <w:p>
      <w:pPr>
        <w:pStyle w:val="Normal"/>
      </w:pPr>
      <w:r>
        <w:t>Bởi vì khách hàng của Peapod đã biết cách tương tác với hệ thống đặt hàng trực tuyến của họ, công ty có thể dễ dàng môi giới các danh mục sản phẩm mới. Ví dụ, nếu Peapod có thể tiếp cận được một chuỗi các trung tâm cải thiện nhà ở (home-improvement centers) — nghĩa là truy cập trực tuyến vào danh sách các đơn vị lưu kho (stock-keeping units) và giá cả của chuỗi cửa hàng đó, cũng như quyền truy cập của người mua Peapod vào chính các cửa hàng — kiến thức của họ về khách hàng và kiến thức của khách hàng về họ sẽ ngay lập tức được chuyển sang một loạt các “lối đi ảo” (virtual aisles) hoàn toàn mới. Và một lần nữa, chính Peapod—chứ không phải các chuỗi cửa hàng hay các nhà sản xuất cung cấp cho họ—sẽ kiểm soát mối quan hệ với khách hàng. Bằng cách môi giới thông tin giữa khách hàng và các công ty cung cấp sản phẩm và dịch vụ mà họ có thể sử dụng, Peapod sẽ trở thành một nhà môi giới học tập thực thụ.</w:t>
      </w:r>
    </w:p>
    <w:p>
      <w:pPr>
        <w:pStyle w:val="Normal"/>
      </w:pPr>
      <w:r>
        <w:t>Các cuộc thảo luận về cuộc sống trong tương lai giàu thông tin và tương tác thường tập trung vào các “đại lý” điện tử cá nhân (agents) sẽ trông chừng nhu cầu thông tin và giải trí của mỗi người, sàng lọc và phân loại qua vô số kênh, thông điệp và dịch vụ. Nhưng động lực của các mối quan hệ học hỏi là như vậy, các nhà môi giới học tập có thể cung cấp dịch vụ đó ngay hôm nay trên nhiều lĩnh vực khác nhau. Họ có thể cung cấp cho từng khách hàng những sản phẩm và dịch vụ ngoài những thứ mà công ty của họ thường cung cấp. Họ cũng có thể tư vấn cho khách hàng về các dịch vụ khác và để mắt tìm những món đồ mà họ có thể muốn.</w:t>
      </w:r>
    </w:p>
    <w:p>
      <w:pPr>
        <w:pStyle w:val="Normal"/>
      </w:pPr>
      <w:r>
        <w:t>Một trong những ví dụ điển hình nhất về công ty đã phục vụ khách hàng theo cách này là United Services Automobile Association. Bảy mươi năm trước, USAA bắt đầu cung cấp bảo hiểm ô tô cho các sĩ quan quân đội. Hiện nay, công ty cung cấp cho khách hàng của mình—vẫn giới hạn ở các sĩ quan quân đội hiện tại và đã nghỉ hưu cùng gia đình của họ—một loạt các sản phẩm và dịch vụ đa dạng. Chúng bao gồm tất cả các loại bảo hiểm, ngân hàng trọn gói, môi giới đầu tư, nhà ở trong các cộng đồng hưu trí, và dịch vụ du lịch. USAA cũng cung cấp dịch vụ mua hộ, qua đó họ mua và giao các sản phẩm của công ty khác, bao gồm ô tô, trang sức, đồ gia dụng lớn và đồ điện tử tiêu dùng. Tuy nhiên, mối quan hệ với khách hàng vẫn là lãnh địa duy nhất của USAA.</w:t>
      </w:r>
    </w:p>
    <w:p>
      <w:pPr>
        <w:pStyle w:val="Normal"/>
      </w:pPr>
      <w:r>
        <w:t>Các thành viên của USAA đã nhận ra qua nhiều năm rằng công ty luôn đứng sau mọi sản phẩm mình bán và chăm lo lợi ích tốt nhất cho họ. Như nhiều thành viên đã nói, USAA có thể bán cho họ gần như bất cứ thứ gì. Hơn chín trên mười sĩ quan quân đội đang tại ngũ và đã nghỉ hưu đều là thành viên. Và kể từ khi mở rộng dịch vụ cho con cái trưởng thành của các thành viên vào những năm 1970, USAA đã thu hút được hơn một nửa trong số họ, cho thấy rằng các mối quan hệ học hỏi (learning relationships) có thể kéo dài qua nhiều thế hệ.</w:t>
      </w:r>
    </w:p>
    <w:p>
      <w:pPr>
        <w:pStyle w:val="Normal"/>
      </w:pPr>
      <w:r>
        <w:t>Vai trò của một nhà môi giới học hỏi (learning broker) rõ ràng là hợp lý đối với các nhà phân phối hoặc đại lý như Peapod và Individual, hai công ty không tự sản xuất sản phẩm nào. Những công ty như vậy khá tự do khi tìm đến bất kỳ công ty nào có thể cung cấp chính xác những gì khách hàng của họ muốn và cần. Việc có đi theo con đường trở thành nhà môi giới học hỏi hay không là một quyết định phức tạp hơn đối với nhà sản xuất hoặc công ty dịch vụ. Nhưng điều đó không phải là không khả thi. Một công ty có thể trở thành một kiểu lai ghép như USAA: họ cung cấp cho thành viên của mình nhiều loại sản phẩm từ các công ty khác, nhưng trong lĩnh vực kinh doanh cốt lõi – dịch vụ tài chính – họ chỉ bán sản phẩm của chính mình. Mặc dù ngày nay có thể khó tưởng tượng, nhưng nhiều công ty cuối cùng có thể quyết định rằng việc trở thành nhà môi giới học hỏi, thậm chí cả với sản phẩm của đối thủ cạnh tranh, cũng đáng giá. Tuy nhiên, chiến lược đó chỉ hợp lý nếu công ty đạt đến mức mà hiểu biết của họ về khách hàng và lòng tin của khách hàng dành cho họ mang lại lợi thế cạnh tranh lớn hơn và lợi nhuận cao hơn so với việc chỉ bán sản phẩm của chính mình. Khi điều đó xảy ra, các mối quan hệ học hỏi với khách hàng cuối cùng sẽ trở thành năng lực cốt lõi của công ty.</w:t>
      </w:r>
    </w:p>
    <w:p>
      <w:bookmarkStart w:id="949" w:name="Top_of_15_08_Chapter_02_xhtml"/>
      <w:bookmarkStart w:id="950" w:name="How_to_Gain_Customers_Forever_In"/>
      <w:pPr>
        <w:pStyle w:val="Para 130"/>
        <w:pageBreakBefore w:val="on"/>
      </w:pPr>
      <w:r>
        <w:t>Cách để có khách hàng mãi mãi</w:t>
      </w:r>
      <w:bookmarkEnd w:id="949"/>
      <w:bookmarkEnd w:id="950"/>
    </w:p>
    <w:p>
      <w:pPr>
        <w:pStyle w:val="Para 009"/>
      </w:pPr>
      <w:r>
        <w:t>Các công ty công nghiệp bán hàng cho các doanh nghiệp khác cũng có thể hưởng lợi từ các mối quan hệ học hỏi nhiều như các công ty bán sản phẩm hoặc dịch vụ cho người tiêu dùng. Hãy xem trường hợp của Ross Controls (trước đây là Công ty Ross Operating Valve) ở Troy, Michigan, một nhà sản xuất van khí nén và hệ thống điều khiển khí nén đã 70 năm tuổi. Thông qua quy trình mà họ gọi là ROSS/FLEX, Ross tìm hiểu nhu cầu của khách hàng, hợp tác với họ để đưa ra các thiết kế được điều chỉnh chính xác nhằm giúp họ đáp ứng những nhu cầu đó, đồng thời nhanh chóng và hiệu quả chế tạo các sản phẩm tùy chỉnh. Quy trình này đã giúp nhà sản xuất quy mô vừa này xây dựng được các mối quan hệ học hỏi với những công ty như General Motors, Knight Industries, Reynolds Aluminum và Yamamura Glass của Nhật Bản.</w:t>
      </w:r>
    </w:p>
    <w:p>
      <w:pPr>
        <w:pStyle w:val="Para 009"/>
      </w:pPr>
      <w:r>
        <w:t>Ví dụ, Ross hiện đang cung cấp cho Bộ phận Chế tạo Kim loại của GM 600 hệ thống van tích hợp. Dựa trên một nền tảng chung nhưng được tùy chỉnh riêng cho từng máy dập cụ thể, mỗi hệ thống tích hợp hoạt động tốt hơn các van mà nó thay thế với mức giá chỉ bằng một phần ba.</w:t>
      </w:r>
    </w:p>
    <w:p>
      <w:pPr>
        <w:pStyle w:val="Para 009"/>
      </w:pPr>
      <w:r>
        <w:t>Hai yếu tố đã giúp Ross chuyển mình từ một nhà sản xuất công nghiệp trầm lắng thành một tổ chức năng động, biết vun đắp mối quan hệ học hỏi lẫn nhau (learning relationships) với khách hàng.</w:t>
      </w:r>
    </w:p>
    <w:p>
      <w:pPr>
        <w:pStyle w:val="Para 175"/>
      </w:pPr>
      <w:r>
        <w:t>Mong muốn lắng nghe và hợp tác với từng khách hàng</w:t>
      </w:r>
    </w:p>
    <w:p>
      <w:pPr>
        <w:pStyle w:val="Para 009"/>
      </w:pPr>
      <w:r>
        <w:t>Điều này bao gồm việc dành thời gian trò chuyện qua điện thoại, trao đổi ý tưởng qua fax, và thường xuyên ghé thăm nhà máy để xem hệ thống khí nén (pneumatic systems) sẽ được sử dụng ra sao trong quy trình sản xuất của khách hàng. Khi một hệ thống được thiết kế để giải quyết vấn đề của khách hàng, Ross thu nhận phản hồi từ các nguyên mẫu (prototypes) và khuyến khích khách hàng liên tục nâng cấp thiết kế van của mình, từ đó tạo ra những thiết kế ngày càng được cá nhân hóa chính xác hơn. Ross sau đó lưu trữ chúng vào một thư viện gồm các nền tảng thiết kế, linh kiện và chỉ dẫn máy tính cho thiết bị sản xuất để không phải bắt đầu lại từ đầu mỗi khi hợp tác với khách hàng trong một dự án mới.</w:t>
      </w:r>
    </w:p>
    <w:p>
      <w:pPr>
        <w:pStyle w:val="Para 175"/>
      </w:pPr>
      <w:r>
        <w:t>Khả năng biến các thiết kế phức tạp thành sản phẩm</w:t>
      </w:r>
    </w:p>
    <w:p>
      <w:pPr>
        <w:pStyle w:val="Para 009"/>
      </w:pPr>
      <w:r>
        <w:t>Nhờ sử dụng hiệu quả máy thiết kế có sự hỗ trợ của máy tính (CAD) và máy điều khiển bằng số (CNC), Ross có thể truyền trực tiếp các chỉ dẫn gia công bằng điện tử từ trạm kỹ thuật đến các thiết bị sản xuất trị giá hàng triệu đô la, chỉ trong vòng một ngày có thể hoàn thành một thiết kế mới. Tuy nhiên, rõ ràng là chỉ riêng thiết bị thiết kế và sản xuất có sự hỗ trợ của máy tính không thể giúp công ty cá nhân hóa hàng loạt (mass-customize). Thông tin về nhu cầu của từng khách hàng cũng vô cùng thiết yếu. Để thu thập được thông tin này, Ross đã lập ra một nhóm “chuyên gia tích hợp” (integrators), mỗi người được phân công phụ trách một khách hàng cụ thể. Chuyên gia tích hợp sẽ trò chuyện với khách hàng, tạo ra các thiết kế van, và xác định các thông số sản xuất, bao gồm cả chỉ dẫn cho máy CNC. Sử dụng hệ thống CAD, chuyên gia tích hợp tận dụng tối đa nội dung từ thư viện bất cứ khi nào có thể để tạo ra một thiết kế tùy chỉnh và mã máy tính cần thiết để sản xuất ra sản phẩm.</w:t>
      </w:r>
    </w:p>
    <w:p>
      <w:pPr>
        <w:pStyle w:val="Para 009"/>
      </w:pPr>
      <w:r>
        <w:t>Quy trình ROSS/FLEX đã giúp Ross tăng tỷ trọng phần kinh doanh tùy chỉnh (custom) từ 5% lên 20% doanh thu trong bốn năm qua. Nhưng công ty vẫn chưa hài lòng với khả năng xây dựng mối quan hệ học hỏi (learning relationships) của mình. Ross dự định bổ sung một hệ thống truyền thông âm thanh và hình ảnh tương tác, bao gồm hệ thống CAD kiểu “bạn thấy gì tôi thấy đó” (what you see is what I see), để chuyên gia tích hợp và khách hàng không cần ở cùng một nơi vẫn có thể hợp tác thiết kế. Công ty cũng có kế hoạch tự động hóa việc truy cập thư viện để các chuyên gia tích hợp và khách hàng—dù tự mình—có thể tạo ra nhiều thiết kế đa dạng hơn và thực hiện từng thiết kế một cách nhanh chóng hơn.</w:t>
      </w:r>
    </w:p>
    <w:p>
      <w:pPr>
        <w:pStyle w:val="Para 009"/>
      </w:pPr>
      <w:r>
        <w:t>Khi Ross bắt đầu con đường này tám năm trước, mục tiêu chính của họ là giữ chân khách hàng trọn đời bằng cách mở rộng năng lực của công ty để đáp ứng nhu cầu thay đổi của từng khách hàng. Họ rõ ràng đang đạt được rất nhiều tiến bộ. Trong thời điểm GM đang xem xét lại gần như toàn bộ quan hệ với các nhà cung cấp, Bộ phận Chế tạo Kim loại (Metal Fabricating Division) của họ sẽ không mua van khí nén (pneumatic valves) từ bất kỳ công ty nào khác ngoài Ross, và cũng không cho phép các nhà cung cấp của mình làm vậy. Knight Industries, một nhà cung cấp thiết bị xử lý vật liệu công thái học (ergonomic material-handling equipment), trao cho Ross 100% đơn hàng tùy chỉnh và khoảng 70% đơn hàng tiêu chuẩn (theo danh mục). Khi một đối thủ cạnh tranh cố gắng lôi kéo Knight, chủ tịch của họ, James Zaguroli Jr., đáp lại: “Tại sao tôi lại chuyển sang anh? Anh đã tụt hậu năm thế hệ sản phẩm so với chỗ tôi đang đứng cùng Ross rồi đó.”</w:t>
      </w:r>
    </w:p>
    <w:p>
      <w:pPr>
        <w:pStyle w:val="03 Block"/>
      </w:pPr>
    </w:p>
    <w:p>
      <w:pPr>
        <w:pStyle w:val="Para 130"/>
      </w:pPr>
      <w:r>
        <w:t>Cách Peapod tùy chỉnh siêu thị ảo</w:t>
      </w:r>
    </w:p>
    <w:p>
      <w:pPr>
        <w:pStyle w:val="Para 009"/>
      </w:pPr>
      <w:r>
        <w:t>Một công ty khai thác mối quan hệ học hỏi (learning relationships) trong dịch vụ bán lẻ là Peapod, một dịch vụ mua sắm tạp hóa và giao hàng có trụ sở tại Evanston, Illinois. Khách hàng của họ—hiện tại ở Chicago và San Francisco—mua một ứng dụng phần mềm với giá $29,95 để truy cập cơ sở dữ liệu của Peapod qua dịch vụ máy tính trực tuyến. Sau đó, họ trả $4,95 mỗi tháng cho dịch vụ, cộng thêm phí mỗi đơn hàng là $5 và 5% giá trị đơn hàng. Hệ thống hậu cần của Peapod được kết nối với cơ sở dữ liệu trung tâm của các siêu thị nơi họ mua hàng cho khách hàng (Jewel ở Chicago và Safeway ở San Francisco), nhờ đó cung cấp cho khách hàng toàn bộ thông tin về đơn vị lưu kho (stock-keeping units) và giá niêm yết của siêu thị một cách điện tử.</w:t>
      </w:r>
    </w:p>
    <w:p>
      <w:pPr>
        <w:pStyle w:val="Para 009"/>
      </w:pPr>
      <w:r>
        <w:t>Thay vì tự động hóa việc đến cửa hàng bán lẻ như các nhà cung cấp trực tuyến khác đang làm, Peapod sử dụng công nghệ tương tác để thay đổi hoàn toàn trải nghiệm mua sắm. Nó cho phép mỗi khách hàng tạo ra siêu thị ảo (virtual supermarket) phù hợp nhất với mình. Sử dụng máy tính cá nhân, khách hàng có thể mua sắm theo cách họ thích. Họ có thể yêu cầu danh sách mặt hàng theo danh mục (đồ ăn vặt), theo mặt hàng (khoai tây chiên), theo thương hiệu (Frito-Lay), hoặc thậm chí theo những gì đang giảm giá trong cửa hàng vào một ngày nhất định. Trong từng danh mục, họ có thể chọn sắp xếp các mặt hàng theo thứ tự bảng chữ cái theo thương hiệu, theo kích cỡ gói, theo đơn giá, hoặc thậm chí theo giá trị dinh dưỡng. Khách hàng cũng có thể tạo và lưu lại để sử dụng nhiều lần các danh sách mua sắm tiêu chuẩn và đặc biệt (đồ cho em bé, nhu cầu tiệc nướng, v.v.).</w:t>
      </w:r>
    </w:p>
    <w:p>
      <w:pPr>
        <w:pStyle w:val="Para 009"/>
      </w:pPr>
      <w:r>
        <w:t xml:space="preserve">Peapod dạy khách hàng cách mua sắm hiệu quả trong siêu thị ảo của mình đến mức hầu hết họ nhận ra rằng—bất chấp phí của công ty—họ vẫn tiết</w:t>
      </w:r>
      <w:r>
        <w:rPr>
          <w:rStyle w:val="Text0"/>
        </w:rPr>
        <w:t> kiệm</w:t>
      </w:r>
      <w:r>
        <w:t xml:space="preserve"> tiền vì họ sử dụng nhiều phiếu giảm giá hơn, so sánh giá tốt hơn, và mua ít đồ theo cảm hứng hơn so với khi mua sắm tại siêu thị thực tế. Ngoài ra, họ tiết kiệm thời gian và kiểm soát thời gian tốt hơn vì họ có thể mua sắm từ nhà hoặc cơ quan bất cứ khi nào họ muốn.</w:t>
      </w:r>
    </w:p>
    <w:p>
      <w:pPr>
        <w:pStyle w:val="Para 009"/>
      </w:pPr>
      <w:r>
        <w:t>Peapod nhận thấy rằng mọi tương tác với khách hàng đều là cơ hội để học hỏi. Vào cuối mỗi phiên mua sắm, họ hỏi khách hàng: "Đơn hàng vừa rồi của chúng tôi thế nào?" Peapod nhận được phản hồi cho 35% đơn hàng; hầu hết các công ty coi tỷ lệ phản hồi 10% trong các khảo sát mức độ hài lòng của khách hàng là tốt. Và hơn 80% khách hàng của Peapod đã phản hồi ít nhất một lần. Phản hồi này đã thúc đẩy công ty đưa ra nhiều thay đổi và tùy chọn khác nhau, bao gồm cung cấp thông tin dinh dưỡng, giao hàng trong khung thời gian nửa giờ (với phụ phí $4,95) thay vì khung 90 phút thông thường, chấp nhận các yêu cầu chi tiết (như ba quả cà chua chín và ba quả xanh), và giao đồ uống có cồn.</w:t>
      </w:r>
    </w:p>
    <w:p>
      <w:pPr>
        <w:pStyle w:val="Para 009"/>
      </w:pPr>
      <w:r>
        <w:t>Peapod xem việc giao hàng là một cơ hội nữa để tìm hiểu sở thích của khách hàng. Công ty yêu cầu nhân viên giao hàng tìm hiểu xem khách hàng muốn để hàng tạp hóa ở đâu khi họ không có nhà và bất cứ điều gì khác có thể củng cố mối quan hệ. Họ điền một "biên bản tương tác (interaction record)" cho mỗi lần giao hàng để theo dõi những sở thích đó (cũng như nhập các thước đo dịch vụ cơ bản, chẳng hạn như thời gian giao hàng).</w:t>
      </w:r>
    </w:p>
    <w:p>
      <w:pPr>
        <w:pStyle w:val="Para 009"/>
      </w:pPr>
      <w:r>
        <w:t>Ngay cả với mức phí mà họ tính, Peapod vẫn phải hoạt động hiệu quả và năng suất để kiếm tiền trong một lĩnh vực kinh doanh có biên lợi nhuận thấp. Đó là lý do tại sao họ đại trà hóa (mass-customize) tất cả các quy trình mua sắm và giao hàng. Mỗi đơn hàng được xử lý bởi một nhân viên đa năng (generalist), người đi qua các lối đi của cửa hàng, và các chuyên gia theo nhu cầu (as-needed specialists), những người cung cấp sản phẩm tươi sống, thịt, đồ ăn ngon, hải sản và bánh mì cho nhân viên đa năng đó. Nhân viên đa năng thanh toán tiền hàng, thường là tại các quầy Peapod đặc biệt ở phía sau cửa hàng. Đơn hàng sau đó được đưa đến khu vực giữ hàng (holding area) trong siêu thị hoặc trong một chiếc xe kéo (trailer), nơi các mặt hàng phù hợp được giữ lạnh hoặc đông lạnh cho đến khi người giao hàng nhận một loạt đơn hàng và mang đến cho khách. Ở mỗi giai đoạn — đặt hàng, mua sắm, giữ hàng và giao hàng — các quy trình đều được mô-đun hóa để cung cấp dịch vụ cá nhân hóa với chi phí tương đối thấp.</w:t>
      </w:r>
    </w:p>
    <w:p>
      <w:pPr>
        <w:pStyle w:val="Para 009"/>
      </w:pPr>
      <w:r>
        <w:t>Nếu khách hàng gặp vấn đề, họ có thể gọi cho Dịch vụ Hội viên (Membership Services), và nhân viên dịch vụ sẽ cố gắng giải quyết. Peapod coi mỗi cuộc gọi là một cơ hội nữa để học hỏi (và ghi nhớ) sở thích của từng khách hàng và tìm ra những gì công ty có thể làm để cải thiện dịch vụ cho toàn bộ khách hàng. Ví dụ, các nhân viên dịch vụ phát hiện ra rằng một số khách hàng đang nhận năm túi bưởi trong khi họ thực sự chỉ muốn năm quả bưởi. Đáp lại, Peapod hiện nay thường yêu cầu khách hàng xác nhận các đơn hàng có thể bị nhầm lẫn về số lượng.</w:t>
      </w:r>
    </w:p>
    <w:p>
      <w:pPr>
        <w:pStyle w:val="Para 009"/>
      </w:pPr>
      <w:r>
        <w:t>Kết quả của Peapod là minh chứng cho sức mạnh của các mối quan hệ học hỏi (learning relationships). Dịch vụ mới bốn tuổi này, có 7.500 khách hàng và doanh thu khoảng 15 triệu đô la, có tỷ lệ giữ chân khách hàng hơn 80%. Và dịch vụ này chiếm trung bình 15% doanh số bán hàng của 12 cửa hàng Jewel và Safeway nơi Peapod mua sắm cho khách hàng của mình.</w:t>
      </w:r>
    </w:p>
    <w:p>
      <w:pPr>
        <w:pStyle w:val="03 Block"/>
      </w:pPr>
    </w:p>
    <w:p>
      <w:pPr>
        <w:pStyle w:val="Para 130"/>
      </w:pPr>
      <w:r>
        <w:t>Cách Tương Tác: Một Vài Công Nghệ Hiện Đại</w:t>
      </w:r>
    </w:p>
    <w:p>
      <w:pPr>
        <w:pStyle w:val="Para 009"/>
      </w:pPr>
      <w:r>
        <w:t>Các phương tiện tương tác (interactive media) cho phép các nhà tiếp thị gửi thông điệp cụ thể đến từng người tiêu dùng cụ thể và tiến hành đối thoại với khách hàng hiện tại và tiềm năng đã tồn tại. Một trong số đó là Internet, hiện tự hào có hơn 15 triệu người dùng. Việc sử dụng Internet chỉ để tìm kiếm khách hàng (prospect) vẫn còn nhiều vấn đề do sự thù địch của nhiều người dùng đối với quảng cáo thương mại trên Internet. Nhưng nhiều công ty đã nhận thấy Internet là một cách tốt để thu thập thông tin từ hoặc về khách hàng thông qua các bảng tin (bulletin boards), kết nối trực tiếp và các dịch vụ thông tin riêng của công ty.</w:t>
      </w:r>
    </w:p>
    <w:p>
      <w:pPr>
        <w:pStyle w:val="Para 009"/>
      </w:pPr>
      <w:r>
        <w:t>Các dịch vụ trực tuyến khác, chẳng hạn như những dịch vụ do Prodigy, America Online và Compuserve cung cấp, hiện đại hơn nhiều so với Internet trong việc cung cấp một phương tiện có cấu trúc và đầy đủ tính năng để khách hàng và công ty tương tác với nhau. Và một số dịch vụ trực tuyến riêng của từng công ty, như dịch vụ của Peapod (chuyên giao hàng tạp hóa), đã chứng tỏ hữu ích trong việc tạo điều kiện đối thoại với khách hàng.</w:t>
      </w:r>
    </w:p>
    <w:p>
      <w:pPr>
        <w:pStyle w:val="Para 009"/>
      </w:pPr>
      <w:r>
        <w:t>Các ki-ốt điện tử có rất nhiều ứng dụng để tương tác trực tiếp với khách hàng. Một số chỉ mang tính thông tin—chẳng hạn như loại cung cấp chỉ dẫn đến các địa điểm địa phương từ sảnh khách sạn. Một số khác phát phiếu giảm giá hoặc chứng chỉ quà tặng. Và ngày càng nhiều ki-ốt được sử dụng để phân phối các sản phẩm được cá nhân hóa hàng loạt, bao gồm thiệp chúc mừng, danh thiếp và bản nhạc.</w:t>
      </w:r>
    </w:p>
    <w:p>
      <w:pPr>
        <w:pStyle w:val="Para 009"/>
      </w:pPr>
      <w:r>
        <w:t>Hiện đã có nhiều loại dịch vụ điện thoại tương tác. Mạng lưới thông tin FreeFone có trụ sở tại Seattle cung cấp một dịch vụ như vậy ở Bờ Tây, cho phép các nhà tiếp thị tìm kiếm những người tiêu dùng sẵn sàng tham gia đối thoại. Khi đăng ký dịch vụ, mọi người điền vào một bảng câu hỏi được sử dụng để xác định thông điệp của nhà quảng cáo nào sẽ được gửi đến người nào. Mỗi khi người tiêu dùng thực hiện cuộc gọi cá nhân và nghe một thông điệp tài trợ trong lúc chờ kết nối, FreeFone sẽ ghi có vào tài khoản hộ gia đình 5 xu. Hộ gia đình sẽ nhận được 10 xu nếu người tiêu dùng yêu cầu thêm thông tin, phiếu giảm giá hoặc kết nối điện thoại với nhà quảng cáo. Các công ty quảng cáo qua FreeFone, bao gồm TicketMaster, U.S. Postal Service, NBC, và National Association of Female Executives, có thể biết được rất nhiều thông tin về từng hộ gia đình. Nhưng FreeFone sẽ không tiết lộ danh tính người gọi cho nhà quảng cáo trừ khi người gọi chọn cách tiết lộ.</w:t>
      </w:r>
    </w:p>
    <w:p>
      <w:pPr>
        <w:pStyle w:val="Para 009"/>
      </w:pPr>
      <w:r>
        <w:t>Phiếu giảm giá qua điện thoại hoàn tiền cung cấp một cách tương tự để công ty và người tiêu dùng hiểu về nhau qua điện thoại. Các dịch vụ này, do những công ty như Scherers Communications (có trụ sở tại Chicago) cung cấp, về cơ bản là các số 900 đảo ngược. Ví dụ, một nhà sản xuất ô tô có thể ghi có cho ai đó 5 đô la để xem một đoạn băng quảng cáo một số mẫu xe cụ thể và gọi điện với mã số nhận dạng cá nhân có trên băng.</w:t>
      </w:r>
    </w:p>
    <w:p>
      <w:pPr>
        <w:pStyle w:val="Para 009"/>
      </w:pPr>
      <w:r>
        <w:t>Phản hồi qua fax đang được nhiều tổ chức doanh nghiệp với doanh nghiệp (B2B) và một số ít nhưng ngày càng tăng các nhà sản xuất hàng tiêu dùng sử dụng để cung cấp cho khách hàng báo giá và lựa chọn sản phẩm mới nhất. Phản hồi qua fax cung cấp cho nhà tiếp thị số điện thoại nhận dạng của cá nhân đã yêu cầu thông tin, có thể liên kết với dữ liệu giao dịch cũng như thông tin gửi thư.</w:t>
      </w:r>
    </w:p>
    <w:p>
      <w:pPr>
        <w:pStyle w:val="Para 009"/>
      </w:pPr>
      <w:r>
        <w:t xml:space="preserve">Công nghệ đóng sách chọn lọc (selective binding) của R.R. Donnelley &amp; Sons, cho phép các nhà in đặt các trang khác nhau trong các ấn bản khác nhau của một ấn phẩm nhất định, đã giúp các nhà xuất bản có thể cá nhân</w:t>
      </w:r>
      <w:r>
        <w:rPr>
          <w:rStyle w:val="Text0"/>
        </w:rPr>
        <w:t> hóa hàng loạt</w:t>
      </w:r>
      <w:r>
        <w:t> các tạp chí định kỳ. Ví dụ, Farm Journal tập hợp thông tin về từng người đăng ký—họ đã trồng bao nhiêu mẫu cây trồng cụ thể nào, họ sở hữu bao nhiêu con gia súc, v.v.—sau đó sử dụng công nghệ của Donnelley để điều chỉnh nội dung bài viết và quảng cáo của từng ấn bản cho phù hợp với từng người đăng ký.</w:t>
      </w:r>
    </w:p>
    <w:p>
      <w:pPr>
        <w:pStyle w:val="03 Block"/>
      </w:pPr>
    </w:p>
    <w:p>
      <w:bookmarkStart w:id="951" w:name="ABOUT_THESE_AUTHORS_B__Joseph_Pi"/>
      <w:bookmarkStart w:id="952" w:name="Top_of_15_09_Author1_xhtml"/>
      <w:pPr>
        <w:pStyle w:val="Para 176"/>
        <w:pageBreakBefore w:val="on"/>
      </w:pPr>
      <w:r>
        <w:t>VỀ CÁC TÁC GIẢ NÀY</w:t>
      </w:r>
      <w:bookmarkEnd w:id="951"/>
      <w:bookmarkEnd w:id="952"/>
    </w:p>
    <w:p>
      <w:pPr>
        <w:pStyle w:val="Normal"/>
      </w:pPr>
      <w:r>
        <w:rPr>
          <w:rStyle w:val="Text0"/>
        </w:rPr>
        <w:t>B. Joseph Pine II</w:t>
      </w:r>
      <w:r>
        <w:t xml:space="preserve"> là đồng sáng lập của Strategic Horizons ở Aurora, Ohio.</w:t>
      </w:r>
    </w:p>
    <w:p>
      <w:pPr>
        <w:pStyle w:val="17 Block"/>
      </w:pPr>
    </w:p>
    <w:p>
      <w:pPr>
        <w:pStyle w:val="Normal"/>
      </w:pPr>
      <w:r>
        <w:rPr>
          <w:rStyle w:val="Text0"/>
        </w:rPr>
        <w:t>Don Peppers</w:t>
      </w:r>
      <w:r>
        <w:t xml:space="preserve"> và</w:t>
      </w:r>
      <w:r>
        <w:rPr>
          <w:rStyle w:val="Text0"/>
        </w:rPr>
        <w:t> Martha Rogers</w:t>
      </w:r>
      <w:r>
        <w:t xml:space="preserve"> là những người sáng lập Peppers &amp; Rogers Group, một công ty tư vấn có trụ sở chính tại Norwalk, Connecticut, chuyên về quan hệ khách hàng. Rogers cũng là giáo sư trợ giảng tại Trường Kinh doanh Fuqua của Đại học Duke.</w:t>
      </w:r>
    </w:p>
    <w:p>
      <w:bookmarkStart w:id="953" w:name="Top_of_15_10_Author2_xhtml"/>
      <w:bookmarkStart w:id="954" w:name="ALSO_BY_THESE_AUTHORS_B__Joseph"/>
      <w:pPr>
        <w:pStyle w:val="Para 176"/>
        <w:pageBreakBefore w:val="on"/>
      </w:pPr>
      <w:r>
        <w:t>CŨNG CỦA CÁC TÁC GIẢ NÀY</w:t>
      </w:r>
      <w:bookmarkEnd w:id="953"/>
      <w:bookmarkEnd w:id="954"/>
    </w:p>
    <w:p>
      <w:pPr>
        <w:pStyle w:val="Para 117"/>
      </w:pPr>
      <w:r>
        <w:t>B. Joseph Pine II</w:t>
      </w:r>
    </w:p>
    <w:p>
      <w:pPr>
        <w:pStyle w:val="Para 097"/>
      </w:pPr>
      <w:r>
        <w:t>Các bài viết trên Harvard Bus</w:t>
      </w:r>
      <w:r>
        <w:rPr>
          <w:rStyle w:val="Text3"/>
        </w:rPr>
        <w:t xml:space="preserve">i</w:t>
      </w:r>
      <w:r>
        <w:rPr>
          <w:rStyle w:val="Text0"/>
        </w:rPr>
        <w:t>ness Review</w:t>
      </w:r>
    </w:p>
    <w:p>
      <w:pPr>
        <w:pStyle w:val="Para 111"/>
      </w:pPr>
      <w:r>
        <w:rPr>
          <w:rStyle w:val="Text0"/>
        </w:rPr>
        <w:t>“</w:t>
      </w:r>
      <w:r>
        <w:t>Four Faces of Mass Customization</w:t>
      </w:r>
      <w:r>
        <w:rPr>
          <w:rStyle w:val="Text0"/>
        </w:rPr>
        <w:t>”</w:t>
      </w:r>
    </w:p>
    <w:p>
      <w:pPr>
        <w:pStyle w:val="Normal"/>
      </w:pPr>
      <w:r>
        <w:t>cùng với James H. Gilmore</w:t>
      </w:r>
    </w:p>
    <w:p>
      <w:pPr>
        <w:pStyle w:val="Para 064"/>
      </w:pPr>
      <w:r>
        <w:rPr>
          <w:rStyle w:val="Text0"/>
        </w:rPr>
        <w:t>“</w:t>
      </w:r>
      <w:r>
        <w:t>Making Mass Customization Work</w:t>
      </w:r>
      <w:r>
        <w:rPr>
          <w:rStyle w:val="Text0"/>
        </w:rPr>
        <w:t>”</w:t>
      </w:r>
    </w:p>
    <w:p>
      <w:pPr>
        <w:pStyle w:val="Normal"/>
      </w:pPr>
      <w:r>
        <w:t>cùng với Bart Victor và Andrew C. Boynton</w:t>
      </w:r>
    </w:p>
    <w:p>
      <w:pPr>
        <w:pStyle w:val="Para 064"/>
      </w:pPr>
      <w:r>
        <w:rPr>
          <w:rStyle w:val="Text0"/>
        </w:rPr>
        <w:t>“</w:t>
      </w:r>
      <w:r>
        <w:t>Welcome to the Experience Economy</w:t>
      </w:r>
      <w:r>
        <w:rPr>
          <w:rStyle w:val="Text0"/>
        </w:rPr>
        <w:t>”</w:t>
      </w:r>
    </w:p>
    <w:p>
      <w:pPr>
        <w:pStyle w:val="Normal"/>
      </w:pPr>
      <w:r>
        <w:t>cùng với James H. Gilmore</w:t>
      </w:r>
    </w:p>
    <w:p>
      <w:pPr>
        <w:pStyle w:val="Para 062"/>
      </w:pPr>
      <w:r>
        <w:t>Sách của Harvard Business Press</w:t>
      </w:r>
    </w:p>
    <w:p>
      <w:pPr>
        <w:pStyle w:val="Para 111"/>
      </w:pPr>
      <w:r>
        <w:t>Authenticity: What Consumers Really Want</w:t>
      </w:r>
    </w:p>
    <w:p>
      <w:pPr>
        <w:pStyle w:val="Normal"/>
      </w:pPr>
      <w:r>
        <w:t>cùng với James H. Gilmore</w:t>
      </w:r>
    </w:p>
    <w:p>
      <w:pPr>
        <w:pStyle w:val="Para 064"/>
      </w:pPr>
      <w:r>
        <w:t>Experience Economy: Work Is Theatre &amp; Every Business a Stage</w:t>
      </w:r>
    </w:p>
    <w:p>
      <w:pPr>
        <w:pStyle w:val="Normal"/>
      </w:pPr>
      <w:r>
        <w:t>cùng với James H. Gilmore</w:t>
      </w:r>
    </w:p>
    <w:p>
      <w:pPr>
        <w:pStyle w:val="Para 064"/>
      </w:pPr>
      <w:r>
        <w:t>Markets of One: Creating Customer-Unique Value through Mass Customization</w:t>
      </w:r>
    </w:p>
    <w:p>
      <w:pPr>
        <w:pStyle w:val="Normal"/>
      </w:pPr>
      <w:r>
        <w:t>cùng với James H. Gilmore</w:t>
      </w:r>
    </w:p>
    <w:p>
      <w:pPr>
        <w:pStyle w:val="Para 064"/>
      </w:pPr>
      <w:r>
        <w:t>Mass Customization: The New Frontier in Business Competition</w:t>
      </w:r>
    </w:p>
    <w:p>
      <w:pPr>
        <w:pStyle w:val="Para 062"/>
      </w:pPr>
      <w:r>
        <w:t>Don Peppers</w:t>
      </w:r>
    </w:p>
    <w:p>
      <w:pPr>
        <w:pStyle w:val="Para 097"/>
      </w:pPr>
      <w:r>
        <w:t>Bài viết trên Harvard Business Review</w:t>
      </w:r>
    </w:p>
    <w:p>
      <w:pPr>
        <w:pStyle w:val="Para 111"/>
      </w:pPr>
      <w:r>
        <w:rPr>
          <w:rStyle w:val="Text0"/>
        </w:rPr>
        <w:t/>
      </w:r>
      <w:r>
        <w:t>“Is Your Company Ready for One-to-One Marketing?</w:t>
      </w:r>
      <w:r>
        <w:rPr>
          <w:rStyle w:val="Text0"/>
        </w:rPr>
        <w:t>”</w:t>
      </w:r>
    </w:p>
    <w:p>
      <w:pPr>
        <w:pStyle w:val="Normal"/>
      </w:pPr>
      <w:r>
        <w:t>cùng với Martha Rogers và Bob Dorf</w:t>
      </w:r>
    </w:p>
    <w:p>
      <w:pPr>
        <w:pStyle w:val="Para 062"/>
      </w:pPr>
      <w:r>
        <w:t>Martha Rogers</w:t>
      </w:r>
    </w:p>
    <w:p>
      <w:pPr>
        <w:pStyle w:val="Para 097"/>
      </w:pPr>
      <w:r>
        <w:t>Bài viết trên Harvard Business Review</w:t>
      </w:r>
    </w:p>
    <w:p>
      <w:pPr>
        <w:pStyle w:val="Para 111"/>
      </w:pPr>
      <w:r>
        <w:rPr>
          <w:rStyle w:val="Text0"/>
        </w:rPr>
        <w:t/>
      </w:r>
      <w:r>
        <w:t>“Is Your Company Ready for One-to-One Marketing?</w:t>
      </w:r>
      <w:r>
        <w:rPr>
          <w:rStyle w:val="Text0"/>
        </w:rPr>
        <w:t>”</w:t>
      </w:r>
    </w:p>
    <w:p>
      <w:pPr>
        <w:pStyle w:val="Normal"/>
      </w:pPr>
      <w:r>
        <w:t>cùng với Don Peppers và Bob Dorf</w:t>
      </w:r>
    </w:p>
    <w:p>
      <w:bookmarkStart w:id="955" w:name="Top_of_16_03_title_xhtml"/>
      <w:bookmarkStart w:id="956" w:name="Harvard_Business_Review_CLASSICS_14"/>
      <w:pPr>
        <w:pStyle w:val="Para 032"/>
        <w:pageBreakBefore w:val="on"/>
      </w:pPr>
      <w:r>
        <w:bookmarkStart w:id="957" w:name="page16_iii"/>
        <w:t/>
        <w:bookmarkEnd w:id="957"/>
        <w:t>Harvard Business Review</w:t>
      </w:r>
      <w:bookmarkEnd w:id="955"/>
      <w:bookmarkEnd w:id="956"/>
    </w:p>
    <w:p>
      <w:pPr>
        <w:pStyle w:val="Para 033"/>
      </w:pPr>
      <w:r>
        <w:t>KINH ĐIỂN</w:t>
      </w:r>
    </w:p>
    <w:p>
      <w:pPr>
        <w:pStyle w:val="Para 237"/>
      </w:pPr>
      <w:r>
        <w:t>CÁCH VIẾT MỘT KẾ HOẠCH KINH DOANH TUYỆT VỜI</w:t>
      </w:r>
    </w:p>
    <w:p>
      <w:pPr>
        <w:pStyle w:val="Para 026"/>
      </w:pPr>
      <w:r>
        <w:t>William A. Sahlman</w:t>
      </w:r>
    </w:p>
    <w:p>
      <w:pPr>
        <w:pStyle w:val="Para 177"/>
      </w:pPr>
      <w:r>
        <w:t>Harvard Business Review Press</w:t>
      </w:r>
    </w:p>
    <w:p>
      <w:pPr>
        <w:pStyle w:val="Para 177"/>
      </w:pPr>
      <w:r>
        <w:t>Boston, Massachusetts</w:t>
      </w:r>
    </w:p>
    <w:p>
      <w:bookmarkStart w:id="958" w:name="Copyright_2008_Harvard_Business_6"/>
      <w:bookmarkStart w:id="959" w:name="Top_of_16_04_Copy_xhtml"/>
      <w:pPr>
        <w:pStyle w:val="Para 031"/>
        <w:pageBreakBefore w:val="on"/>
      </w:pPr>
      <w:r>
        <w:bookmarkStart w:id="960" w:name="page16_iv"/>
        <w:t>Bản</w:t>
        <w:bookmarkEnd w:id="960"/>
        <w:t> quyền 2008 Harvard Business School Publishing Corporation</w:t>
      </w:r>
      <w:bookmarkEnd w:id="958"/>
      <w:bookmarkEnd w:id="959"/>
    </w:p>
    <w:p>
      <w:pPr>
        <w:pStyle w:val="Para 031"/>
      </w:pPr>
      <w:r>
        <w:t xml:space="preserve">Được xuất bản lần đầu trên</w:t>
      </w:r>
      <w:r>
        <w:rPr>
          <w:rStyle w:val="Text0"/>
        </w:rPr>
        <w:t> Harvard Business Review vào</w:t>
      </w:r>
      <w:r>
        <w:t xml:space="preserve"> tháng 7 năm 1997</w:t>
      </w:r>
    </w:p>
    <w:p>
      <w:pPr>
        <w:pStyle w:val="Para 031"/>
      </w:pPr>
      <w:r>
        <w:t>Tái bản # 97409</w:t>
      </w:r>
    </w:p>
    <w:p>
      <w:pPr>
        <w:pStyle w:val="Para 031"/>
      </w:pPr>
      <w:r>
        <w:t>Bảo lưu mọi quyền</w:t>
      </w:r>
    </w:p>
    <w:p>
      <w:pPr>
        <w:pStyle w:val="16 Block"/>
      </w:pPr>
    </w:p>
    <w:p>
      <w:pPr>
        <w:pStyle w:val="Para 031"/>
      </w:pPr>
      <w:r>
        <w:t xml:space="preserve">Không một phần nào của ấn phẩm này có thể được sao chép, lưu trữ trong hoặc đưa vào hệ thống lưu trữ truy xuất, hoặc truyền tải dưới bất kỳ hình thức nào, bằng bất kỳ phương tiện nào (điện tử, cơ học, photocopy, ghi âm, hoặc các cách khác) mà không có sự cho phép trước của nhà xuất bản. Các yêu cầu xin phép nên được gửi</w:t>
      </w:r>
      <w:r>
        <w:rPr>
          <w:rStyle w:val="Text2"/>
        </w:rPr>
        <w:t> tới permissions@hbsp.harvard.edu,</w:t>
      </w:r>
      <w:r>
        <w:t> hoặc gửi thư tới Permissions, Harvard Business School Publishing, 60 Harvard Way, Boston, Massachusetts 02163.</w:t>
      </w:r>
    </w:p>
    <w:p>
      <w:pPr>
        <w:pStyle w:val="02 Block"/>
      </w:pPr>
    </w:p>
    <w:p>
      <w:pPr>
        <w:pStyle w:val="Para 031"/>
      </w:pPr>
      <w:r>
        <w:t>Dữ liệu biên mục trước xuất bản của Thư viện Quốc hội</w:t>
      </w:r>
    </w:p>
    <w:p>
      <w:pPr>
        <w:pStyle w:val="Para 031"/>
      </w:pPr>
      <w:r>
        <w:t>Sahlman, William Andrews.</w:t>
      </w:r>
    </w:p>
    <w:p>
      <w:pPr>
        <w:pStyle w:val="Para 238"/>
      </w:pPr>
      <w:r>
        <w:t>Cách viết một kế hoạch kinh doanh tuyệt vời / William A. Sahlman.</w:t>
      </w:r>
    </w:p>
    <w:p>
      <w:pPr>
        <w:pStyle w:val="Para 239"/>
      </w:pPr>
      <w:r>
        <w:t>p. cm. — (Harvard business review classics)</w:t>
      </w:r>
    </w:p>
    <w:p>
      <w:pPr>
        <w:pStyle w:val="Para 031"/>
      </w:pPr>
      <w:r>
        <w:t>ISBN 978-1-4221-2142-9</w:t>
      </w:r>
    </w:p>
    <w:p>
      <w:pPr>
        <w:pStyle w:val="Para 031"/>
      </w:pPr>
      <w:r>
        <w:t>1. Lập kế hoạch kinh doanh—Sổ tay, hướng dẫn, v.v. I. Nhan đề.</w:t>
      </w:r>
    </w:p>
    <w:p>
      <w:pPr>
        <w:pStyle w:val="Para 031"/>
      </w:pPr>
      <w:r>
        <w:t>HD30.28.S234 2008</w:t>
      </w:r>
    </w:p>
    <w:p>
      <w:pPr>
        <w:pStyle w:val="Para 031"/>
      </w:pPr>
      <w:r>
        <w:t>658.4'01–dc22</w:t>
      </w:r>
    </w:p>
    <w:p>
      <w:pPr>
        <w:pStyle w:val="Para 240"/>
      </w:pPr>
      <w:r>
        <w:t>2007041317</w:t>
      </w:r>
    </w:p>
    <w:p>
      <w:bookmarkStart w:id="961" w:name="Top_of_16_05_fm01_xhtml"/>
      <w:bookmarkStart w:id="962" w:name="THE_HARVARD_BUSINESS_REVIEW_CLAS_13"/>
      <w:pPr>
        <w:pStyle w:val="Para 131"/>
        <w:pageBreakBefore w:val="on"/>
      </w:pPr>
      <w:r>
        <w:bookmarkStart w:id="963" w:name="page16_v"/>
        <w:t/>
        <w:bookmarkEnd w:id="963"/>
        <w:t xml:space="preserve">Bộ</w:t>
        <w:br w:clear="none"/>
        <w:t xml:space="preserve"> sách kinh điển Harvard</w:t>
        <w:br w:clear="none"/>
        <w:t> Business Review</w:t>
      </w:r>
      <w:bookmarkEnd w:id="961"/>
      <w:bookmarkEnd w:id="962"/>
    </w:p>
    <w:p>
      <w:pPr>
        <w:pStyle w:val="Para 003"/>
      </w:pPr>
      <w:r>
        <w:t xml:space="preserve">Kể từ năm 1922,</w:t>
      </w:r>
      <w:r>
        <w:rPr>
          <w:rStyle w:val="Text0"/>
        </w:rPr>
        <w:t> Harvard Business Review</w:t>
      </w:r>
      <w:r>
        <w:t xml:space="preserve"> đã là nguồn dẫn đầu về những ý tưởng đột phá trong thực tiễn quản lý—nhiều trong số đó vẫn còn được nhắc đến và ảnh hưởng đến chúng ta ngày nay. Loạt sách kinh điển HBR hiện mang đến cho bạn cơ hội để biến những bài viết nền tảng này thành một phần trong thư viện quản lý lâu dài của bạn. Mỗi tập chứa một ý tưởng đột phá đã định hình các phương pháp thực hành tốt nhất và truyền cảm hứng cho vô số nhà quản lý trên khắp thế giới—và sẽ thay đổi cách bạn nghĩ về thế giới kinh doanh ngày</w:t>
        <w:bookmarkStart w:id="964" w:name="page16_vi"/>
        <w:t> nay.</w:t>
        <w:bookmarkEnd w:id="964"/>
      </w:r>
    </w:p>
    <w:p>
      <w:bookmarkStart w:id="965" w:name="Top_of_16_07_Chapter_xhtml"/>
      <w:bookmarkStart w:id="966" w:name="Few_areas_of_business_attract_as"/>
      <w:pPr>
        <w:pStyle w:val="Para 241"/>
        <w:pageBreakBefore w:val="on"/>
      </w:pPr>
      <w:r>
        <w:bookmarkStart w:id="967" w:name="page16_1"/>
        <w:t>Rất</w:t>
        <w:bookmarkEnd w:id="967"/>
        <w:t xml:space="preserve"> ít lĩnh vực kinh doanh thu hút được nhiều sự chú ý như các doanh nghiệp mới, và rất ít khía cạnh của việc thành lập doanh nghiệp mới thu hút được nhiều sự chú ý như kế hoạch kinh doanh. Vô số sách và bài báo trên báo chí phổ thông phân tích về chủ đề này. Ngày càng nhiều cuộc thi kế hoạch kinh doanh thường niên xuất hiện khắp nước Mỹ và, ngày càng nhiều, ở các quốc gia khác. Cả các trường sau đại học lẫn các trường đại học đều dành trọn các khóa</w:t>
        <w:bookmarkStart w:id="968" w:name="page16_2"/>
        <w:t> </w:t>
        <w:bookmarkEnd w:id="968"/>
        <w:t>học cho môn học này. Thật vậy, nhìn vào tất cả sự ồn ào xung quanh các kế hoạch kinh doanh, bạn sẽ nghĩ rằng những thứ duy nhất đứng giữa một doanh nhân tiềm năng và thành công ngoạn mục là các biểu đồ năm màu bóng bẩy, một loạt bảng tính trông tỉ mỉ, và một thập kỷ dự báo tài chính hàng tháng.</w:t>
      </w:r>
      <w:bookmarkEnd w:id="965"/>
      <w:bookmarkEnd w:id="966"/>
    </w:p>
    <w:p>
      <w:pPr>
        <w:pStyle w:val="Para 003"/>
      </w:pPr>
      <w:r>
        <w:t>Không gì có thể xa sự thật hơn điều đó. Trong kinh nghiệm của tôi với hàng trăm công ty khởi nghiệp, kế hoạch kinh doanh chỉ xếp hạng không cao hơn 2—trên thang điểm từ 1 đến 10—như một yếu tố dự đoán sự thành công của một dự án mới. (Đối với các dự án khởi nghiệp nội bộ, xem bài “Kế hoạch kinh doanh: Chỉ dành cho doanh nhân?” ở cuối bài viết này.) Và thực tế, đôi khi, tài liệu càng được soạn thảo công phu bao nhiêu, thì dự án càng có khả năng, ừ, thất bại bấy nhiêu, vì thiếu một từ ngữ nhẹ nhàng hơn.</w:t>
      </w:r>
    </w:p>
    <w:p>
      <w:pPr>
        <w:pStyle w:val="Para 003"/>
      </w:pPr>
      <w:r>
        <w:bookmarkStart w:id="969" w:name="page16_3"/>
        <w:t>Vấn</w:t>
        <w:bookmarkEnd w:id="969"/>
        <w:t xml:space="preserve"> đề của hầu hết các kế hoạch kinh doanh là gì? Câu trả lời khá đơn giản. Hầu hết dành quá nhiều chữ cho các con số và quá ít cho thông tin thực sự quan trọng đối với các nhà đầu tư thông minh. Như mọi nhà đầu tư dày dạn kinh nghiệm đều biết, dự báo tài chính cho một công ty mới—đặc biệt là các dự báo chi tiết theo từng tháng kéo dài hơn một năm—chỉ là một hành động tưởng tượng. Một dự án khởi nghiệp phải đối mặt với quá nhiều ẩn số để có thể dự đoán doanh thu, chứ chưa nói đến lợi nhuận. Hơn nữa, hiếm có doanh nhân nào dự đoán chính xác được cần bao nhiêu vốn và thời gian để đạt được mục tiêu của mình. Thông thường, họ quá lạc quan và làm phình các con số dự báo. Các nhà đầu tư biết về hiệu ứng thổi phồng này và do đó họ chiết khấu các con số trong kế hoạch kinh doanh. Những thủ thuật này tạo</w:t>
        <w:bookmarkStart w:id="970" w:name="page16_4"/>
        <w:t> </w:t>
        <w:bookmarkEnd w:id="970"/>
        <w:t>ra một vòng luẩn quẩn của sự sai lệch mà không mang lại lợi ích cho ai.</w:t>
      </w:r>
    </w:p>
    <w:p>
      <w:pPr>
        <w:pStyle w:val="Para 003"/>
      </w:pPr>
      <w:r>
        <w:t xml:space="preserve">Đừng hiểu lầm tôi: kế hoạch kinh doanh nên bao gồm một số con số. Nhưng những con số đó nên xuất hiện chủ yếu dưới dạng một mô hình kinh doanh cho thấy đội ngũ khởi nghiệp đã suy nghĩ thấu đáo về các yếu tố then chốt quyết định sự thành công hay thất bại của dự án. Trong sản xuất, yếu tố đó có thể là năng suất của quy trình sản xuất; trong xuất bản tạp chí, tỷ lệ gia hạn dự kiến; hoặc trong phần mềm, tác động của việc sử dụng các kênh phân phối khác nhau. Mô hình cũng nên giải quyết vấn đề hòa vốn: doanh số ở mức nào thì doanh nghiệp bắt đầu có lãi? Và quan trọng hơn nữa, khi nào dòng tiền trở nên dương? Không còn nghi ngờ gì, những câu hỏi này xứng đáng</w:t>
        <w:bookmarkStart w:id="971" w:name="page16_5"/>
        <w:t> </w:t>
        <w:bookmarkEnd w:id="971"/>
        <w:t>có vài trang trong bất kỳ kế hoạch kinh doanh nào, và nên đặt ở gần cuối.</w:t>
      </w:r>
    </w:p>
    <w:p>
      <w:pPr>
        <w:pStyle w:val="Para 003"/>
      </w:pPr>
      <w:r>
        <w:t>Điều gì nên đặt ở phần đầu? Một kế hoạch kinh doanh tốt nên chứa đựng những thông tin gì?</w:t>
      </w:r>
    </w:p>
    <w:p>
      <w:pPr>
        <w:pStyle w:val="Para 003"/>
      </w:pPr>
      <w:r>
        <w:t>Nếu bạn muốn nói ngôn ngữ của các nhà đầu tư—và cũng muốn chắc chắn rằng bạn đã tự hỏi mình những câu hỏi đúng đắn trước khi bắt đầu hành trình gian nan nhất trong sự nghiệp của một doanh nhân—tôi khuyên bạn nên xây dựng kế hoạch kinh doanh dựa trên khung phân tích sau đây. Khung này không cung cấp loại công thức “chiến thắng” mà một số sách hướng dẫn và chương trình phần mềm hiện nay dành cho doanh nhân thường ca ngợi. Nó cũng không phải là một cuốn hướng dẫn giải phẫu não. Thay vào đó, khung phân tích này đánh giá một cách có hệ thống bốn yếu tố phụ thuộc lẫn nhau, quan trọng đối với mọi dự án khởi nghiệp:</w:t>
      </w:r>
    </w:p>
    <w:p>
      <w:pPr>
        <w:pStyle w:val="Para 112"/>
      </w:pPr>
      <w:r>
        <w:bookmarkStart w:id="972" w:name="page16_6"/>
        <w:t>Con</w:t>
        <w:bookmarkEnd w:id="972"/>
      </w:r>
      <w:r>
        <w:rPr>
          <w:rStyle w:val="Text0"/>
        </w:rPr>
        <w:t> người.</w:t>
      </w:r>
      <w:r>
        <w:t xml:space="preserve"> Những người thành lập và điều hành dự án, cũng như các bên bên ngoài cung cấp các dịch vụ chủ chốt hoặc nguồn lực quan trọng cho dự án, chẳng hạn như luật sư, kế toán và nhà cung cấp.</w:t>
      </w:r>
    </w:p>
    <w:p>
      <w:pPr>
        <w:pStyle w:val="Para 112"/>
      </w:pPr>
      <w:r>
        <w:rPr>
          <w:rStyle w:val="Text0"/>
        </w:rPr>
        <w:t>Cơ hội. Hồ sơ về</w:t>
      </w:r>
      <w:r>
        <w:t xml:space="preserve"> chính doanh nghiệp—nó sẽ bán gì và cho ai, liệu doanh nghiệp có thể tăng trưởng và tốc độ ra sao, các yếu tố kinh tế của nó như thế nào, và ai cũng như điều gì đang cản trở sự thành công.</w:t>
      </w:r>
    </w:p>
    <w:p>
      <w:pPr>
        <w:pStyle w:val="Para 112"/>
      </w:pPr>
      <w:r>
        <w:rPr>
          <w:rStyle w:val="Text0"/>
        </w:rPr>
        <w:t>Bối cảnh.</w:t>
      </w:r>
      <w:r>
        <w:t xml:space="preserve"> Bức tranh tổng thể—môi trường pháp lý, lãi suất, xu hướng nhân khẩu học, lạm phát, và những yếu tố tương tự—về cơ bản là những yếu tố luôn thay đổi nhưng doanh nhân không thể kiểm soát.</w:t>
      </w:r>
    </w:p>
    <w:p>
      <w:pPr>
        <w:pStyle w:val="Para 112"/>
      </w:pPr>
      <w:r>
        <w:bookmarkStart w:id="973" w:name="page16_7"/>
        <w:t>Rủi</w:t>
        <w:bookmarkEnd w:id="973"/>
      </w:r>
      <w:r>
        <w:rPr>
          <w:rStyle w:val="Text0"/>
        </w:rPr>
        <w:t> ro và Phần</w:t>
      </w:r>
      <w:r>
        <w:t xml:space="preserve"> thưởng: Đánh giá mọi thứ có thể đi sai và đi đúng, cùng thảo luận về cách đội ngũ khởi nghiệp có thể ứng phó.</w:t>
      </w:r>
    </w:p>
    <w:p>
      <w:pPr>
        <w:pStyle w:val="Para 003"/>
      </w:pPr>
      <w:r>
        <w:t xml:space="preserve">Giả định đằng sau khung khổ này là các doanh nghiệp vĩ đại có những đặc điểm dễ nhận diện nhưng khó kết hợp. Họ có một đội ngũ quản lý giàu kinh nghiệm, tràn đầy năng lượng từ cấp cao nhất đến cấp thấp nhất. Các thành viên trong đội ngũ có kỹ năng và kinh nghiệm liên quan trực tiếp đến cơ hội họ đang theo đuổi. Lý tưởng nhất là họ đã từng làm việc cùng nhau thành công trong quá khứ. Cơ hội có một mô hình kinh doanh hấp dẫn và bền vững; có thể tạo ra lợi thế cạnh tranh và bảo vệ nó. Có nhiều lựa chọn để mở rộng quy mô và</w:t>
        <w:bookmarkStart w:id="974" w:name="page16_8"/>
        <w:t> p</w:t>
        <w:bookmarkEnd w:id="974"/>
        <w:t>hạm vi kinh doanh, và những lựa chọn này là duy nhất đối với doanh nghiệp và đội ngũ của nó. Giá trị có thể được rút ra từ doanh nghiệp theo nhiều cách, thông qua một sự kiện thu hoạch tích cực—ví dụ như bán doanh nghiệp—hoặc bằng cách thu hẹp quy mô hoặc thanh lý. Bối cảnh thuận lợi cả về môi trường pháp lý lẫn môi trường kinh tế vĩ mô. Rủi ro được hiểu rõ, và đội ngũ đã xem xét các cách để giảm thiểu tác động của những sự kiện khó khăn. Tóm lại, các doanh nghiệp vĩ đại đáp ứng đầy đủ bốn phần của khung khổ. Giá như thực tế đơn giản như vậy.</w:t>
      </w:r>
    </w:p>
    <w:p>
      <w:bookmarkStart w:id="975" w:name="THE_PEOPLE"/>
      <w:pPr>
        <w:pStyle w:val="Heading 2"/>
      </w:pPr>
      <w:r>
        <w:t>CON NGƯỜI</w:t>
      </w:r>
      <w:bookmarkEnd w:id="975"/>
    </w:p>
    <w:p>
      <w:pPr>
        <w:pStyle w:val="Para 003"/>
      </w:pPr>
      <w:r>
        <w:t xml:space="preserve">Khi tôi nhận được một kế hoạch kinh doanh, tôi luôn đọc phần sơ yếu lý lịch trước tiên. Không</w:t>
        <w:bookmarkStart w:id="976" w:name="page16_9"/>
        <w:t> </w:t>
        <w:bookmarkEnd w:id="976"/>
        <w:t>phải vì phần con người của doanh nghiệp mới là quan trọng nhất, mà vì nếu thiếu đội ngũ phù hợp, thì không phần nào khác thực sự có ý nghĩa.</w:t>
      </w:r>
    </w:p>
    <w:p>
      <w:pPr>
        <w:pStyle w:val="Para 003"/>
      </w:pPr>
      <w:r>
        <w:t>Tôi đọc sơ yếu lý lịch của đội ngũ dự án với một danh sách các câu hỏi trong đầu. (Xem phần “Vậy Rốt Cuộc Những Người Này Là Ai?” ở cuối bài viết.) Tất cả những câu hỏi này đều xoay quanh ba vấn đề giống nhau về các thành viên trong đội ngũ: Họ biết gì? Họ quen ai? Và họ được biết đến như thế nào?</w:t>
      </w:r>
    </w:p>
    <w:p>
      <w:pPr>
        <w:pStyle w:val="Para 003"/>
      </w:pPr>
      <w:r>
        <w:t xml:space="preserve">Họ biết gì và quen ai là vấn đề của sự thấu hiểu và kinh nghiệm. Các thành viên trong đội ngũ quen thuộc đến mức nào với những người chơi trong ngành và những biến động của ngành? Không có gì ngạc nhiên khi các nhà đầu tư đánh giá cao những nhà quản lý đã từng trải qua nhiều va vấp. Một kế hoạch kinh doanh nên mô tả một cách thẳng thắn kiến thức của từng thành viên về loại sản phẩm hoặc dịch vụ của dự án mới;</w:t>
        <w:bookmarkStart w:id="977" w:name="page16_10"/>
        <w:t> q</w:t>
        <w:bookmarkEnd w:id="977"/>
        <w:t xml:space="preserve">uy trình sản xuất; và bản thân thị trường, từ đối thủ cạnh tranh đến khách hàng. Cũng nên chỉ ra liệu các thành viên trong đội ngũ đã từng làm việc cùng nhau trước đây hay chưa. Không phải là chơi chung—như kiểu ở chung phòng hồi đại học—mà là làm việc</w:t>
      </w:r>
      <w:r>
        <w:rPr>
          <w:rStyle w:val="Text0"/>
        </w:rPr>
        <w:t> cùng</w:t>
      </w:r>
      <w:r>
        <w:t> nhau.</w:t>
      </w:r>
    </w:p>
    <w:p>
      <w:pPr>
        <w:pStyle w:val="Para 003"/>
      </w:pPr>
      <w:r>
        <w:t>Các nhà đầu tư cũng đánh giá cao một đội ngũ có tiếng tăm, vì thế giới thực thường ngại làm việc với các công ty khởi nghiệp. Chúng quá khó đoán. Tuy nhiên, điều đó sẽ thay đổi khi công ty mới được điều hành bởi những người quen thuộc với nhà cung cấp, khách hàng và nhân viên. Doanh nghiệp của họ có thể hoàn toàn mới, nhưng bản thân họ thì không. Yếu tố bất ngờ khi làm việc với một công ty khởi nghiệp phần nào được xoa dịu.</w:t>
      </w:r>
    </w:p>
    <w:p>
      <w:pPr>
        <w:pStyle w:val="Para 003"/>
      </w:pPr>
      <w:r>
        <w:t xml:space="preserve">Cuối cùng, phần con người trong kế hoạch kinh doanh cần được chăm chút đặc biệt, vì nói một cách đơn giản, đó chính là nơi mà hầu hết các nhà</w:t>
        <w:bookmarkStart w:id="978" w:name="page16_11"/>
        <w:t> đ</w:t>
        <w:bookmarkEnd w:id="978"/>
        <w:t>ầu tư thông minh tập trung sự chú ý. Một công ty vốn mạo hiểm (venture capital) chuyên nghiệp điển hình nhận được khoảng 2.000 kế hoạch kinh doanh mỗi năm. Những kế hoạch này chứa đầy những ý tưởng hấp dẫn về sản phẩm và dịch vụ mới sẽ thay đổi thế giới và thu về hàng tỷ đô la trong quá trình đó—hoặc họ nói vậy. Nhưng sự thật là, hầu hết các nhà đầu tư mạo hiểm đều tin rằng ý tưởng thì rẻ như bèo: chỉ có kỹ năng thực thi mới đáng giá. Như Arthur Rock, một huyền thoại vốn mạo hiểm gắn liền với việc thành lập các công ty như Apple, Intel và Teledyne, đã nói: “Tôi đầu tư vào con người, không phải vào ý tưởng.” Rock cũng từng nói: “Nếu bạn tìm được những người giỏi, kể cả khi họ sai về sản phẩm, họ sẽ chuyển hướng, vậy thì việc hiểu sản phẩm mà họ đang nói đến ban đầu có ích gì?”</w:t>
      </w:r>
    </w:p>
    <w:p>
      <w:pPr>
        <w:pStyle w:val="Para 003"/>
      </w:pPr>
      <w:r>
        <w:bookmarkStart w:id="979" w:name="page16_12"/>
        <w:t>Các</w:t>
        <w:bookmarkEnd w:id="979"/>
        <w:t> tác giả kế hoạch kinh doanh nên ghi nhớ lời cảnh báo này khi soạn thảo đề xuất của mình. Hãy nói về con người—một cách thấu đáo. Và nếu không có gì vững chắc về kinh nghiệm và năng lực của họ để khoe, thì đội ngũ khởi nghiệp nên cân nhắc lại việc tung dự án ra thị trường.</w:t>
      </w:r>
    </w:p>
    <w:p>
      <w:bookmarkStart w:id="980" w:name="THE_OPPORTUNITY"/>
      <w:pPr>
        <w:pStyle w:val="Heading 2"/>
      </w:pPr>
      <w:r>
        <w:t>CƠ HỘI</w:t>
      </w:r>
      <w:bookmarkEnd w:id="980"/>
    </w:p>
    <w:p>
      <w:pPr>
        <w:pStyle w:val="Para 003"/>
      </w:pPr>
      <w:r>
        <w:t xml:space="preserve">Khi nói đến chính cơ hội đó, một kế hoạch kinh doanh tốt thường bắt đầu bằng việc tập trung vào hai câu hỏi: Thị trường tổng thể cho sản phẩm hoặc dịch vụ của dự án có quy mô lớn, đang phát triển nhanh, hay cả hai? Ngành này hiện tại có hấp dẫn về cấu trúc không, hay có thể trở nên hấp dẫn? Các nhà khởi nghiệp và nhà đầu tư tìm kiếm các thị trường lớn hoặc đang phát</w:t>
        <w:bookmarkStart w:id="981" w:name="page16_13"/>
        <w:t> </w:t>
        <w:bookmarkEnd w:id="981"/>
        <w:t>triển nhanh chủ yếu vì thường dễ chiếm được thị phần trong một thị trường đang tăng trưởng hơn là phải cạnh tranh với những đối thủ cố thủ để giành giật thị phần từ một thị trường trưởng thành hoặc trì trệ. Thực tế, các nhà đầu tư thông minh cố gắng hết sức để nhận diện các thị trường tiềm năng tăng trưởng cao ngay từ giai đoạn đầu của sự phát triển: đó chính là nơi mang lại lợi nhuận lớn. Và quả thực, nhiều người sẽ không đầu tư vào một công ty không thể đạt quy mô đáng kể (tức doanh thu hàng năm 50 triệu đô la Mỹ) trong vòng năm năm.</w:t>
      </w:r>
    </w:p>
    <w:p>
      <w:pPr>
        <w:pStyle w:val="Para 003"/>
      </w:pPr>
      <w:r>
        <w:t xml:space="preserve">Về khía cạnh hấp dẫn, các nhà đầu tư rõ ràng tìm kiếm những thị trường thực sự cho phép doanh nghiệp kiếm được tiền. Nhưng điều đó không hề đơn giản như vẻ ngoài của nó. Vào cuối những năm 1970, ngành kinh doanh ổ đĩa máy tính (disk drive) trông rất hấp dẫn. Công nghệ mới mẻ</w:t>
        <w:bookmarkStart w:id="982" w:name="page16_14"/>
        <w:t> </w:t>
        <w:bookmarkEnd w:id="982"/>
        <w:t xml:space="preserve">và thú vị. Hàng tá công ty nhảy vào cuộc chiến, được tiếp sức bởi một đội quân nhà đầu tư chuyên nghiệp. Tuy nhiên, hai mươi năm sau, sự hào hứng đã không còn đối với cả nhà quản lý lẫn nhà đầu tư. Các công ty ổ đĩa phải thiết kế sản phẩm để đáp ứng nhu cầu nhận thức của các nhà sản xuất thiết bị gốc (OEM) và người dùng cuối. Bán sản phẩm cho các OEM rất phức tạp. Các khách hàng này có quy mô lớn so với hầu hết các nhà cung cấp của họ. Có rất nhiều đối thủ cạnh tranh, mỗi bên đều cung cấp các sản phẩm chất lượng cao tương tự nhau. Hơn nữa, vòng đời sản phẩm ngắn và chi phí đầu tư công nghệ liên tục cao. Ngành này luôn phải hứng chịu những thay đổi lớn về công nghệ và nhu cầu khách hàng. Sự cạnh tranh khốc liệt dẫn đến giá thấp hơn và do đó biên lợi nhuận mỏng đi. Tóm lại, ngành</w:t>
        <w:bookmarkStart w:id="983" w:name="page16_15"/>
        <w:t> </w:t>
        <w:bookmarkEnd w:id="983"/>
        <w:t>ổ đĩa được tạo ra không phải để giúp người ta kiếm nhiều tiền; đó là một khu vực thảm họa về mặt cấu trúc.</w:t>
      </w:r>
    </w:p>
    <w:p>
      <w:pPr>
        <w:pStyle w:val="Para 003"/>
      </w:pPr>
      <w:r>
        <w:t xml:space="preserve">Ngành dịch vụ thông tin, ngược lại, là một thiên đường. Các công ty như Bloomberg Financial Markets và First Call Corporation, chuyên cung cấp dữ liệu cho giới tài chính, hầu như có mọi lợi thế cạnh tranh đứng về phía họ. Đầu tiên, họ có thể tập hợp hoặc tạo ra nội dung</w:t>
      </w:r>
      <w:r>
        <w:rPr>
          <w:rStyle w:val="Text0"/>
        </w:rPr>
        <w:t> độc quyền—thứ</w:t>
      </w:r>
      <w:r>
        <w:t xml:space="preserve"> nội dung, nhân tiện, giống như mạch máu của hàng nghìn nhà quản lý quỹ và nhà phân tích chứng khoán trên toàn thế giới. Và mặc dù việc phát triển dịch vụ và có được khách hàng ban đầu thường tốn kém, nhưng một khi đã đi vào hoạt động, các công ty này có thể chuyển nội dung đến khách hàng một cách rất rẻ. Ngoài ra, khách</w:t>
        <w:bookmarkStart w:id="984" w:name="page16_16"/>
        <w:t> </w:t>
        <w:bookmarkEnd w:id="984"/>
        <w:t>hàng trả tiền trước khi nhận dịch vụ, điều này làm cho dòng tiền trở nên thực sự hấp dẫn. Tóm lại, cấu trúc của ngành dịch vụ thông tin không chỉ hấp dẫn mà còn tuyệt đẹp. Tỷ suất lợi nhuận của Bloomberg và First Call khiến ngành kinh doanh ổ đĩa cứng phải xấu hổ.</w:t>
      </w:r>
    </w:p>
    <w:p>
      <w:pPr>
        <w:pStyle w:val="Para 003"/>
      </w:pPr>
      <w:r>
        <w:t>Vì vậy, bước đầu tiên đối với các doanh nhân là đảm bảo họ đang tham gia vào một ngành công nghiệp lớn và/hoặc đang tăng trưởng, và có cấu trúc hấp dẫn. Bước thứ hai là đảm bảo kế hoạch kinh doanh của họ mô tả chặt chẽ lý do tại sao điều này lại đúng. Và nếu không đúng như vậy, kế hoạch kinh doanh cần chỉ rõ cách công ty khởi nghiệp vẫn sẽ xoay xở để tạo ra đủ lợi nhuận nhằm thu hút các nhà đầu tư (hoặc nhân viên tiềm năng, nhà cung cấp, nếu có) tham gia.</w:t>
      </w:r>
    </w:p>
    <w:p>
      <w:pPr>
        <w:pStyle w:val="Para 003"/>
      </w:pPr>
      <w:r>
        <w:bookmarkStart w:id="985" w:name="page16_17"/>
        <w:t>Sau</w:t>
        <w:bookmarkEnd w:id="985"/>
        <w:t> khi xem xét ngành của công ty khởi nghiệp, kế hoạch kinh doanh phải mô tả chi tiết cách công ty sẽ xây dựng và tung sản phẩm hoặc dịch vụ ra thị trường. Một loạt câu hỏi nên định hướng cuộc thảo luận. (Xem "Cơ hội của một đời người—hay chỉ là cơ hội?" ở cuối bài viết này.)</w:t>
      </w:r>
    </w:p>
    <w:p>
      <w:pPr>
        <w:pStyle w:val="Para 003"/>
      </w:pPr>
      <w:r>
        <w:t xml:space="preserve">Thường thì câu trả lời cho những câu hỏi này bộc lộ một sai lầm chết người trong công việc kinh doanh. Tôi đã thấy các doanh nhân có sản phẩm "tuyệt vời" nhưng lại phát hiện ra rằng việc tìm kiếm khách hàng có khả năng và sẵn sàng mua những gì họ bán là quá tốn kém. Khả năng tiếp cận khách hàng một cách kinh tế là chìa khóa của kinh doanh, nhưng nhiều doanh</w:t>
      </w:r>
      <w:r>
        <w:rPr>
          <w:rStyle w:val="Text0"/>
        </w:rPr>
        <w:t> nhân lại áp dụng</w:t>
      </w:r>
      <w:r>
        <w:t xml:space="preserve"> cách tiếp cận Field of Dreams cho ý niệm này: cứ xây đi, họ sẽ đến. Chiến lược đó hiệu quả trong phim ảnh nhưng không thực tế trong thế giới thực.</w:t>
      </w:r>
    </w:p>
    <w:p>
      <w:pPr>
        <w:pStyle w:val="Para 003"/>
      </w:pPr>
      <w:r>
        <w:bookmarkStart w:id="986" w:name="page16_18"/>
        <w:t>Không</w:t>
        <w:bookmarkEnd w:id="986"/>
        <w:t> phải lúc nào cũng dễ dàng trả lời các câu hỏi về phản ứng có thể có của người tiêu dùng đối với sản phẩm hoặc dịch vụ mới. Thị trường cũng thất thường và khó lường. (Ai có thể đoán được rằng máy khử mùi phòng cắm điện lại bán chạy?) Một doanh nhân tôi quen đã đề xuất giới thiệu dịch vụ cắt tin tức điện tử. Anh ta trình bày ý tưởng với một nhà đầu tư mạo hiểm tiềm năng, người đã từ chối kế hoạch, nói rằng: "Tôi không nghĩ lũ chó sẽ ăn thức ăn cho chó." Sau đó, khi công ty của doanh nhân này được niêm yết công khai, anh ta đã gửi cho nhà đầu tư mạo hiểm một gói hàng nặc danh chứa một hộp thức ăn cho chó rỗng và một bản cáo bạch. Nếu việc dự đoán người ta sẽ mua gì là dễ dàng, thì sẽ không có cơ hội nào cả.</w:t>
      </w:r>
    </w:p>
    <w:p>
      <w:pPr>
        <w:pStyle w:val="Para 003"/>
      </w:pPr>
      <w:r>
        <w:bookmarkStart w:id="987" w:name="page16_19"/>
        <w:t>Tương</w:t>
        <w:bookmarkEnd w:id="987"/>
        <w:t> tự, thật khó đoán mọi người sẽ trả bao nhiêu cho một thứ gì đó, nhưng bản kế hoạch kinh doanh phải đề cập đến vấn đề đó. Đôi khi, lũ chó sẽ ăn thức ăn cho chó, nhưng chỉ với mức giá thấp hơn chi phí. Các nhà đầu tư luôn tìm kiếm cơ hội định giá theo giá trị (value pricing) — tức là những thị trường mà chi phí sản xuất sản phẩm thấp, nhưng người tiêu dùng vẫn sẵn sàng trả nhiều tiền. Chẳng ai muốn đầu tư vào một công ty khi biên lợi nhuận mỏng manh. Dù vậy, vẫn có thể kiếm tiền từ các sản phẩm và dịch vụ giá rẻ — thậm chí cả hàng hóa thông thường. Một bản kế hoạch kinh doanh phải chứng minh rằng đã cân nhắc kỹ lưỡng phương án định giá cho dự án mới.</w:t>
      </w:r>
    </w:p>
    <w:p>
      <w:pPr>
        <w:pStyle w:val="Para 003"/>
      </w:pPr>
      <w:r>
        <w:t xml:space="preserve">Danh sách các câu hỏi về cơ hội của dự án mới tập trung vào doanh</w:t>
        <w:bookmarkStart w:id="988" w:name="page16_20"/>
        <w:t> </w:t>
        <w:bookmarkEnd w:id="988"/>
        <w:t>thu trực tiếp và chi phí sản xuất, tiếp thị sản phẩm. Điều đó cũng tốt thôi. Tuy nhiên, một đề xuất hợp lý còn cần đánh giá mô hình kinh doanh dưới góc độ xét đến khoản đầu tư cần thiết — tức là mặt bảng cân đối kế toán của phương trình. Ngoài ra, cần trả lời các câu hỏi sau để nhà đầu tư hiểu được tác động đến dòng tiền khi theo đuổi một cơ hội:</w:t>
      </w:r>
    </w:p>
    <w:p>
      <w:pPr>
        <w:pStyle w:val="11 Block"/>
      </w:pPr>
    </w:p>
    <w:p>
      <w:pPr>
        <w:pStyle w:val="Para 025"/>
      </w:pPr>
      <w:r>
        <w:t>•Khi</w:t>
        <w:t> nào doanh nghiệp phải mua các nguồn lực như vật tư, nguyên liệu thô và nhân sự?</w:t>
      </w:r>
    </w:p>
    <w:p>
      <w:pPr>
        <w:pStyle w:val="Para 025"/>
      </w:pPr>
      <w:r>
        <w:t>•</w:t>
        <w:t>Khi nào doanh nghiệp phải thanh toán cho những khoản đó?</w:t>
      </w:r>
    </w:p>
    <w:p>
      <w:pPr>
        <w:pStyle w:val="Para 025"/>
      </w:pPr>
      <w:r>
        <w:bookmarkStart w:id="989" w:name="page16_21"/>
        <w:t/>
        <w:bookmarkEnd w:id="989"/>
        <w:t>•</w:t>
        <w:t>Mất bao lâu để có được một khách hàng?</w:t>
      </w:r>
    </w:p>
    <w:p>
      <w:pPr>
        <w:pStyle w:val="Para 025"/>
      </w:pPr>
      <w:r>
        <w:t>•Bao</w:t>
        <w:t> lâu trước khi khách hàng gửi séc thanh toán cho doanh nghiệp?</w:t>
      </w:r>
    </w:p>
    <w:p>
      <w:pPr>
        <w:pStyle w:val="Para 025"/>
      </w:pPr>
      <w:r>
        <w:t/>
        <w:t>•Cần bao nhiêu trang thiết bị vốn để hỗ trợ một đô la doanh số?</w:t>
      </w:r>
    </w:p>
    <w:p>
      <w:pPr>
        <w:pStyle w:val="11 Block"/>
      </w:pPr>
    </w:p>
    <w:p>
      <w:pPr>
        <w:pStyle w:val="Para 003"/>
      </w:pPr>
      <w:r>
        <w:t>Tất nhiên, các nhà đầu tư đang tìm kiếm những doanh nghiệp mà ban quản lý có thể mua thấp, bán cao, thu tiền sớm và trả tiền muộn. Bản kế hoạch kinh doanh cần nêu rõ mức độ kỳ vọng của dự án mới đạt gần đến lý tưởng đó. Ngay cả khi câu trả lời là "không gần lắm" — và thường là vậy — thì ít nhất sự thật cũng được đưa ra để thảo luận.</w:t>
      </w:r>
    </w:p>
    <w:p>
      <w:pPr>
        <w:pStyle w:val="Para 003"/>
      </w:pPr>
      <w:r>
        <w:bookmarkStart w:id="990" w:name="page16_22"/>
        <w:t>Phần</w:t>
        <w:bookmarkEnd w:id="990"/>
        <w:t xml:space="preserve"> cơ hội của một bản kế hoạch kinh doanh cũng phải đưa ra một số vấn đề khác. Đầu tiên, nó phải chứng minh và phân tích cách một cơ hội có thể phát triển — nói cách khác, dự án mới có thể mở rộng phạm vi sản phẩm hoặc dịch vụ, tập khách hàng hoặc quy mô địa lý như thế nào. Thông thường, các công ty có thể tạo ra các kênh ảo (virtual pipelines) hỗ trợ việc tạo ra các nguồn doanh thu mới khả thi về mặt kinh tế. Ví dụ, trong</w:t>
      </w:r>
      <w:r>
        <w:rPr>
          <w:rStyle w:val="Text0"/>
        </w:rPr>
        <w:t> l</w:t>
      </w:r>
      <w:r>
        <w:t xml:space="preserve">ĩnh vực xuất bản, tạp chí Inc. đã mở rộng dòng sản phẩm của mình để bao gồm các buổi hội thảo, sách và video về khởi nghiệp. Tương tự, dựa trên thành công của phần mềm tài chính cá nhân Quicken, Intuit hiện bán phần mềm cho ngân hàng điện tử, kế toán doanh nghiệp</w:t>
        <w:bookmarkStart w:id="991" w:name="page16_23"/>
        <w:t> </w:t>
        <w:bookmarkEnd w:id="991"/>
        <w:t>nhỏ và chuẩn bị thuế, cũng như vật tư in ấn cá nhân và dịch vụ thông tin trực tuyến — chỉ để kể một vài sản phẩm phụ trợ sinh lời cao của họ.</w:t>
      </w:r>
    </w:p>
    <w:p>
      <w:pPr>
        <w:pStyle w:val="Para 003"/>
      </w:pPr>
      <w:r>
        <w:t xml:space="preserve">Nhiều kế hoạch kinh doanh hiện nay thường đầy ắp những đoạn về tiềm năng tăng trưởng và mở rộng của dự án mới. Nhưng chúng cũng nên đầy ắp những giải thích về cách tránh rơi vào một số bẫy cơ hội phổ biến. Một trong số đó đã được đề cập: các ngành công nghiệp mà về bản chất kém hấp dẫn về mặt cấu trúc. Nhưng còn có những bẫy khác. Ví dụ, thế giới phát minh đầy rẫy nguy hiểm. Trong 15 năm qua, tôi đã thấy hàng loạt người nghĩ ra một cái bẫy chuột tốt hơn—những sáng chế mới lạ từ gối hơi cho máy bay đến hệ thống</w:t>
        <w:bookmarkStart w:id="992" w:name="page16_24"/>
        <w:t> </w:t>
        <w:bookmarkEnd w:id="992"/>
        <w:t>đỗ xe tự động. Tuy nhiên, ít công ty dựa trên ý tưởng này thực sự cất cánh. Tôi không hoàn toàn chắc chắn tại sao. Đôi khi, nhà phát minh từ chối chi số tiền cần thiết hoặc chia sẻ đầy đủ lợi nhuận cho bộ phận kinh doanh của công ty. Những lúc khác, các nhà phát minh mải mê với sáng chế đến mức quên mất khách hàng. Dù lý do là gì, các doanh nghiệp kiểu 'bẫy chuột tốt hơn' có cách trục trặc kỳ lạ.</w:t>
      </w:r>
    </w:p>
    <w:p>
      <w:pPr>
        <w:pStyle w:val="Para 003"/>
      </w:pPr>
      <w:r>
        <w:t xml:space="preserve">Một cái bẫy cơ hội khác mà các kế hoạch kinh doanh—và các doanh nhân nói chung—cần chú ý là hoạt động chênh lệch giá phức tạp. Về cơ bản, các dự án chênh lệch giá được tạo ra để tận dụng sự chênh lệch giá trị trên thị trường. Ví dụ, Tập đoàn</w:t>
        <w:bookmarkStart w:id="993" w:name="page16_25"/>
        <w:t> </w:t>
        <w:bookmarkEnd w:id="993"/>
        <w:t>Truyền thông MCI được thành lập để cung cấp dịch vụ đường dài với giá thấp hơn AT&amp;T. Một số vụ hợp nhất ngành hiện nay phản ánh một loại chênh lệch giá khác—khả năng mua các doanh nghiệp nhỏ với giá bán buôn, gộp chúng thành một gói lớn hơn, rồi đưa ra công chúng với giá bán lẻ mà không nhất thiết phải tạo ra giá trị gia tăng trong quá trình đó.</w:t>
      </w:r>
    </w:p>
    <w:p>
      <w:pPr>
        <w:pStyle w:val="Para 003"/>
      </w:pPr>
      <w:r>
        <w:t xml:space="preserve">Tận dụng các cơ hội chênh lệch giá là một cách khả thi và có khả năng sinh lời để bước vào một lĩnh vực kinh doanh. Tuy nhiên, xét cho cùng, mọi cơ hội chênh lệch giá đều tan biến. Vấn đề không phải là liệu có hay không, mà là khi nào. Bí quyết trong các doanh nghiệp này là dùng lợi nhuận từ chênh lệch giá để xây dựng một mô hình kinh doanh bền vững</w:t>
        <w:bookmarkStart w:id="994" w:name="page16_26"/>
        <w:t> h</w:t>
        <w:bookmarkEnd w:id="994"/>
        <w:t>ơn, và các kế hoạch kinh doanh phải giải thích điều đó sẽ xảy ra như thế nào và khi nào.</w:t>
      </w:r>
    </w:p>
    <w:p>
      <w:pPr>
        <w:pStyle w:val="Para 003"/>
      </w:pPr>
      <w:r>
        <w:t>Về cạnh tranh, có lẽ không cần phải nói rằng mọi kế hoạch kinh doanh nên đề cập đến lĩnh vực này một cách cẩn thận và kỹ lưỡng, nhưng một số lại không. Đó là một thiếu sót hiển nhiên. Bắt đầu, mỗi kế hoạch kinh doanh nên trả lời các câu hỏi sau về cạnh tranh:</w:t>
      </w:r>
    </w:p>
    <w:p>
      <w:pPr>
        <w:pStyle w:val="11 Block"/>
      </w:pPr>
    </w:p>
    <w:p>
      <w:pPr>
        <w:pStyle w:val="Para 025"/>
      </w:pPr>
      <w:r>
        <w:t>•</w:t>
        <w:t>Đối thủ cạnh tranh hiện tại của dự án mới là ai?</w:t>
      </w:r>
    </w:p>
    <w:p>
      <w:pPr>
        <w:pStyle w:val="Para 025"/>
      </w:pPr>
      <w:r>
        <w:t>•Họ</w:t>
        <w:t> kiểm soát những nguồn lực nào? Điểm mạnh và điểm yếu của họ là gì?</w:t>
      </w:r>
    </w:p>
    <w:p>
      <w:pPr>
        <w:pStyle w:val="Para 025"/>
      </w:pPr>
      <w:r>
        <w:t>•Họ</w:t>
        <w:t> sẽ phản ứng thế nào trước quyết định tham gia thị trường của dự án mới?</w:t>
      </w:r>
    </w:p>
    <w:p>
      <w:pPr>
        <w:pStyle w:val="Para 025"/>
      </w:pPr>
      <w:r>
        <w:bookmarkStart w:id="995" w:name="page16_27"/>
        <w:t>•Dự</w:t>
        <w:bookmarkEnd w:id="995"/>
        <w:t> </w:t>
        <w:t>án mới có thể đối phó với phản ứng của đối thủ cạnh tranh như thế nào?</w:t>
      </w:r>
    </w:p>
    <w:p>
      <w:pPr>
        <w:pStyle w:val="Para 025"/>
      </w:pPr>
      <w:r>
        <w:t/>
        <w:t>•Ai khác có thể nhận ra và khai thác cơ hội tương tự?</w:t>
      </w:r>
    </w:p>
    <w:p>
      <w:pPr>
        <w:pStyle w:val="Para 025"/>
      </w:pPr>
      <w:r>
        <w:t>•Có</w:t>
        <w:t> cách nào để lôi kéo các đối thủ cạnh tranh tiềm năng hoặc hiện tại bằng cách hình thành liên minh không?</w:t>
      </w:r>
    </w:p>
    <w:p>
      <w:pPr>
        <w:pStyle w:val="11 Block"/>
      </w:pPr>
    </w:p>
    <w:p>
      <w:pPr>
        <w:pStyle w:val="Para 003"/>
      </w:pPr>
      <w:r>
        <w:t xml:space="preserve">Kinh doanh cũng giống như chơi cờ: để thành công, bạn phải lường trước vài nước đi. Một bản kế hoạch kinh doanh mô tả một vị thế dẫn đầu không thể vượt qua hoặc một vị trí thị trường độc quyền, về bản chất là do những người ngây thơ viết ra. Điều này không chỉ áp dụng cho phần cạnh tranh của kế hoạch kinh doanh mà còn cho toàn bộ phần thảo luận về cơ hội. Mọi cơ hội đều có hứa hẹn; mọi</w:t>
        <w:bookmarkStart w:id="996" w:name="page16_28"/>
        <w:t> </w:t>
        <w:bookmarkEnd w:id="996"/>
        <w:t>cơ hội đều có những điểm yếu. Một kế hoạch kinh doanh tốt không che giấu những điểm yếu đó. Thay vào đó, nó chứng minh rằng đội ngũ khởi nghiệp hiểu rõ mặt tốt, mặt xấu và mặt xấu xa mà dự án sẽ phải đối mặt phía trước.</w:t>
      </w:r>
    </w:p>
    <w:p>
      <w:bookmarkStart w:id="997" w:name="THE_CONTEXT"/>
      <w:pPr>
        <w:pStyle w:val="Heading 2"/>
      </w:pPr>
      <w:r>
        <w:t>BỐI CẢNH</w:t>
      </w:r>
      <w:bookmarkEnd w:id="997"/>
    </w:p>
    <w:p>
      <w:pPr>
        <w:pStyle w:val="Para 003"/>
      </w:pPr>
      <w:r>
        <w:t xml:space="preserve">Các cơ hội tồn tại trong một bối cảnh. Ở một cấp độ là môi trường kinh tế vĩ mô, bao gồm mức độ hoạt động kinh tế, lạm phát, tỷ giá hối đoái và lãi suất. Ở một cấp độ khác là một loạt các quy định và luật lệ của chính phủ ảnh hưởng đến cơ hội và cách thức huy động nguồn lực để khai thác nó. Ví dụ từ chính sách thuế đến các quy định về huy động vốn cho một công ty tư nhân hoặc đại chúng.</w:t>
        <w:bookmarkStart w:id="998" w:name="page16_29"/>
        <w:t> </w:t>
        <w:bookmarkEnd w:id="998"/>
        <w:t>Và ở một cấp độ nữa là các yếu tố như công nghệ, yếu tố xác định giới hạn những gì một doanh nghiệp hoặc các đối thủ của nó có thể đạt được.</w:t>
      </w:r>
    </w:p>
    <w:p>
      <w:pPr>
        <w:pStyle w:val="Para 003"/>
      </w:pPr>
      <w:r>
        <w:t>Bối cảnh thường có tác động rất lớn đến mọi khía cạnh của quá trình khởi nghiệp, từ việc xác định cơ hội đến thu hoạch. Trong một số trường hợp, những thay đổi trong một yếu tố bối cảnh nào đó tạo ra cơ hội. Hơn 100 công ty mới được thành lập khi ngành hàng không được bãi bỏ quy định vào cuối những năm 1970. Bối cảnh tài chính cũng thuận lợi, cho phép những người mới tham gia như People Express ra thị trường công để huy động vốn ngay cả trước khi bắt đầu hoạt động.</w:t>
      </w:r>
    </w:p>
    <w:p>
      <w:pPr>
        <w:pStyle w:val="Para 003"/>
      </w:pPr>
      <w:r>
        <w:t xml:space="preserve">Ngược lại, có những thời điểm bối cảnh khiến việc khởi nghiệp trở nên khó khăn. Cuộc</w:t>
        <w:bookmarkStart w:id="999" w:name="page16_30"/>
        <w:t> </w:t>
        <w:bookmarkEnd w:id="999"/>
        <w:t>suy thoái đầu những năm 1990 kết hợp với môi trường tài chính khó khăn cho các công ty mới: giải ngân vốn mạo hiểm (venture capital) thấp, cũng như lượng vốn huy động được trên thị trường công. (Nghịch lý là, những điều kiện tương đối chặt chẽ đó, khiến cho các doanh nghiệp mới khó khăn hơn, lại đi kèm với lợi nhuận đầu tư rất cao sau đó trong những năm 1990, khi thị trường vốn nóng lên.)</w:t>
      </w:r>
    </w:p>
    <w:p>
      <w:pPr>
        <w:pStyle w:val="Para 003"/>
      </w:pPr>
      <w:r>
        <w:t xml:space="preserve">Đôi khi, một sự thay đổi trong bối cảnh biến một doanh nghiệp kém hấp dẫn thành một doanh nghiệp hấp dẫn, và ngược lại. Xem xét trường hợp của một công ty bao bì cách đây vài năm đang hoạt động kém đến mức sắp bị đưa ra bán đấu giá. Sau đó xảy ra vụ đầu độc Tylenol (Tylenol-tampering incident), khiến nhiều người</w:t>
        <w:bookmarkStart w:id="1000" w:name="page16_31"/>
        <w:t> </w:t>
        <w:bookmarkEnd w:id="1000"/>
        <w:t>tử vong. Công ty bao bì này tình cờ có một cơ chế hiệu quả để lắp đặt các con dấu chống giả mạo (tamper-proof seals), và chỉ trong vài tuần, kết quả tài chính của công ty có thể gọi là ngoạn mục. Ngược lại, cải cách thuế của Mỹ ban hành năm 1986 đã gây ra sự hỗn loạn cho các công ty kinh doanh bất động sản, xóa bỏ gần như mọi ưu đãi tích cực để đầu tư. Nhiều doanh nghiệp từng thành công trước đó đã phá sản ngay sau khi các quy định mới được ban hành.</w:t>
      </w:r>
    </w:p>
    <w:p>
      <w:pPr>
        <w:pStyle w:val="Para 003"/>
      </w:pPr>
      <w:r>
        <w:t xml:space="preserve">Mọi bản kế hoạch kinh doanh nên chứa đựng một số bằng chứng nhất định liên quan đến bối cảnh. Đầu tiên, các nhà khởi nghiệp cần thể hiện nhận thức sâu sắc về bối cảnh của doanh nghiệp mới và cách nó hỗ trợ hoặc cản trở đề xuất cụ thể của họ. Thứ hai, và quan</w:t>
        <w:bookmarkStart w:id="1001" w:name="page16_32"/>
        <w:t> </w:t>
        <w:bookmarkEnd w:id="1001"/>
        <w:t>trọng hơn, họ cần chứng minh rằng họ hiểu bối cảnh của doanh nghiệp chắc chắn sẽ thay đổi và mô tả những thay đổi đó có thể ảnh hưởng đến công việc kinh doanh ra sao. Hơn nữa, kế hoạch kinh doanh cần nêu rõ ban lãnh đạo có thể (và sẽ) làm gì nếu bối cảnh trở nên bất lợi. Cuối cùng, kế hoạch kinh doanh nên giải thích những cách (nếu có) mà ban lãnh đạo có thể tác động tích cực đến bối cảnh. Ví dụ, ban lãnh đạo có thể tạo ảnh hưởng đến các quy định hoặc tiêu chuẩn ngành thông qua hoạt động vận động hành lang.</w:t>
      </w:r>
    </w:p>
    <w:p>
      <w:bookmarkStart w:id="1002" w:name="RISK_AND_REWARD"/>
      <w:pPr>
        <w:pStyle w:val="Heading 2"/>
      </w:pPr>
      <w:r>
        <w:t>RỦI RO VÀ PHẦN THƯỞNG</w:t>
      </w:r>
      <w:bookmarkEnd w:id="1002"/>
    </w:p>
    <w:p>
      <w:pPr>
        <w:pStyle w:val="Para 003"/>
      </w:pPr>
      <w:r>
        <w:t xml:space="preserve">Khái niệm bối cảnh luôn biến động dẫn trực tiếp đến trụ cột thứ tư trong khuôn khổ tôi đề xuất:</w:t>
        <w:bookmarkStart w:id="1003" w:name="page16_33"/>
        <w:t> m</w:t>
        <w:bookmarkEnd w:id="1003"/>
        <w:t>ột cuộc thảo luận về rủi ro và cách quản lý nó. Tôi dần nhận ra rằng một bản kế hoạch kinh doanh tốt giống như một bức ảnh chụp sự kiện trong tương lai. Ngay từ đầu, đó đã là một kỳ tích — chụp được một bức ảnh về điều chưa biết. Nhưng những bản kế hoạch kinh doanh xuất sắc nhất còn vượt xa hơn thế. Chúng giống như những thước phim về tương lai. Chúng cho thấy con người, cơ hội và bối cảnh từ nhiều góc độ. Chúng mang đến một câu chuyện hợp lý, mạch lạc về những gì ở phía trước. Chúng mở ra những khả năng hành động và phản ứng.</w:t>
      </w:r>
    </w:p>
    <w:p>
      <w:pPr>
        <w:pStyle w:val="Para 003"/>
      </w:pPr>
      <w:r>
        <w:t xml:space="preserve">Nói cách khác, các bản kế hoạch kinh doanh tốt xem con người, cơ hội và bối cảnh như những mục tiêu di động. Cả ba yếu tố (và mối quan hệ giữa chúng) đều có thể thay đổi theo thời gian khi công ty phát triển từ khởi nghiệp thành doanh nghiệp đã hoạt động ổn định. Do đó,</w:t>
        <w:bookmarkStart w:id="1004" w:name="page16_34"/>
        <w:t> </w:t>
        <w:bookmarkEnd w:id="1004"/>
        <w:t>bất kỳ bản kế hoạch kinh doanh nào đáng để dành thời gian viết hoặc đọc đều cần tập trung vào các khía cạnh năng động của quá trình khởi nghiệp.</w:t>
      </w:r>
    </w:p>
    <w:p>
      <w:pPr>
        <w:pStyle w:val="Para 003"/>
      </w:pPr>
      <w:r>
        <w:t>Tất nhiên, tương lai thật khó đoán. Tuy nhiên, vẫn có thể cho các nhà đầu tư tiềm năng thấy được loại và mức độ rủi ro cũng như phần thưởng mà họ sẽ gánh chịu khi tham gia vào một doanh nghiệp mới. Tất cả chỉ cần một cây bút chì và hai hình vẽ đơn giản. (Xem "Hình dung rủi ro và phần thưởng" ở cuối bài viết này.) Nhưng ngay cả với những hình vẽ này, rủi ro, nói thật, vẫn là rủi ro. Trên thực tế, không có sự phân bổ kết quả bất biến nào. Cuối cùng, trách nhiệm của ban lãnh đạo là thay đổi sự phân bổ đó, tăng khả năng và hậu quả của thành công, đồng thời giảm khả năng và tác động của các vấn đề.</w:t>
      </w:r>
    </w:p>
    <w:p>
      <w:pPr>
        <w:pStyle w:val="Para 003"/>
      </w:pPr>
      <w:r>
        <w:bookmarkStart w:id="1005" w:name="page16_35"/>
        <w:t>Một</w:t>
        <w:bookmarkEnd w:id="1005"/>
        <w:t> trong những lầm tưởng lớn về các nhà khởi nghiệp là họ là những người thích mạo hiểm. Tất cả những người tỉnh táo đều muốn tránh rủi ro. Như Howard Stevenson, giáo sư Trường Kinh doanh Harvard (và cũng là nhà đầu tư mạo hiểm), đã nói: "Các nhà khởi nghiệp thực thụ muốn hưởng trọn mọi phần thưởng và đẩy hết rủi ro cho người khác." Công việc kinh doanh tốt nhất là một hộp thư bưu điện mà mọi người gửi séc bảo chi đến. Tuy nhiên, rủi ro là điều không thể tránh khỏi. Vậy điều đó có ý nghĩa gì đối với một bản kế hoạch kinh doanh?</w:t>
      </w:r>
    </w:p>
    <w:p>
      <w:pPr>
        <w:pStyle w:val="Para 003"/>
      </w:pPr>
      <w:r>
        <w:t xml:space="preserve">Điều đó có nghĩa là kế hoạch phải đối mặt với những rủi ro phía trước một cách kiên quyết—xét về con người, cơ hội và bối cảnh. Điều gì xảy ra nếu một trong những nhà lãnh đạo của doanh nghiệp mới rời đi? Điều gì xảy ra nếu đối thủ cạnh tranh phản ứng dữ dội hơn dự kiến? Điều gì xảy ra nếu có một cuộc cách mạng ở Namibia, nguồn cung</w:t>
        <w:bookmarkStart w:id="1006" w:name="page16_36"/>
        <w:t> </w:t>
        <w:bookmarkEnd w:id="1006"/>
        <w:t xml:space="preserve">cấp nguyên liệu thô quan trọng? Ban quản lý thực sự sẽ làm</w:t>
      </w:r>
      <w:r>
        <w:rPr>
          <w:rStyle w:val="Text0"/>
        </w:rPr>
        <w:t> g</w:t>
      </w:r>
      <w:r>
        <w:t>ì?</w:t>
      </w:r>
    </w:p>
    <w:p>
      <w:pPr>
        <w:pStyle w:val="Para 003"/>
      </w:pPr>
      <w:r>
        <w:t>Đó là những câu hỏi khó để một doanh nhân đặt ra, đặc biệt là khi đang tìm kiếm vốn. Nhưng một thỏa thuận tốt hơn đang chờ đợi những ai chịu đặt ra chúng và sau đó đưa ra những câu trả lời vững chắc. Chẳng hạn, một doanh nghiệp mới có thể có đòn bẩy tài chính (leverage) cao và do đó rất nhạy cảm với lãi suất. Kế hoạch kinh doanh của nó sẽ được hưởng lợi rất nhiều khi nêu rõ ban quản lý dự định phòng ngừa rủi ro (hedge) thông qua thị trường hợp đồng tương lai tài chính bằng cách mua một hợp đồng hoạt động tốt khi lãi suất tăng. Điều đó tương đương với việc cung cấp bảo hiểm cho các nhà đầu tư. (Nó cũng có ý nghĩa đối với chính doanh nghiệp.)</w:t>
      </w:r>
    </w:p>
    <w:p>
      <w:pPr>
        <w:pStyle w:val="Para 003"/>
      </w:pPr>
      <w:r>
        <w:t xml:space="preserve">Cuối cùng, một lĩnh vực quan trọng trong quản lý rủi ro/phần thưởng liên quan đến việc thu hoạch</w:t>
        <w:bookmarkStart w:id="1007" w:name="page16_37"/>
        <w:t> (harve</w:t>
        <w:bookmarkEnd w:id="1007"/>
        <w:t>sting). Các nhà đầu tư mạo hiểm (venture capitalist) thường hỏi liệu một công ty có 'IPO được' hay không, nghĩa là công ty đó có thể được niêm yết công khai vào một thời điểm nào đó trong tương lai không? (Xem thêm 'Bảng thuật ngữ kế hoạch kinh doanh' ở cuối bài viết này.) Một số doanh nghiệp về bản chất rất khó niêm yết công khai vì làm như vậy sẽ tiết lộ thông tin có thể gây hại cho vị thế cạnh tranh của họ (ví dụ, nó sẽ tiết lộ lợi nhuận, từ đó khuyến khích sự gia nhập hoặc làm khách hàng và nhà cung cấp phẫn nộ). Một số dự án (venture) không phải là công ty, mà là sản phẩm—chúng không thể tồn tại bền vững như các doanh nghiệp độc lập.</w:t>
      </w:r>
    </w:p>
    <w:p>
      <w:pPr>
        <w:pStyle w:val="Para 003"/>
      </w:pPr>
      <w:r>
        <w:t xml:space="preserve">Do đó, kế hoạch kinh doanh nên nói một cách thẳng thắn về kết thúc của quá trình. Nhà đầu tư cuối cùng sẽ rút tiền ra khỏi doanh nghiệp bằng cách nào, giả sử nó thành công, dù</w:t>
        <w:bookmarkStart w:id="1008" w:name="page16_38"/>
        <w:t> </w:t>
        <w:bookmarkEnd w:id="1008"/>
        <w:t xml:space="preserve">chỉ thành công một chút? Khi các chuyên gia đầu tư, họ đặc biệt thích những công ty có nhiều lựa chọn thoái vốn (exit options). Họ thích những công ty nỗ lực duy trì và nâng cao các lựa chọn đó trên đường đi, những công ty không, chẳng hạn, liên minh một cách thiếu suy nghĩ với các tập đoàn lớn mà một ngày nào đó có</w:t>
      </w:r>
      <w:r>
        <w:rPr>
          <w:rStyle w:val="Text0"/>
        </w:rPr>
        <w:t> thể</w:t>
      </w:r>
      <w:r>
        <w:t xml:space="preserve"> mua lại họ. Các nhà đầu tư cảm thấy yên tâm hơn nhiều về rủi ro nếu giai đoạn cuối của dự án được thảo luận trước. Có một câu nói cũ: “Nếu bạn không biết mình đang đi đâu, thì con đường nào cũng sẽ đưa bạn đến đó.” Khi xây dựng các chiến lược kinh doanh hợp lý, điều ngược lại lại đúng: bạn nên biết mình có thể kết thúc ở đâu và có bản đồ để đến đó. Kế hoạch kinh doanh nên là nơi vẽ bản đồ đó, vì như mọi du khách đều biết, một cuộc</w:t>
        <w:bookmarkStart w:id="1009" w:name="page16_39"/>
        <w:t> </w:t>
        <w:bookmarkEnd w:id="1009"/>
        <w:t>hành trình sẽ ít rủi ro hơn nhiều khi bạn có chỉ dẫn.</w:t>
      </w:r>
    </w:p>
    <w:p>
      <w:bookmarkStart w:id="1010" w:name="THE_DEAL_AND_BEYOND"/>
      <w:pPr>
        <w:pStyle w:val="Heading 2"/>
      </w:pPr>
      <w:r>
        <w:t>THƯƠNG VỤ VÀ XA HƠN NỮA</w:t>
      </w:r>
      <w:bookmarkEnd w:id="1010"/>
    </w:p>
    <w:p>
      <w:pPr>
        <w:pStyle w:val="Para 003"/>
      </w:pPr>
      <w:r>
        <w:t>Một khi kế hoạch kinh doanh đã được viết ra, tất nhiên, mục tiêu là đạt được một thỏa thuận. Đó là một chủ đề cho một bài viết khác, nhưng tôi sẽ nói thêm vài lời ở đây.</w:t>
      </w:r>
    </w:p>
    <w:p>
      <w:pPr>
        <w:pStyle w:val="Para 003"/>
      </w:pPr>
      <w:r>
        <w:t xml:space="preserve">Khi tôi nói chuyện với các nhà khởi nghiệp trẻ (và cả lớn tuổi) đang tìm cách gọi vốn cho dự án, họ thường bận tâm đến việc định giá (valuation) và các điều khoản (terms) của thương vụ. Mục tiêu rõ ràng của họ có vẻ là giảm thiểu sự pha loãng cổ phần (dilution) khi huy động vốn (raising capital). Ngầm hiểu, họ cũng đang tìm những nhà đầu tư thụ động như một</w:t>
        <w:bookmarkStart w:id="1011" w:name="page16_40"/>
        <w:t> c</w:t>
        <w:bookmarkEnd w:id="1011"/>
        <w:t>ái cây trong khi họ xây dựng doanh nghiệp. Trong thang bậc các nhà đầu tư, dường như bác sĩ và nha sĩ là tốt nhất, còn nhà đầu tư mạo hiểm (venture capitalists) là tệ nhất, vì nhóm sau đòi hỏi quyền kiểm soát và một phần lợi nhuận lớn.</w:t>
      </w:r>
    </w:p>
    <w:p>
      <w:pPr>
        <w:pStyle w:val="Para 003"/>
      </w:pPr>
      <w:r>
        <w:t xml:space="preserve">Quan điểm đó—giống như ý tưởng cho rằng các dự báo tài chính (financial projections) cực kỳ chi tiết là hữu ích—thật vô lý. Việc bạn huy động vốn từ ai thường quan trọng hơn các điều khoản. Dự án mới vốn dĩ rủi ro, như tôi đã nói; điều gì có thể sai sẽ sai. Khi điều đó xảy ra, các nhà đầu tư thiếu kinh nghiệm sẽ hoảng loạn, tức giận, và thường từ chối cấp thêm tiền cho công ty. Ngược lại, các nhà đầu tư sành sỏi sẽ xắn tay áo lên và giúp công ty giải quyết vấn đề. Họ thường có nhiều</w:t>
        <w:bookmarkStart w:id="1012" w:name="page16_41"/>
        <w:t> </w:t>
        <w:bookmarkEnd w:id="1012"/>
        <w:t>kinh nghiệm cứu những con tàu đang chìm. Họ thường thông thạo quy trình. Họ hiểu cách xây dựng một chiến lược kinh doanh hợp lý và một kế hoạch chiến thuật mạnh mẽ. Họ biết cách tuyển dụng, trả lương, và động viên các thành viên trong nhóm. Họ cũng am hiểu những ngóc ngách phức tạp của việc lên sàn (going public)—một sự kiện mà hầu hết doanh nhân chỉ đối mặt một lần trong đời. Loại bí quyết (know-how) này đáng giá số tiền bỏ ra để có được nó.</w:t>
      </w:r>
    </w:p>
    <w:p>
      <w:pPr>
        <w:pStyle w:val="Para 003"/>
      </w:pPr>
      <w:r>
        <w:t>Có một câu nói xưa rất liên quan đến tài chính khởi nghiệp: 'Khôn quá hóa dại.' Thường thì các nhà làm thương vụ rất sáng tạo, nghĩ ra đủ loại chương trình thanh toán và quyền chọn (payoff and option schemes). Điều đó thường phản tác dụng. Kinh nghiệm của tôi đã chứng minh nhiều lần rằng các thương vụ hợp lý có sáu đặc điểm sau:</w:t>
      </w:r>
    </w:p>
    <w:p>
      <w:pPr>
        <w:pStyle w:val="11 Block"/>
      </w:pPr>
    </w:p>
    <w:p>
      <w:pPr>
        <w:pStyle w:val="Para 025"/>
      </w:pPr>
      <w:r>
        <w:bookmarkStart w:id="1013" w:name="page16_42"/>
        <w:t/>
        <w:bookmarkEnd w:id="1013"/>
        <w:t>•</w:t>
        <w:t>Chúng đơn giản.</w:t>
      </w:r>
    </w:p>
    <w:p>
      <w:pPr>
        <w:pStyle w:val="Para 025"/>
      </w:pPr>
      <w:r>
        <w:t>•</w:t>
        <w:t>Chúng công bằng.</w:t>
      </w:r>
    </w:p>
    <w:p>
      <w:pPr>
        <w:pStyle w:val="Para 025"/>
      </w:pPr>
      <w:r>
        <w:t>•</w:t>
        <w:t>Chúng nhấn mạnh sự tin tưởng hơn là ràng buộc pháp lý.</w:t>
      </w:r>
    </w:p>
    <w:p>
      <w:pPr>
        <w:pStyle w:val="Para 025"/>
      </w:pPr>
      <w:r>
        <w:t>•</w:t>
        <w:t>Chúng không vỡ vụn nếu thực tế hơi khác một chút so với kế hoạch.</w:t>
      </w:r>
    </w:p>
    <w:p>
      <w:pPr>
        <w:pStyle w:val="Para 025"/>
      </w:pPr>
      <w:r>
        <w:t/>
        <w:t>•Chúng không tạo ra các động cơ sai lệch khiến một hoặc cả hai bên hành xử theo hướng hủy hoại.</w:t>
      </w:r>
    </w:p>
    <w:p>
      <w:pPr>
        <w:pStyle w:val="Para 025"/>
      </w:pPr>
      <w:r>
        <w:t/>
        <w:t>•Chúng được viết trên một tập giấy dày không quá một phần tư inch.</w:t>
      </w:r>
    </w:p>
    <w:p>
      <w:pPr>
        <w:pStyle w:val="11 Block"/>
      </w:pPr>
    </w:p>
    <w:p>
      <w:pPr>
        <w:pStyle w:val="Para 003"/>
      </w:pPr>
      <w:r>
        <w:t xml:space="preserve">Nhưng ngay cả sáu quy tắc đơn giản này cũng bỏ sót một điểm quan trọng. Một thương vụ không nên là một thứ tĩnh tại, một văn bản một lần để</w:t>
        <w:bookmarkStart w:id="1014" w:name="page16_43"/>
        <w:t> </w:t>
        <w:bookmarkEnd w:id="1014"/>
        <w:t>thương lượng việc phân bổ một khoản tiền. Thay vào đó, các nhà khởi nghiệp có trách nhiệm, trước khi đi tìm nguồn tài trợ, phải nghĩ về việc huy động vốn (capital acquisition) như một quá trình linh hoạt—phải tính toán họ cần bao nhiêu tiền và cần khi nào.</w:t>
      </w:r>
    </w:p>
    <w:p>
      <w:pPr>
        <w:pStyle w:val="Para 003"/>
      </w:pPr>
      <w:r>
        <w:t xml:space="preserve">Làm thế nào để đạt được điều đó? Bí quyết là đội ngũ khởi nghiệp coi dự án mới như một chuỗi các thử nghiệm. Trước khi khởi chạy toàn bộ chương trình, hãy khởi động một phần nhỏ của nó. Tổ chức một nhóm tập trung (focus group) để thử nghiệm sản phẩm, xây dựng một nguyên mẫu (prototype) và quan sát nó hoạt động, triển khai một dịch vụ ở cấp khu vực hoặc địa phương. Bài tập này sẽ hé lộ bản chất kinh tế của doanh nghiệp và có thể giúp ích rất nhiều trong việc xác định dự án mới thực sự cần bao nhiêu vốn và theo những</w:t>
        <w:bookmarkStart w:id="1015" w:name="page16_44"/>
        <w:t> </w:t>
        <w:bookmarkEnd w:id="1015"/>
        <w:t>giai đoạn nào. Các nhà khởi nghiệp nên huy động đủ, và các nhà đầu tư nên đầu tư đủ, vốn để tài trợ cho từng thử nghiệm lớn. Tất nhiên, các thử nghiệm có thể cảm thấy tốn kém và rủi ro. Nhưng tôi đã thấy chúng ngăn chặn thảm họa và giúp tạo ra thành công. Tôi coi đó là điều kiện tiên quyết để tạo nên một thương vụ thành công.</w:t>
      </w:r>
    </w:p>
    <w:p>
      <w:bookmarkStart w:id="1016" w:name="BEWARE_THE_ALBATROSS"/>
      <w:pPr>
        <w:pStyle w:val="Heading 2"/>
      </w:pPr>
      <w:r>
        <w:t>HÃY COI CHỪNG CON CHIM HẢI ÂU</w:t>
      </w:r>
      <w:bookmarkEnd w:id="1016"/>
    </w:p>
    <w:p>
      <w:pPr>
        <w:pStyle w:val="Para 003"/>
      </w:pPr>
      <w:r>
        <w:t xml:space="preserve">Trong vô số tội lỗi mà những người viết kế hoạch kinh doanh mắc phải, có tội kiêu ngạo. Trong nền kinh tế ngày nay, hiếm có ý tưởng nào thực sự độc quyền. Hơn nữa, chưa từng có thời điểm nào trong lịch sử được ghi chép mà nguồn cung vốn lại không vượt xa nguồn cung cơ hội.</w:t>
        <w:bookmarkStart w:id="1017" w:name="page16_45"/>
        <w:t> C</w:t>
        <w:bookmarkEnd w:id="1017"/>
        <w:t>hu kỳ bán rã (half-life) thực tế của cơ hội đang ngày càng rút ngắn.</w:t>
      </w:r>
    </w:p>
    <w:p>
      <w:pPr>
        <w:pStyle w:val="Para 003"/>
      </w:pPr>
      <w:r>
        <w:t>Một kế hoạch kinh doanh không được trở thành con chim hải âu đeo quanh cổ đội ngũ khởi nghiệp, kéo họ xuống vực quên lãng. Thay vào đó, kế hoạch kinh doanh phải là lời kêu gọi hành động, một lời kêu gọi thừa nhận trách nhiệm của ban quản lý trong việc chủ động khắc phục những gì đang trục trặc ngay lập tức. Rủi ro là không thể tránh khỏi, tránh rủi ro là bất khả thi. Quản trị rủi ro chính là chìa khóa, luôn làm cho doanh nghiệp nghiêng về phần thưởng và tránh xa rủi ro.</w:t>
      </w:r>
    </w:p>
    <w:p>
      <w:pPr>
        <w:pStyle w:val="Para 003"/>
      </w:pPr>
      <w:r>
        <w:t xml:space="preserve">Một bản kế hoạch phải cho thấy khả năng làm chủ toàn bộ quy trình khởi nghiệp, từ việc nhận diện cơ hội cho đến thu hoạch. Nó không phải là cách để rút tiền của những nhà đầu tư thiếu cảnh giác bằng cách che giấu lỗi chí</w:t>
        <w:bookmarkStart w:id="1018" w:name="page16_46"/>
        <w:t> m</w:t>
        <w:bookmarkEnd w:id="1018"/>
        <w:t>ạng. Suy cho cùng, kẻ bị lừa duy nhất lại chính là nhà khởi nghiệp.</w:t>
      </w:r>
    </w:p>
    <w:p>
      <w:pPr>
        <w:pStyle w:val="Para 003"/>
      </w:pPr>
      <w:r>
        <w:t xml:space="preserve">Ngày nay chúng ta đang sống trong thời kỳ hoàng kim của khởi nghiệp.</w:t>
      </w:r>
      <w:r>
        <w:rPr>
          <w:rStyle w:val="Text0"/>
        </w:rPr>
        <w:t> Dù</w:t>
      </w:r>
      <w:r>
        <w:t xml:space="preserve"> các công ty trong Fortune 500 đã cắt giảm 5 triệu việc làm trong 20 năm qua, nền kinh tế nói chung lại tạo thêm gần 30 triệu việc làm. Nhiều việc làm trong số đó được tạo ra bởi các dự án khởi nghiệp, như Cisco Systems, Genentech và Microsoft. Mỗi công ty này đều khởi đầu từ một kế hoạch kinh doanh. Đó có phải là lý do họ thành công? Không ai biết chắc chắn. Nhưng gần như chắc chắn rằng việc xây dựng một kế hoạch kinh doanh đề cập một cách thấu đáo và thẳng thắn các yếu tố của sự thành công—con người, cơ hội, bối cảnh, và bức tranh rủi ro/phần thưởng—là vô cùng quan trọng. Khi không có quả cầu pha lê, một kế hoạch kinh doanh được dựng nên từ những</w:t>
      </w:r>
      <w:r>
        <w:rPr>
          <w:rStyle w:val="Text0"/>
        </w:rPr>
        <w:t> thông</w:t>
      </w:r>
      <w:r>
        <w:t xml:space="preserve"> </w:t>
        <w:bookmarkStart w:id="1019" w:name="page16_47"/>
        <w:t>t</w:t>
        <w:bookmarkEnd w:id="1019"/>
        <w:t>in và phân tích đúng đắn thực sự là công cụ không thể thiếu.</w:t>
      </w:r>
    </w:p>
    <w:p>
      <w:pPr>
        <w:pStyle w:val="Para 113"/>
      </w:pPr>
      <w:r>
        <w:t>Kế hoạch kinh doanh: Chỉ dành cho nhà khởi nghiệp?</w:t>
      </w:r>
    </w:p>
    <w:p>
      <w:pPr>
        <w:pStyle w:val="Para 005"/>
      </w:pPr>
      <w:r>
        <w:t>Bài viết kèm theo chủ yếu nói về kế hoạch kinh doanh trong một bối cảnh quen thuộc, như một công cụ của nhà khởi nghiệp. Nhưng các công ty khởi nghiệp thường được thành lập bên trong các công ty đã có sẵn. Vậy những dự án mới đó có cần kế hoạch kinh doanh không? Và nếu cần, chúng có nên khác biệt so với những kế hoạch mà các nhà khởi nghiệp tự xây dựng?</w:t>
      </w:r>
    </w:p>
    <w:p>
      <w:pPr>
        <w:pStyle w:val="Para 005"/>
      </w:pPr>
      <w:r>
        <w:t>Câu trả lời cho câu hỏi đầu tiên là một 'có' thật dứt khoát; câu trả lời cho câu hỏi thứ hai là một 'không' cũng dứt khoát tương tự. Tất cả các dự án mới—dù được cấp vốn bởi các nhà đầu tư mạo hiểm hay, như trong trường hợp kinh doanh nội bộ (intrapreneurial), bởi các cổ đông—đều cần phải vượt qua những bài kiểm tra khắc nghiệt giống nhau. Suy cho cùng, thị trường không phân biệt sản phẩm hay dịch vụ dựa trên việc ai đang âm thầm rót tiền vào chúng.</w:t>
      </w:r>
    </w:p>
    <w:p>
      <w:pPr>
        <w:pStyle w:val="Para 005"/>
      </w:pPr>
      <w:r>
        <w:bookmarkStart w:id="1020" w:name="page16_48"/>
        <w:t>Thực</w:t>
        <w:bookmarkEnd w:id="1020"/>
        <w:t> tế là, các dự án khởi nghiệp nội bộ (intrapreneurial) cũng cần được phân tích không kém gì các dự án khởi nghiệp thuần túy, nhưng chúng hiếm khi nhận được điều đó. Thay vào đó, bên trong các công ty lớn, các doanh nghiệp mới được đề xuất dưới dạng các yêu cầu lập ngân sách vốn (capital-budgeting requests). Những tài liệu vô hồn này phải chịu sự soi xét tài chính chi tiết và một quy trình tạo dựng đồng thuận, khi dự án lần lượt đi qua các cấp quản lý, điều mà tôi gọi là mô hình 'quả bom neutron' (neutron bomb) trong quản trị dự án. Tuy nhiên, trong lịch sử các đề xuất như vậy, chưa từng có một kế hoạch nào được trình lên mà lại không hứa hẹn lợi nhuận vượt qua tỷ lệ hoàn vốn tối thiểu (hurdle rate) của công ty. Chỉ khi doanh nghiệp mới được khởi động, những con số này mới phát nổ ngay trước cửa tổ chức.</w:t>
      </w:r>
    </w:p>
    <w:p>
      <w:pPr>
        <w:pStyle w:val="Para 005"/>
      </w:pPr>
      <w:r>
        <w:t xml:space="preserve">Vấn đề đó phần lớn có thể tránh được nếu các dự án khởi nghiệp nội bộ (intrapreneurial ventures) tuân theo những hướng dẫn trong bài viết kèm theo. Ví dụ, kế hoạch kinh doanh cho một dự án như vậy nên bắt đầu bằng sơ yếu lý lịch của tất cả những người liên quan. Đội ngũ đã làm được gì trong quá khứ</w:t>
        <w:bookmarkStart w:id="1021" w:name="page16_49"/>
        <w:t> </w:t>
        <w:bookmarkEnd w:id="1021"/>
        <w:t>để cho thấy họ sẽ thành công trong tương lai, v.v.? Ngoài ra, sản phẩm hoặc dịch vụ của dự án mới cần được phân tích đầy đủ về cơ hội và bối cảnh. Việc trải qua quy trình này sẽ tạo ra một kỷ luật giúp xác định sớm điểm yếu và điểm mạnh, đồng thời hỗ trợ các nhà quản lý giải quyết cả hai.</w:t>
      </w:r>
    </w:p>
    <w:p>
      <w:pPr>
        <w:pStyle w:val="Para 005"/>
      </w:pPr>
      <w:r>
        <w:t>Việc duy trì kỷ luật này sau khi dự án khởi nghiệp nội bộ cất cánh cũng giúp ích rất nhiều. Khi các nhà đầu tư mạo hiểm (venture capitalists) chuyên nghiệp đầu tư vào các công ty mới, họ theo dõi hiệu quả hoạt động như một điều đương nhiên. Nhưng tại các công ty lớn, việc giám sát một dự án mới thường thiếu nhất quán. Điều đó không nên và cũng không cần thiết. Một kế hoạch kinh doanh giúp các nhà quản lý đặt ra những câu hỏi như: Dự án mới đang hoạt động thế nào so với dự báo? Đội ngũ đã đưa ra quyết định gì khi có thông tin mới? Những thay đổi trong bối cảnh có khiến việc gọi vốn thêm trở nên cần thiết không? Làm sao đội ngũ có thể dự đoán trước những thay đổi đó? Những câu hỏi như vậy không chỉ giúp dự án mới vận hành trơn tru mà còn giúp tổ chức học hỏi từ những sai lầm và thành công.</w:t>
      </w:r>
    </w:p>
    <w:p>
      <w:pPr>
        <w:pStyle w:val="Para 005"/>
      </w:pPr>
      <w:r>
        <w:bookmarkStart w:id="1022" w:name="page16_50"/>
        <w:t>Nhiều</w:t>
        <w:bookmarkEnd w:id="1022"/>
        <w:t> công ty thành công được xây dựng nhờ sự giúp đỡ của các nhà đầu tư mạo hiểm. Nhiều cơ hội tiềm ẩn trong số đó lẽ ra đã có thể được khai thác bởi các công ty lớn. Tại sao họ không làm vậy? Có lẽ có thể rút ra những bài học hữu ích từ việc nghiên cứu thế giới của các dự án độc lập, một bài học đó là: Hãy viết một kế hoạch kinh doanh tuyệt vời.</w:t>
      </w:r>
    </w:p>
    <w:p>
      <w:pPr>
        <w:pStyle w:val="Para 113"/>
      </w:pPr>
      <w:r>
        <w:t>Vậy Những Người Này Là Ai?</w:t>
      </w:r>
    </w:p>
    <w:p>
      <w:pPr>
        <w:pStyle w:val="Para 005"/>
      </w:pPr>
      <w:r>
        <w:t>Mười bốn câu hỏi “cá nhân” mà mọi kế hoạch kinh doanh nên trả lời.</w:t>
      </w:r>
    </w:p>
    <w:p>
      <w:pPr>
        <w:pStyle w:val="05 Block"/>
      </w:pPr>
    </w:p>
    <w:p>
      <w:pPr>
        <w:pStyle w:val="Para 014"/>
      </w:pPr>
      <w:r>
        <w:t>•</w:t>
        <w:t>Những người sáng lập đến từ đâu?</w:t>
      </w:r>
    </w:p>
    <w:p>
      <w:pPr>
        <w:pStyle w:val="Para 014"/>
      </w:pPr>
      <w:r>
        <w:t/>
        <w:t>•Họ đã được đào tạo ở đâu?</w:t>
      </w:r>
    </w:p>
    <w:p>
      <w:pPr>
        <w:pStyle w:val="Para 014"/>
      </w:pPr>
      <w:r>
        <w:t/>
        <w:t>•Họ đã làm việc ở đâu—và cho ai?</w:t>
      </w:r>
    </w:p>
    <w:p>
      <w:pPr>
        <w:pStyle w:val="Para 014"/>
      </w:pPr>
      <w:r>
        <w:t>•Họ</w:t>
        <w:t> đã đạt được những gì—về mặt chuyên môn và cá nhân—trong quá khứ?</w:t>
      </w:r>
    </w:p>
    <w:p>
      <w:pPr>
        <w:pStyle w:val="Para 014"/>
      </w:pPr>
      <w:r>
        <w:bookmarkStart w:id="1023" w:name="page16_51"/>
        <w:t/>
        <w:bookmarkEnd w:id="1023"/>
        <w:t>•</w:t>
        <w:t>Danh tiếng của họ trong cộng đồng doanh nghiệp ra sao?</w:t>
      </w:r>
    </w:p>
    <w:p>
      <w:pPr>
        <w:pStyle w:val="Para 014"/>
      </w:pPr>
      <w:r>
        <w:t>•Họ</w:t>
        <w:t> có kinh nghiệm gì liên quan trực tiếp đến cơ hội mà họ đang theo đuổi?</w:t>
      </w:r>
    </w:p>
    <w:p>
      <w:pPr>
        <w:pStyle w:val="Para 014"/>
      </w:pPr>
      <w:r>
        <w:t/>
        <w:t>•Họ có những kỹ năng, năng lực và kiến thức gì?</w:t>
      </w:r>
    </w:p>
    <w:p>
      <w:pPr>
        <w:pStyle w:val="Para 014"/>
      </w:pPr>
      <w:r>
        <w:t>•Họ</w:t>
        <w:t> thực tế đến mức nào về cơ hội thành công của dự án và những khó khăn nó sẽ phải đối mặt?</w:t>
      </w:r>
    </w:p>
    <w:p>
      <w:pPr>
        <w:pStyle w:val="Para 014"/>
      </w:pPr>
      <w:r>
        <w:t>•</w:t>
        <w:t>Còn ai khác cần có trong đội ngũ?</w:t>
      </w:r>
    </w:p>
    <w:p>
      <w:pPr>
        <w:pStyle w:val="Para 014"/>
      </w:pPr>
      <w:r>
        <w:t>•Họ</w:t>
        <w:t> có sẵn sàng tuyển dụng những người giỏi không?</w:t>
      </w:r>
    </w:p>
    <w:p>
      <w:pPr>
        <w:pStyle w:val="Para 014"/>
      </w:pPr>
      <w:r>
        <w:t>•</w:t>
        <w:t>Họ sẽ ứng phó với nghịch cảnh ra sao?</w:t>
      </w:r>
    </w:p>
    <w:p>
      <w:pPr>
        <w:pStyle w:val="Para 014"/>
      </w:pPr>
      <w:r>
        <w:t>•Họ</w:t>
        <w:t> có đủ bản lĩnh để đưa ra những lựa chọn khó khăn tất yếu không?</w:t>
      </w:r>
    </w:p>
    <w:p>
      <w:pPr>
        <w:pStyle w:val="Para 014"/>
      </w:pPr>
      <w:r>
        <w:t/>
        <w:t>•Họ cam kết với dự án này đến mức nào?</w:t>
      </w:r>
    </w:p>
    <w:p>
      <w:pPr>
        <w:pStyle w:val="Para 014"/>
      </w:pPr>
      <w:r>
        <w:t/>
        <w:t>•Động lực của họ là gì?</w:t>
      </w:r>
    </w:p>
    <w:p>
      <w:pPr>
        <w:pStyle w:val="19 Block"/>
      </w:pPr>
    </w:p>
    <w:p>
      <w:pPr>
        <w:pStyle w:val="Para 113"/>
      </w:pPr>
      <w:r>
        <w:rPr>
          <w:rStyle w:val="Text1"/>
        </w:rPr>
        <w:bookmarkStart w:id="1024" w:name="page16_52"/>
        <w:t/>
        <w:bookmarkEnd w:id="1024"/>
      </w:r>
      <w:r>
        <w:t>Cơ Hội Của Cả Đời—Hay Chỉ Là Vậy?</w:t>
      </w:r>
    </w:p>
    <w:p>
      <w:pPr>
        <w:pStyle w:val="Para 005"/>
      </w:pPr>
      <w:r>
        <w:t>Chín câu hỏi về việc kinh doanh mà mọi kế hoạch kinh doanh nên trả lời.</w:t>
      </w:r>
    </w:p>
    <w:p>
      <w:pPr>
        <w:pStyle w:val="05 Block"/>
      </w:pPr>
    </w:p>
    <w:p>
      <w:pPr>
        <w:pStyle w:val="Para 014"/>
      </w:pPr>
      <w:r>
        <w:t/>
        <w:t>•Ai là khách hàng của dự án mới?</w:t>
      </w:r>
    </w:p>
    <w:p>
      <w:pPr>
        <w:pStyle w:val="Para 014"/>
      </w:pPr>
      <w:r>
        <w:t>•</w:t>
        <w:t> Khách hàng đưa ra quyết định mua sản phẩm hoặc dịch vụ này như thế nào?</w:t>
      </w:r>
    </w:p>
    <w:p>
      <w:pPr>
        <w:pStyle w:val="Para 014"/>
      </w:pPr>
      <w:r>
        <w:t>•</w:t>
        <w:t> Sản phẩm hoặc dịch vụ này hấp dẫn đến mức nào đối với quyết định mua của khách hàng?</w:t>
      </w:r>
    </w:p>
    <w:p>
      <w:pPr>
        <w:pStyle w:val="Para 014"/>
      </w:pPr>
      <w:r>
        <w:t>•</w:t>
        <w:t> Sản phẩm hoặc dịch vụ sẽ được định giá như thế nào?</w:t>
      </w:r>
    </w:p>
    <w:p>
      <w:pPr>
        <w:pStyle w:val="Para 014"/>
      </w:pPr>
      <w:r>
        <w:t>•</w:t>
        <w:t> Dự án khởi nghiệp sẽ tiếp cận tất cả các phân khúc khách hàng đã xác định bằng cách nào?</w:t>
      </w:r>
    </w:p>
    <w:p>
      <w:pPr>
        <w:pStyle w:val="Para 014"/>
      </w:pPr>
      <w:r>
        <w:t>•</w:t>
        <w:t> Chi phí để có được một khách hàng (về thời gian và nguồn lực) là bao nhiêu?</w:t>
      </w:r>
    </w:p>
    <w:p>
      <w:pPr>
        <w:pStyle w:val="Para 014"/>
      </w:pPr>
      <w:r>
        <w:t>•</w:t>
        <w:t> Chi phí để sản xuất và phân phối sản phẩm hoặc dịch vụ là bao nhiêu?</w:t>
      </w:r>
    </w:p>
    <w:p>
      <w:pPr>
        <w:pStyle w:val="Para 014"/>
      </w:pPr>
      <w:r>
        <w:t>•</w:t>
        <w:t> Chi phí để hỗ trợ một khách hàng là bao nhiêu?</w:t>
      </w:r>
    </w:p>
    <w:p>
      <w:pPr>
        <w:pStyle w:val="Para 014"/>
      </w:pPr>
      <w:r>
        <w:t>•</w:t>
        <w:t> Việc giữ chân một khách hàng dễ dàng đến mức nào?</w:t>
      </w:r>
    </w:p>
    <w:p>
      <w:pPr>
        <w:pStyle w:val="05 Block"/>
      </w:pPr>
    </w:p>
    <w:p>
      <w:pPr>
        <w:pStyle w:val="Para 113"/>
      </w:pPr>
      <w:r>
        <w:rPr>
          <w:rStyle w:val="Text1"/>
        </w:rPr>
        <w:bookmarkStart w:id="1025" w:name="page16_53"/>
        <w:t/>
        <w:bookmarkEnd w:id="1025"/>
      </w:r>
      <w:r>
        <w:t>Trực quan hóa rủi ro và lợi nhuận</w:t>
      </w:r>
    </w:p>
    <w:p>
      <w:pPr>
        <w:pStyle w:val="Para 005"/>
      </w:pPr>
      <w:r>
        <w:t xml:space="preserve">Khi nói đến vấn đề rủi ro và lợi nhuận trong một dự án khởi nghiệp, một bản kế hoạch kinh doanh sẽ được hưởng lợi rất nhiều từ việc bao gồm hai biểu đồ.</w:t>
      </w:r>
      <w:r>
        <w:rPr>
          <w:rStyle w:val="Text0"/>
        </w:rPr>
        <w:t> Có lẽ</w:t>
      </w:r>
      <w:r>
        <w:t xml:space="preserve"> "biểu đồ" là từ không chính xác; chúng thực chất chỉ là những hình ảnh sơ đồ minh họa mối quan hệ có khả năng nhất giữa rủi ro và lợi nhuận, tức là mối quan hệ giữa cơ hội và tính kinh tế của nó. Chúng không phải là thứ tài chính cao siêu, nhưng tôi nhận thấy cả hai hình ảnh này nói lên với các nhà đầu tư nhiều hơn hàng trăm trang biểu đồ và văn bản.</w:t>
      </w:r>
    </w:p>
    <w:p>
      <w:pPr>
        <w:pStyle w:val="Para 005"/>
      </w:pPr>
      <w:r>
        <w:t>Hình ảnh đầu tiên mô tả số tiền cần thiết để khởi động dự án mới, thời gian để đạt được dòng tiền dương (positive cash flow) và độ lớn dự kiến của khoản lợi nhuận thu được.</w:t>
      </w:r>
    </w:p>
    <w:p>
      <w:pPr>
        <w:pStyle w:val="Para 005"/>
      </w:pPr>
      <w:r>
        <w:t>Hình ảnh này giúp nhà đầu tư hiểu được mức độ và thời gian của dòng tiền âm (negative cash flow), cũng như mối quan hệ giữa khoản đầu tư và lợi nhuận có thể có. Không cần phải nói, lý tưởng nhất là có dòng tiền sớm và thường xuyên. Nhưng hầu hết các nhà đầu tư đều bị hấp dẫn bởi bức tranh này ngay cả khi dòng tiền ra (cash outflow) lớn và kéo dài – miễn là dòng tiền vào (cash inflow) còn lớn hơn thế.</w:t>
      </w:r>
    </w:p>
    <w:p>
      <w:pPr>
        <w:pStyle w:val="Para 178"/>
      </w:pPr>
      <w:r>
        <w:bookmarkStart w:id="1026" w:name="page16_54"/>
        <w:t/>
        <w:bookmarkEnd w:id="1026"/>
        <w:drawing>
          <wp:inline>
            <wp:extent cx="762000" cy="508000"/>
            <wp:effectExtent l="0" r="0" t="0" b="0"/>
            <wp:docPr id="40" name="page_62.jpg" descr="image"/>
            <wp:cNvGraphicFramePr>
              <a:graphicFrameLocks noChangeAspect="1"/>
            </wp:cNvGraphicFramePr>
            <a:graphic>
              <a:graphicData uri="http://schemas.openxmlformats.org/drawingml/2006/picture">
                <pic:pic>
                  <pic:nvPicPr>
                    <pic:cNvPr id="0" name="page_62.jpg" descr="image"/>
                    <pic:cNvPicPr/>
                  </pic:nvPicPr>
                  <pic:blipFill>
                    <a:blip r:embed="rId29"/>
                    <a:stretch>
                      <a:fillRect/>
                    </a:stretch>
                  </pic:blipFill>
                  <pic:spPr>
                    <a:xfrm>
                      <a:off x="0" y="0"/>
                      <a:ext cx="762000" cy="508000"/>
                    </a:xfrm>
                    <a:prstGeom prst="rect">
                      <a:avLst/>
                    </a:prstGeom>
                  </pic:spPr>
                </pic:pic>
              </a:graphicData>
            </a:graphic>
          </wp:inline>
        </w:drawing>
      </w:r>
    </w:p>
    <w:p>
      <w:pPr>
        <w:pStyle w:val="Para 005"/>
      </w:pPr>
      <w:r>
        <w:t>Tất nhiên, vì thế giới của các dự án khởi nghiệp đầy rẫy những người lạc quan hoang tưởng, bạn có thể mong đợi bức tranh này sẽ thể hiện một cái hố nông hơn và một đường dốc lợi nhuận dốc hơn so với thực tế. Nó thường như vậy. Nhưng thành thật mà nói, ngay cả loại bức tranh đó cũng nên nằm trong kế hoạch kinh doanh vì nó cảnh báo công bằng cho các nhà đầu tư rằng đội ngũ dự án khởi nghiệp hoàn toàn xa rời thực tế và nên tránh xa bằng mọi giá.</w:t>
      </w:r>
    </w:p>
    <w:p>
      <w:pPr>
        <w:pStyle w:val="Para 178"/>
      </w:pPr>
      <w:r>
        <w:bookmarkStart w:id="1027" w:name="page16_55"/>
        <w:t/>
        <w:bookmarkEnd w:id="1027"/>
        <w:drawing>
          <wp:inline>
            <wp:extent cx="635000" cy="508000"/>
            <wp:effectExtent l="0" r="0" t="0" b="0"/>
            <wp:docPr id="41" name="page_63.jpg" descr="image"/>
            <wp:cNvGraphicFramePr>
              <a:graphicFrameLocks noChangeAspect="1"/>
            </wp:cNvGraphicFramePr>
            <a:graphic>
              <a:graphicData uri="http://schemas.openxmlformats.org/drawingml/2006/picture">
                <pic:pic>
                  <pic:nvPicPr>
                    <pic:cNvPr id="0" name="page_63.jpg" descr="image"/>
                    <pic:cNvPicPr/>
                  </pic:nvPicPr>
                  <pic:blipFill>
                    <a:blip r:embed="rId30"/>
                    <a:stretch>
                      <a:fillRect/>
                    </a:stretch>
                  </pic:blipFill>
                  <pic:spPr>
                    <a:xfrm>
                      <a:off x="0" y="0"/>
                      <a:ext cx="635000" cy="508000"/>
                    </a:xfrm>
                    <a:prstGeom prst="rect">
                      <a:avLst/>
                    </a:prstGeom>
                  </pic:spPr>
                </pic:pic>
              </a:graphicData>
            </a:graphic>
          </wp:inline>
        </w:drawing>
      </w:r>
    </w:p>
    <w:p>
      <w:pPr>
        <w:pStyle w:val="Para 005"/>
      </w:pPr>
      <w:r>
        <w:t xml:space="preserve">Bức tranh thứ hai bổ sung cho bức tranh thứ nhất. Nó cho các nhà đầu tư thấy phạm vi các khoản lợi nhuận có thể đạt được và khả năng đạt được chúng. Ví dụ sau đây cho các nhà đầu tư thấy rằng có 15% khả năng họ sẽ tốt hơn nếu dùng tiền của mình để dán tường. Phần phẳng của biểu đồ cho thấy có rất ít khả năng chỉ mất một khoản tiền nhỏ; các công ty hoặc thất bại lớn hoặc tạo ra đủ giá trị để đạt được lợi nhuận dương. Phần nhô lên ở giữa cho thấy có khả năng đáng kể kiếm được từ 15% đến 45% trong cùng khoảng thời gian. Và cuối</w:t>
        <w:bookmarkStart w:id="1028" w:name="page16_56"/>
        <w:t> </w:t>
        <w:bookmarkEnd w:id="1028"/>
        <w:t>cùng, có một khả năng nhỏ rằng khoản chi ban đầu sẽ tạo ra tỷ suất hoàn vốn nội bộ (internal rate of return) 200%, điều có thể xảy ra nếu bạn đã từng đầu tư vào Microsoft khi công ty này còn là một công ty tư nhân.</w:t>
      </w:r>
    </w:p>
    <w:p>
      <w:pPr>
        <w:pStyle w:val="Para 005"/>
      </w:pPr>
      <w:r>
        <w:t>Về cơ bản, bức tranh này giúp các nhà đầu tư xác định loại hình đầu tư mà kế hoạch kinh doanh đang trình bày. Liệu dự án mới là khoan dầu ở Biển Bắc—rủi ro cao nhưng có tiềm năng sinh lời lớn—hay là đào giếng khai thác ở Texas, nơi ít đánh cược về địa chất hơn và có lẽ cũng ít sinh lời hơn? Hình ảnh này trả lời loại câu hỏi đó. Sau đó, các nhà đầu tư phải quyết định mức độ rủi ro họ muốn chấp nhận với tỷ lệ cược nào.</w:t>
      </w:r>
    </w:p>
    <w:p>
      <w:pPr>
        <w:pStyle w:val="Para 005"/>
      </w:pPr>
      <w:r>
        <w:t xml:space="preserve">Một lần nữa, những người viết kế hoạch kinh doanh có thể có khuynh hướng bóp méo bức tranh để làm cho nó trông như thể xác suất đạt được lợi nhuận đáng kể là cực kỳ lớn và khả năng thua lỗ là không đáng kể. Và, một lần nữa, tôi muốn nói rằng vẻ đẹp của bức tranh nằm ở đó. Những gì nó tuyên bố, khi đối chiếu</w:t>
        <w:bookmarkStart w:id="1029" w:name="page16_57"/>
        <w:t> </w:t>
        <w:bookmarkEnd w:id="1029"/>
        <w:t>với cảm nhận thực tế và kinh nghiệm của nhà đầu tư, nên đóng vai trò như một lời cảnh báo 'người mua hãy tự chịu trách nhiệm' (caveat emptor) đơn giản qua hình ảnh.</w:t>
      </w:r>
    </w:p>
    <w:p>
      <w:pPr>
        <w:pStyle w:val="Para 242"/>
      </w:pPr>
      <w:r>
        <w:t>Bảng thuật ngữ về kế hoạch kinh doanh</w:t>
      </w:r>
    </w:p>
    <w:tbl>
      <w:tblPr>
        <w:tblW w:type="pct" w:w="5000"/>
      </w:tblPr>
      <w:tr>
        <w:tc>
          <w:tcPr>
            <w:tcW w:type="auto" w:w="0"/>
            <w:tcBorders>
              <w:bottom w:val="single" w:sz="2" w:color="000000"/>
            </w:tcBorders>
            <w:tcMar>
              <w:top w:type="dxa" w:w="60"/>
              <w:bottom w:type="dxa" w:w="60"/>
            </w:tcMar>
            <w:vAlign w:val="top"/>
          </w:tcPr>
          <w:p>
            <w:pPr>
              <w:pStyle w:val="Para 011"/>
            </w:pPr>
            <w:r>
              <w:t xml:space="preserve"/>
              <w:br w:clear="none"/>
            </w:r>
          </w:p>
          <w:p>
            <w:pPr>
              <w:pStyle w:val="Para 179"/>
            </w:pPr>
            <w:r>
              <w:t xml:space="preserve">Họ nói gì…</w:t>
              <w:br w:clear="none"/>
            </w:r>
          </w:p>
        </w:tc>
        <w:tc>
          <w:tcPr>
            <w:tcW w:type="auto" w:w="0"/>
            <w:tcBorders>
              <w:bottom w:val="single" w:sz="2" w:color="000000"/>
            </w:tcBorders>
            <w:tcMar>
              <w:top w:type="dxa" w:w="60"/>
              <w:bottom w:type="dxa" w:w="60"/>
            </w:tcMar>
            <w:vAlign w:val="top"/>
          </w:tcPr>
          <w:p>
            <w:pPr>
              <w:pStyle w:val="Para 011"/>
            </w:pPr>
            <w:r>
              <w:t xml:space="preserve"/>
              <w:br w:clear="none"/>
            </w:r>
          </w:p>
          <w:p>
            <w:pPr>
              <w:pStyle w:val="Para 179"/>
            </w:pPr>
            <w:r>
              <w:t xml:space="preserve">và điều họ thực sự muốn nói</w:t>
              <w:br w:clear="none"/>
            </w:r>
          </w:p>
        </w:tc>
      </w:tr>
      <w:tr>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Chúng tôi dự đoán một cách thận trọng…</w:t>
              <w:br w:clear="none"/>
            </w:r>
          </w:p>
        </w:tc>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Chúng tôi đọc một cuốn sách nói rằng chúng tôi phải là công ty 50 triệu đô la trong năm năm, và chúng tôi đã tính ngược ra các con số.</w:t>
              <w:br w:clear="none"/>
            </w:r>
          </w:p>
        </w:tc>
      </w:tr>
      <w:tr>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Chúng tôi đưa ra dự đoán tốt nhất và chia cho 2.</w:t>
              <w:br w:clear="none"/>
            </w:r>
          </w:p>
        </w:tc>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Chúng tôi vô tình chia cho 0.5.</w:t>
              <w:br w:clear="none"/>
            </w:r>
          </w:p>
        </w:tc>
      </w:tr>
      <w:tr>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Chúng tôi dự kiến biên lợi nhuận 10%.</w:t>
              <w:br w:clear="none"/>
            </w:r>
          </w:p>
        </w:tc>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Chúng tôi không sửa đổi bất kỳ giả định nào trong mẫu kế</w:t>
              <w:br w:clear="none"/>
              <w:t xml:space="preserve"> hoạch kinh doanh mà chúng tôi tải từ Internet.</w:t>
              <w:br w:clear="none"/>
            </w:r>
          </w:p>
        </w:tc>
      </w:tr>
      <w:tr>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Dự án đã hoàn thành 98%.</w:t>
              <w:br w:clear="none"/>
            </w:r>
          </w:p>
        </w:tc>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Để hoàn thành 2% còn lại sẽ mất thời gian bằng thời gian đã tạo ra 98% ban đầu nhưng chi phí sẽ gấp đôi.</w:t>
              <w:br w:clear="none"/>
            </w:r>
          </w:p>
        </w:tc>
      </w:tr>
      <w:tr>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Mô hình kinh doanh của chúng tôi đã được chứng minh…</w:t>
              <w:br w:clear="none"/>
            </w:r>
          </w:p>
        </w:tc>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nếu bạn lấy bằng chứng từ tuần trước của địa điểm tốt nhất trong 50 địa điểm của chúng tôi và suy rộng cho tất cả những địa điểm khác.</w:t>
              <w:br w:clear="none"/>
            </w:r>
          </w:p>
        </w:tc>
      </w:tr>
      <w:tr>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Chúng tôi có lợi thế dẫn đầu sáu tháng.</w:t>
              <w:br w:clear="none"/>
            </w:r>
          </w:p>
        </w:tc>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Chúng tôi cố tình không tìm hiểu xem có bao nhiêu người khác cũng có lợi thế dẫn đầu sáu tháng.</w:t>
              <w:br w:clear="none"/>
            </w:r>
          </w:p>
        </w:tc>
      </w:tr>
      <w:tr>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Chúng tôi chỉ cần 10% thị phần.</w:t>
              <w:br w:clear="none"/>
            </w:r>
          </w:p>
        </w:tc>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50 đối thủ mới vào cuộc khác cũng đang được cấp vốn cũng chỉ cần vậy.</w:t>
              <w:br w:clear="none"/>
            </w:r>
          </w:p>
        </w:tc>
      </w:tr>
      <w:tr>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Khách hàng đang náo nức đòi mua sản phẩm của chúng tôi.</w:t>
              <w:br w:clear="none"/>
            </w:r>
          </w:p>
        </w:tc>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Chúng tôi chưa yêu cầu họ trả tiền. Thêm nữa, toàn bộ khách</w:t>
              <w:br w:clear="none"/>
              <w:t xml:space="preserve"> hàng hiện tại của chúng tôi đều là người thân.</w:t>
              <w:br w:clear="none"/>
            </w:r>
          </w:p>
        </w:tc>
      </w:tr>
      <w:tr>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Chúng tôi là nhà sản xuất có chi phí thấp.</w:t>
              <w:br w:clear="none"/>
            </w:r>
          </w:p>
        </w:tc>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Chúng tôi chưa sản xuất được gì cả, nhưng chúng tôi tự tin rằng mình sẽ làm được.</w:t>
              <w:br w:clear="none"/>
            </w:r>
          </w:p>
        </w:tc>
      </w:tr>
      <w:tr>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Chúng tôi không có đối thủ cạnh tranh.</w:t>
              <w:br w:clear="none"/>
            </w:r>
          </w:p>
        </w:tc>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Chỉ có IBM, Microsoft, Netscape, và Sun đã công bố kế hoạch tham gia vào lĩnh vực này.</w:t>
              <w:br w:clear="none"/>
            </w:r>
          </w:p>
        </w:tc>
      </w:tr>
      <w:tr>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Đội ngũ quản lý của chúng tôi có rất nhiều kinh nghiệm . . .</w:t>
              <w:br w:clear="none"/>
            </w:r>
          </w:p>
        </w:tc>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trong việc tiêu dùng sản phẩm hoặc dịch vụ.</w:t>
              <w:br w:clear="none"/>
            </w:r>
          </w:p>
        </w:tc>
      </w:tr>
      <w:tr>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Một nhóm nhà đầu tư chọn lọc đang xem xét kế hoạch.</w:t>
              <w:br w:clear="none"/>
            </w:r>
          </w:p>
        </w:tc>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Chúng tôi đã gửi một bản sao của kế hoạch cho tất cả mọi người trong danh bạ Pratt’s Guide.</w:t>
              <w:br w:clear="none"/>
            </w:r>
          </w:p>
        </w:tc>
      </w:tr>
      <w:tr>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Chúng tôi tìm kiếm một nhà đầu tư có giá trị gia tăng.</w:t>
              <w:br w:clear="none"/>
            </w:r>
          </w:p>
        </w:tc>
        <w:tc>
          <w:tcPr>
            <w:tcW w:type="auto" w:w="0"/>
            <w:tcBorders>
              <w:top w:val="single" w:sz="2" w:color="000000"/>
              <w:bottom w:val="single" w:sz="2" w:color="000000"/>
            </w:tcBorders>
            <w:tcMar>
              <w:top w:type="dxa" w:w="60"/>
              <w:bottom w:type="dxa" w:w="60"/>
            </w:tcMar>
            <w:vAlign w:val="top"/>
          </w:tcPr>
          <w:p>
            <w:pPr>
              <w:pStyle w:val="Para 011"/>
            </w:pPr>
            <w:r>
              <w:t xml:space="preserve"/>
              <w:br w:clear="none"/>
            </w:r>
          </w:p>
          <w:p>
            <w:pPr>
              <w:pStyle w:val="Para 005"/>
            </w:pPr>
            <w:r>
              <w:t xml:space="preserve">Chúng tôi đang tìm kiếm một nhà đầu tư thụ động, ngu như đá.</w:t>
              <w:br w:clear="none"/>
            </w:r>
          </w:p>
        </w:tc>
      </w:tr>
      <w:tr>
        <w:tc>
          <w:tcPr>
            <w:tcW w:type="auto" w:w="0"/>
            <w:tcBorders>
              <w:top w:val="single" w:sz="2" w:color="000000"/>
            </w:tcBorders>
            <w:tcMar>
              <w:top w:type="dxa" w:w="60"/>
              <w:bottom w:type="dxa" w:w="40"/>
            </w:tcMar>
            <w:vAlign w:val="top"/>
          </w:tcPr>
          <w:p>
            <w:pPr>
              <w:pStyle w:val="Para 180"/>
            </w:pPr>
            <w:r>
              <w:t xml:space="preserve"/>
              <w:br w:clear="none"/>
            </w:r>
          </w:p>
          <w:p>
            <w:pPr>
              <w:pStyle w:val="Para 005"/>
            </w:pPr>
            <w:r>
              <w:t xml:space="preserve">Nếu bạn đầu tư theo điều kiện của chúng tôi, bạn sẽ đạt được tỷ suất hoàn vốn nội bộ (IRR) 68%.</w:t>
              <w:br w:clear="none"/>
            </w:r>
          </w:p>
        </w:tc>
        <w:tc>
          <w:tcPr>
            <w:tcW w:type="auto" w:w="0"/>
            <w:tcBorders>
              <w:top w:val="single" w:sz="2" w:color="000000"/>
            </w:tcBorders>
            <w:tcMar>
              <w:top w:type="dxa" w:w="60"/>
              <w:bottom w:type="dxa" w:w="40"/>
            </w:tcMar>
            <w:vAlign w:val="top"/>
          </w:tcPr>
          <w:p>
            <w:pPr>
              <w:pStyle w:val="Para 180"/>
            </w:pPr>
            <w:r>
              <w:t xml:space="preserve"/>
              <w:br w:clear="none"/>
            </w:r>
          </w:p>
          <w:p>
            <w:pPr>
              <w:pStyle w:val="Para 005"/>
            </w:pPr>
            <w:r>
              <w:t xml:space="preserve">Nếu tất cả những gì có thể tưởng tượng được đều diễn ra suôn sẻ, bạn có thể thu hồi được vốn.</w:t>
              <w:br w:clear="none"/>
            </w:r>
          </w:p>
        </w:tc>
      </w:tr>
    </w:tbl>
    <w:p>
      <w:bookmarkStart w:id="1030" w:name="ABOUT_THE_AUTHOR_William_A__Sahl"/>
      <w:bookmarkStart w:id="1031" w:name="Top_of_16_08_about_xhtml"/>
      <w:pPr>
        <w:pStyle w:val="Para 131"/>
        <w:pageBreakBefore w:val="on"/>
      </w:pPr>
      <w:r>
        <w:bookmarkStart w:id="1032" w:name="page16_61"/>
        <w:t/>
        <w:bookmarkEnd w:id="1032"/>
        <w:t>VỀ TÁC GIẢ</w:t>
      </w:r>
      <w:bookmarkEnd w:id="1030"/>
      <w:bookmarkEnd w:id="1031"/>
    </w:p>
    <w:p>
      <w:pPr>
        <w:pStyle w:val="Para 039"/>
      </w:pPr>
      <w:r>
        <w:rPr>
          <w:rStyle w:val="Text0"/>
        </w:rPr>
        <w:t>William A. Sahlman là</w:t>
      </w:r>
      <w:r>
        <w:t xml:space="preserve"> Giáo sư Quản trị Kinh doanh Dimitri V. d’Arbeloff—Khóa 1955 tại Trường Kinh doanh Harvard. Ông đã viết nhiều bài báo về các chủ đề như quản lý khởi nghiệp (entrepreneurial management), vốn mạo hiểm và vốn cổ phần tư nhân (venture capital and private equity), cấu trúc thương vụ (deal structuring) và vai trò của khởi nghiệp trong nền kinh tế toàn cầu, đồng thời đã xuất bản hơn 150 nghiên cứu tình huống (case studies) về các doanh nghiệp khởi nghiệp trên khắp thế</w:t>
        <w:bookmarkStart w:id="1033" w:name="page16_62"/>
        <w:t> giới.</w:t>
        <w:bookmarkEnd w:id="1033"/>
      </w:r>
    </w:p>
    <w:p>
      <w:bookmarkStart w:id="1034" w:name="Top_of_16_09_also_xhtml"/>
      <w:bookmarkStart w:id="1035" w:name="ALSO_BY_THIS_AUTHOR_Harvard_Busi_5"/>
      <w:pPr>
        <w:pStyle w:val="Para 131"/>
        <w:pageBreakBefore w:val="on"/>
      </w:pPr>
      <w:r>
        <w:bookmarkStart w:id="1036" w:name="page16_63"/>
        <w:t/>
        <w:bookmarkEnd w:id="1036"/>
        <w:t>CÁC SÁCH KHÁC CỦA TÁC GIẢ NÀY</w:t>
      </w:r>
      <w:bookmarkEnd w:id="1034"/>
      <w:bookmarkEnd w:id="1035"/>
    </w:p>
    <w:p>
      <w:pPr>
        <w:pStyle w:val="Para 243"/>
      </w:pPr>
      <w:r>
        <w:t>Harvard Business Review Press Books</w:t>
      </w:r>
    </w:p>
    <w:p>
      <w:pPr>
        <w:pStyle w:val="Para 132"/>
      </w:pPr>
      <w:r>
        <w:rPr>
          <w:rStyle w:val="Text0"/>
        </w:rPr>
        <w:t>Entrepreneurial Venture, Second Edition</w:t>
      </w:r>
      <w:r>
        <w:t xml:space="preserve"> with Howard H. Stevenson, Michael J. Roberts, Amar Bhidé</w:t>
      </w:r>
    </w:p>
    <w:p>
      <w:pPr>
        <w:pStyle w:val="Para 244"/>
      </w:pPr>
      <w:r>
        <w:t>Harvard Business Review</w:t>
      </w:r>
      <w:r>
        <w:rPr>
          <w:rStyle w:val="Text0"/>
        </w:rPr>
        <w:t xml:space="preserve"> articles</w:t>
      </w:r>
    </w:p>
    <w:p>
      <w:pPr>
        <w:pStyle w:val="Para 132"/>
      </w:pPr>
      <w:r>
        <w:t>Bài bình luận “Take the Money—or Run?” cùng với George Brenkert, Sonia Lo, và Charalambos Vlachoutsicos</w:t>
      </w:r>
    </w:p>
    <w:p>
      <w:pPr>
        <w:pStyle w:val="Para 245"/>
      </w:pPr>
      <w:r>
        <w:rPr>
          <w:rStyle w:val="Text1"/>
        </w:rPr>
        <w:bookmarkStart w:id="1037" w:name="page16_64"/>
        <w:t/>
        <w:bookmarkEnd w:id="1037"/>
      </w:r>
      <w:r>
        <w:t>Harvard Business Cases</w:t>
      </w:r>
    </w:p>
    <w:p>
      <w:pPr>
        <w:pStyle w:val="Para 132"/>
      </w:pPr>
      <w:r>
        <w:t>“Some Thoughts on Business Plans”</w:t>
      </w:r>
    </w:p>
    <w:sectPr>
      <w:pgSz w:w="12240" w:h="15840"/>
      <w:pgMar w:left="1440" w:top="1440" w:right="1440" w:bottom="1440"/>
      <w:cols w:space="720"/>
      <w:docGrid w:linePitch="360"/>
    </w:sectPr>
  </w:body>
</w:document>
</file>

<file path=word/fontTable.xml><?xml version="1.0" encoding="utf-8"?>
<w:fonts xmlns:w="http://schemas.openxmlformats.org/wordprocessingml/2006/main">
  <w:font w:name="Cambria"/>
  <w:font w:name="Candara"/>
</w:fonts>
</file>

<file path=word/numbering.xml><?xml version="1.0" encoding="utf-8"?>
<w:numbering xmlns:w="http://schemas.openxmlformats.org/wordprocessingml/2006/main">
  <w:abstractNum w:abstractNumId="0">
    <w:multiLevelType w:val="hybridMultilevel"/>
    <w:name w:val="List 1"/>
    <w:lvl w:ilvl="0">
      <w:start w:val="1"/>
      <w:numFmt w:val="bullet"/>
      <w:lvlText w:val=""/>
      <w:lvlJc w:val="left"/>
      <w:pPr>
        <w:ind w:hanging="360" w:left="1152"/>
      </w:pPr>
      <w:rPr>
        <w:rFonts w:ascii="Symbol" w:hAnsi="Symbol" w:hint="default"/>
      </w:rPr>
    </w:lvl>
  </w:abstractNum>
  <w:abstractNum w:abstractNumId="1">
    <w:multiLevelType w:val="hybridMultilevel"/>
    <w:name w:val="List 2"/>
    <w:lvl w:ilvl="0">
      <w:start w:val="1"/>
      <w:numFmt w:val="bullet"/>
      <w:lvlText w:val=""/>
      <w:lvlJc w:val="left"/>
      <w:pPr>
        <w:ind w:hanging="360" w:left="1152"/>
      </w:pPr>
      <w:rPr>
        <w:rFonts w:ascii="Symbol" w:hAnsi="Symbol" w:hint="default"/>
      </w:rPr>
    </w:lvl>
  </w:abstractNum>
  <w:abstractNum w:abstractNumId="2">
    <w:multiLevelType w:val="hybridMultilevel"/>
    <w:name w:val="List 3"/>
    <w:lvl w:ilvl="0">
      <w:start w:val="1"/>
      <w:numFmt w:val="decimal"/>
      <w:lvlText w:val="%1."/>
      <w:lvlJc w:val="left"/>
      <w:pPr>
        <w:ind w:hanging="360" w:left="1152"/>
      </w:pPr>
    </w:lvl>
  </w:abstractNum>
  <w:abstractNum w:abstractNumId="3">
    <w:multiLevelType w:val="hybridMultilevel"/>
    <w:name w:val="List 4"/>
    <w:lvl w:ilvl="0">
      <w:start w:val="1"/>
      <w:numFmt w:val="decimal"/>
      <w:lvlText w:val="%1."/>
      <w:lvlJc w:val="left"/>
      <w:pPr>
        <w:ind w:hanging="360" w:left="1152"/>
      </w:pPr>
    </w:lvl>
  </w:abstractNum>
  <w:abstractNum w:abstractNumId="4">
    <w:multiLevelType w:val="hybridMultilevel"/>
    <w:name w:val="List 5"/>
    <w:lvl w:ilvl="0">
      <w:start w:val="1"/>
      <w:numFmt w:val="bullet"/>
      <w:lvlText w:val=""/>
      <w:lvlJc w:val="left"/>
      <w:pPr>
        <w:ind w:hanging="360" w:left="1152"/>
      </w:pPr>
      <w:rPr>
        <w:rFonts w:ascii="Symbol" w:hAnsi="Symbol" w:hint="default"/>
      </w:rPr>
    </w:lvl>
  </w:abstractNum>
  <w:abstractNum w:abstractNumId="5">
    <w:multiLevelType w:val="hybridMultilevel"/>
    <w:name w:val="List 6"/>
    <w:lvl w:ilvl="0">
      <w:start w:val="1"/>
      <w:numFmt w:val="bullet"/>
      <w:lvlText w:val=""/>
      <w:lvlJc w:val="left"/>
      <w:pPr>
        <w:ind w:hanging="360" w:left="1152"/>
      </w:pPr>
      <w:rPr>
        <w:rFonts w:ascii="Symbol" w:hAnsi="Symbol" w:hint="default"/>
      </w:rPr>
    </w:lvl>
  </w:abstractNum>
  <w:abstractNum w:abstractNumId="6">
    <w:multiLevelType w:val="hybridMultilevel"/>
    <w:name w:val="List 7"/>
    <w:lvl w:ilvl="0">
      <w:start w:val="1"/>
      <w:numFmt w:val="bullet"/>
      <w:lvlText w:val=""/>
      <w:lvlJc w:val="left"/>
      <w:pPr>
        <w:ind w:hanging="360" w:left="1152"/>
      </w:pPr>
      <w:rPr>
        <w:rFonts w:ascii="Symbol" w:hAnsi="Symbol" w:hint="default"/>
      </w:rPr>
    </w:lvl>
  </w:abstractNum>
  <w:abstractNum w:abstractNumId="7">
    <w:multiLevelType w:val="hybridMultilevel"/>
    <w:name w:val="List 8"/>
    <w:lvl w:ilvl="0">
      <w:start w:val="1"/>
      <w:numFmt w:val="bullet"/>
      <w:lvlText w:val=""/>
      <w:lvlJc w:val="left"/>
      <w:pPr>
        <w:ind w:hanging="360" w:left="1152"/>
      </w:pPr>
      <w:rPr>
        <w:rFonts w:ascii="Symbol" w:hAnsi="Symbol" w:hint="default"/>
      </w:rPr>
    </w:lvl>
  </w:abstractNum>
  <w:abstractNum w:abstractNumId="8">
    <w:multiLevelType w:val="hybridMultilevel"/>
    <w:name w:val="List 9"/>
    <w:lvl w:ilvl="0">
      <w:start w:val="1"/>
      <w:numFmt w:val="bullet"/>
      <w:lvlText w:val=""/>
      <w:lvlJc w:val="left"/>
      <w:pPr>
        <w:ind w:hanging="360" w:left="1152"/>
      </w:pPr>
      <w:rPr>
        <w:rFonts w:ascii="Symbol" w:hAnsi="Symbol" w:hint="default"/>
      </w:rPr>
    </w:lvl>
  </w:abstractNum>
  <w:abstractNum w:abstractNumId="9">
    <w:multiLevelType w:val="hybridMultilevel"/>
    <w:name w:val="List 10"/>
    <w:lvl w:ilvl="0">
      <w:start w:val="1"/>
      <w:numFmt w:val="bullet"/>
      <w:lvlText w:val=""/>
      <w:lvlJc w:val="left"/>
      <w:pPr>
        <w:ind w:hanging="360" w:left="1152"/>
      </w:pPr>
      <w:rPr>
        <w:rFonts w:ascii="Symbol" w:hAnsi="Symbol" w:hint="default"/>
      </w:rPr>
    </w:lvl>
  </w:abstractNum>
  <w:abstractNum w:abstractNumId="10">
    <w:multiLevelType w:val="hybridMultilevel"/>
    <w:name w:val="List 11"/>
    <w:lvl w:ilvl="0">
      <w:start w:val="1"/>
      <w:numFmt w:val="bullet"/>
      <w:lvlText w:val=""/>
      <w:lvlJc w:val="left"/>
      <w:pPr>
        <w:ind w:hanging="360" w:left="1152"/>
      </w:pPr>
      <w:rPr>
        <w:rFonts w:ascii="Symbol" w:hAnsi="Symbol" w:hint="default"/>
      </w:rPr>
    </w:lvl>
  </w:abstractNum>
  <w:abstractNum w:abstractNumId="11">
    <w:multiLevelType w:val="hybridMultilevel"/>
    <w:name w:val="List 12"/>
    <w:lvl w:ilvl="0">
      <w:start w:val="1"/>
      <w:numFmt w:val="bullet"/>
      <w:lvlText w:val=""/>
      <w:lvlJc w:val="left"/>
      <w:pPr>
        <w:ind w:hanging="360" w:left="1152"/>
      </w:pPr>
      <w:rPr>
        <w:rFonts w:ascii="Symbol" w:hAnsi="Symbol" w:hint="default"/>
      </w:rPr>
    </w:lvl>
  </w:abstractNum>
  <w:abstractNum w:abstractNumId="12">
    <w:multiLevelType w:val="hybridMultilevel"/>
    <w:name w:val="List 13"/>
    <w:lvl w:ilvl="0">
      <w:start w:val="1"/>
      <w:numFmt w:val="bullet"/>
      <w:lvlText w:val=""/>
      <w:lvlJc w:val="left"/>
      <w:pPr>
        <w:ind w:hanging="360" w:left="1152"/>
      </w:pPr>
      <w:rPr>
        <w:rFonts w:ascii="Symbol" w:hAnsi="Symbol" w:hint="default"/>
      </w:rPr>
    </w:lvl>
  </w:abstractNum>
  <w:abstractNum w:abstractNumId="13">
    <w:multiLevelType w:val="hybridMultilevel"/>
    <w:name w:val="List 14"/>
    <w:lvl w:ilvl="0">
      <w:start w:val="1"/>
      <w:numFmt w:val="decimal"/>
      <w:lvlText w:val="%1."/>
      <w:lvlJc w:val="left"/>
      <w:pPr>
        <w:ind w:hanging="360" w:left="1152"/>
      </w:pPr>
    </w:lvl>
  </w:abstractNum>
  <w:abstractNum w:abstractNumId="14">
    <w:multiLevelType w:val="hybridMultilevel"/>
    <w:name w:val="List 15"/>
    <w:lvl w:ilvl="0">
      <w:start w:val="1"/>
      <w:numFmt w:val="bullet"/>
      <w:lvlText w:val=""/>
      <w:lvlJc w:val="left"/>
      <w:pPr>
        <w:ind w:hanging="360" w:left="1152"/>
      </w:pPr>
      <w:rPr>
        <w:rFonts w:ascii="Symbol" w:hAnsi="Symbol" w:hint="default"/>
      </w:rPr>
    </w:lvl>
  </w:abstractNum>
  <w:abstractNum w:abstractNumId="15">
    <w:multiLevelType w:val="hybridMultilevel"/>
    <w:name w:val="List 16"/>
    <w:lvl w:ilvl="0">
      <w:start w:val="1"/>
      <w:numFmt w:val="bullet"/>
      <w:lvlText w:val=""/>
      <w:lvlJc w:val="left"/>
      <w:pPr>
        <w:ind w:hanging="360" w:left="1152"/>
      </w:pPr>
      <w:rPr>
        <w:rFonts w:ascii="Symbol" w:hAnsi="Symbol" w:hint="default"/>
      </w:rPr>
    </w:lvl>
  </w:abstractNum>
  <w:abstractNum w:abstractNumId="16">
    <w:multiLevelType w:val="hybridMultilevel"/>
    <w:name w:val="List 17"/>
    <w:lvl w:ilvl="0">
      <w:start w:val="1"/>
      <w:numFmt w:val="bullet"/>
      <w:lvlText w:val=""/>
      <w:lvlJc w:val="left"/>
      <w:pPr>
        <w:ind w:hanging="360" w:left="1152"/>
      </w:pPr>
      <w:rPr>
        <w:rFonts w:ascii="Symbol" w:hAnsi="Symbol" w:hint="default"/>
      </w:rPr>
    </w:lvl>
  </w:abstractNum>
  <w:abstractNum w:abstractNumId="17">
    <w:multiLevelType w:val="hybridMultilevel"/>
    <w:name w:val="List 18"/>
    <w:lvl w:ilvl="0">
      <w:start w:val="1"/>
      <w:numFmt w:val="bullet"/>
      <w:lvlText w:val=""/>
      <w:lvlJc w:val="left"/>
      <w:pPr>
        <w:ind w:hanging="360" w:left="1152"/>
      </w:pPr>
      <w:rPr>
        <w:rFonts w:ascii="Symbol" w:hAnsi="Symbol" w:hint="default"/>
      </w:rPr>
    </w:lvl>
  </w:abstractNum>
  <w:abstractNum w:abstractNumId="18">
    <w:multiLevelType w:val="hybridMultilevel"/>
    <w:name w:val="List 19"/>
    <w:lvl w:ilvl="0">
      <w:start w:val="1"/>
      <w:numFmt w:val="decimal"/>
      <w:lvlText w:val="%1."/>
      <w:lvlJc w:val="left"/>
      <w:pPr>
        <w:ind w:hanging="360" w:left="1152"/>
      </w:pPr>
    </w:lvl>
  </w:abstractNum>
  <w:abstractNum w:abstractNumId="19">
    <w:multiLevelType w:val="hybridMultilevel"/>
    <w:name w:val="List 20"/>
    <w:lvl w:ilvl="0">
      <w:start w:val="1"/>
      <w:numFmt w:val="bullet"/>
      <w:lvlText w:val=""/>
      <w:lvlJc w:val="left"/>
      <w:pPr>
        <w:ind w:hanging="360" w:left="1152"/>
      </w:pPr>
      <w:rPr>
        <w:rFonts w:ascii="Symbol" w:hAnsi="Symbol" w:hint="default"/>
      </w:rPr>
    </w:lvl>
  </w:abstractNum>
  <w:abstractNum w:abstractNumId="20">
    <w:multiLevelType w:val="hybridMultilevel"/>
    <w:name w:val="List 21"/>
    <w:lvl w:ilvl="0">
      <w:start w:val="1"/>
      <w:numFmt w:val="bullet"/>
      <w:lvlText w:val=""/>
      <w:lvlJc w:val="left"/>
      <w:pPr>
        <w:ind w:hanging="360" w:left="1152"/>
      </w:pPr>
      <w:rPr>
        <w:rFonts w:ascii="Symbol" w:hAnsi="Symbol" w:hint="default"/>
      </w:rPr>
    </w:lvl>
  </w:abstractNum>
  <w:abstractNum w:abstractNumId="21">
    <w:multiLevelType w:val="hybridMultilevel"/>
    <w:name w:val="List 22"/>
    <w:lvl w:ilvl="0">
      <w:start w:val="1"/>
      <w:numFmt w:val="bullet"/>
      <w:lvlText w:val=""/>
      <w:lvlJc w:val="left"/>
      <w:pPr>
        <w:ind w:hanging="360" w:left="1152"/>
      </w:pPr>
      <w:rPr>
        <w:rFonts w:ascii="Symbol" w:hAnsi="Symbol" w:hint="default"/>
      </w:rPr>
    </w:lvl>
  </w:abstractNum>
  <w:abstractNum w:abstractNumId="22">
    <w:multiLevelType w:val="hybridMultilevel"/>
    <w:name w:val="List 23"/>
    <w:lvl w:ilvl="0">
      <w:start w:val="1"/>
      <w:numFmt w:val="bullet"/>
      <w:lvlText w:val=""/>
      <w:lvlJc w:val="left"/>
      <w:pPr>
        <w:ind w:hanging="360" w:left="1152"/>
      </w:pPr>
      <w:rPr>
        <w:rFonts w:ascii="Symbol" w:hAnsi="Symbol" w:hint="default"/>
      </w:rPr>
    </w:lvl>
  </w:abstractNum>
  <w:abstractNum w:abstractNumId="23">
    <w:multiLevelType w:val="hybridMultilevel"/>
    <w:name w:val="List 24"/>
    <w:lvl w:ilvl="0">
      <w:start w:val="1"/>
      <w:numFmt w:val="decimal"/>
      <w:lvlText w:val="%1."/>
      <w:lvlJc w:val="left"/>
      <w:pPr>
        <w:ind w:hanging="360" w:left="1152"/>
      </w:pPr>
    </w:lvl>
  </w:abstractNum>
  <w:abstractNum w:abstractNumId="24">
    <w:multiLevelType w:val="hybridMultilevel"/>
    <w:name w:val="List 25"/>
    <w:lvl w:ilvl="0">
      <w:start w:val="1"/>
      <w:numFmt w:val="bullet"/>
      <w:lvlText w:val=""/>
      <w:lvlJc w:val="left"/>
      <w:pPr>
        <w:ind w:hanging="360" w:left="1152"/>
      </w:pPr>
      <w:rPr>
        <w:rFonts w:ascii="Symbol" w:hAnsi="Symbol" w:hint="default"/>
      </w:rPr>
    </w:lvl>
  </w:abstractNum>
  <w:abstractNum w:abstractNumId="25">
    <w:multiLevelType w:val="hybridMultilevel"/>
    <w:name w:val="List 26"/>
    <w:lvl w:ilvl="0">
      <w:start w:val="1"/>
      <w:numFmt w:val="bullet"/>
      <w:lvlText w:val=""/>
      <w:lvlJc w:val="left"/>
      <w:pPr>
        <w:ind w:hanging="360" w:left="1152"/>
      </w:pPr>
      <w:rPr>
        <w:rFonts w:ascii="Symbol" w:hAnsi="Symbol" w:hint="default"/>
      </w:rPr>
    </w:lvl>
  </w:abstractNum>
  <w:abstractNum w:abstractNumId="26">
    <w:multiLevelType w:val="hybridMultilevel"/>
    <w:name w:val="List 27"/>
    <w:lvl w:ilvl="0">
      <w:start w:val="1"/>
      <w:numFmt w:val="decimal"/>
      <w:lvlText w:val="%1."/>
      <w:lvlJc w:val="left"/>
      <w:pPr>
        <w:ind w:hanging="360" w:left="1152"/>
      </w:pPr>
    </w:lvl>
  </w:abstractNum>
  <w:abstractNum w:abstractNumId="27">
    <w:multiLevelType w:val="hybridMultilevel"/>
    <w:name w:val="List 28"/>
    <w:lvl w:ilvl="0">
      <w:start w:val="1"/>
      <w:numFmt w:val="bullet"/>
      <w:lvlText w:val=""/>
      <w:lvlJc w:val="left"/>
      <w:pPr>
        <w:ind w:hanging="360" w:left="1152"/>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bering>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 w:eastAsia="en" w:bidi="en"/>
      </w:rPr>
    </w:rPrDefault>
    <w:pPrDefault>
      <w:pPr>
        <w:spacing w:after="0" w:line="276" w:lineRule="auto"/>
      </w:pPr>
    </w:pPrDefault>
  </w:docDefaults>
  <w:style w:styleId="Normal" w:type="paragraph" w:default="1">
    <w:name w:val="Normal"/>
    <w:qFormat/>
    <w:pPr>
      <w:spacing w:line="384" w:lineRule="atLeast"/>
      <w:jc w:val="left"/>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01" w:type="paragraph">
    <w:name w:val="Para 001"/>
    <w:qFormat/>
    <w:basedOn w:val="Normal"/>
    <w:pPr>
      <w:spacing w:beforeLines="20"/>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02" w:type="paragraph">
    <w:name w:val="Para 002"/>
    <w:qFormat/>
    <w:basedOn w:val="Normal"/>
    <w:pPr>
      <w:spacing w:line="431" w:lineRule="atLeast"/>
    </w:pPr>
    <w:rPr>
      <w:sz w:val="36"/>
      <w:szCs w:val="36"/>
    </w:rPr>
  </w:style>
  <w:style w:styleId="Para 003" w:type="paragraph">
    <w:name w:val="Para 003"/>
    <w:qFormat/>
    <w:basedOn w:val="Normal"/>
    <w:pPr>
      <w:spacing w:beforeLines="20" w:afterLines="20"/>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04" w:type="paragraph">
    <w:name w:val="Para 004"/>
    <w:qFormat/>
    <w:basedOn w:val="Normal"/>
    <w:pPr>
      <w:pBdr>
        <w:left w:val="none" w:sz="0" w:color="auto"/>
        <w:top w:val="none" w:sz="0" w:color="auto"/>
        <w:right w:val="none" w:sz="0" w:color="auto"/>
        <w:bottom w:val="none" w:sz="0" w:color="auto"/>
      </w:pBdr>
    </w:pPr>
    <w:rPr>
      <w:rFonts w:ascii="Candara" w:cs="Candara" w:eastAsia="Candara" w:hAnsi="Candara"/>
      <w:vertAlign w:val="superscript"/>
    </w:rPr>
  </w:style>
  <w:style w:styleId="Para 005" w:type="paragraph">
    <w:name w:val="Para 005"/>
    <w:qFormat/>
    <w:basedOn w:val="Normal"/>
    <w:pPr>
      <w:spacing w:beforeLines="20" w:afterLines="20"/>
    </w:pPr>
    <w:rPr>
      <w:rFonts w:ascii="Candara" w:cs="Candara" w:eastAsia="Candara" w:hAnsi="Candara"/>
      <w:sz w:val="24"/>
      <w:szCs w:val="24"/>
    </w:rPr>
  </w:style>
  <w:style w:styleId="Para 006" w:type="paragraph">
    <w:name w:val="Para 006"/>
    <w:qFormat/>
    <w:basedOn w:val="Normal"/>
    <w:pPr>
      <w:spacing w:beforeLines="100" w:line="336" w:lineRule="atLeast"/>
    </w:pPr>
    <w:rPr>
      <w:sz w:val="28"/>
      <w:szCs w:val="28"/>
    </w:rPr>
  </w:style>
  <w:style w:styleId="Para 007" w:type="paragraph">
    <w:name w:val="Para 007"/>
    <w:qFormat/>
    <w:basedOn w:val="Normal"/>
    <w:pPr>
      <w:jc w:val="both"/>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08" w:type="paragraph">
    <w:name w:val="Para 008"/>
    <w:qFormat/>
    <w:basedOn w:val="Normal"/>
    <w:pPr>
      <w:spacing w:beforeLines="100"/>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09" w:type="paragraph">
    <w:name w:val="Para 009"/>
    <w:qFormat/>
    <w:basedOn w:val="Normal"/>
    <w:pPr>
      <w:spacing w:line="384" w:lineRule="atLeast"/>
      <w:jc w:val="left"/>
    </w:pPr>
    <w:rPr>
      <w:rFonts w:ascii="Candara" w:cs="Candara" w:eastAsia="Candara" w:hAnsi="Candara"/>
    </w:rPr>
  </w:style>
  <w:style w:styleId="Para 010" w:type="paragraph">
    <w:name w:val="Para 010"/>
    <w:qFormat/>
    <w:basedOn w:val="Normal"/>
    <w:pPr>
      <w:spacing w:line="336" w:lineRule="atLeast"/>
    </w:pPr>
    <w:rPr>
      <w:sz w:val="28"/>
      <w:szCs w:val="28"/>
    </w:rPr>
  </w:style>
  <w:style w:styleId="Para 011" w:type="paragraph">
    <w:name w:val="Para 011"/>
    <w:qFormat/>
    <w:basedOn w:val="Normal"/>
    <w:pPr>
      <w:spacing w:beforeLines="20"/>
      <w:ind w:leftChars="20"/>
      <w:pBdr>
        <w:left w:val="none" w:sz="0" w:color="auto"/>
        <w:top w:val="none" w:sz="0" w:color="auto"/>
        <w:right w:val="none" w:sz="0" w:color="auto"/>
        <w:bottom w:val="none" w:sz="0" w:color="000000"/>
      </w:pBdr>
    </w:pPr>
    <w:rPr>
      <w:rFonts w:ascii="Candara" w:cs="Candara" w:eastAsia="Candara" w:hAnsi="Candara"/>
      <w:sz w:val="24"/>
      <w:szCs w:val="24"/>
      <w:vertAlign w:val="superscript"/>
    </w:rPr>
  </w:style>
  <w:style w:styleId="Para 012" w:type="paragraph">
    <w:name w:val="Para 012"/>
    <w:qFormat/>
    <w:basedOn w:val="Normal"/>
    <w:pPr>
      <w:spacing w:beforeLines="30" w:line="431" w:lineRule="atLeast"/>
      <w:jc w:val="center"/>
    </w:pPr>
    <w:rPr>
      <w:sz w:val="36"/>
      <w:szCs w:val="36"/>
    </w:rPr>
  </w:style>
  <w:style w:styleId="Para 013" w:type="paragraph">
    <w:name w:val="Para 013"/>
    <w:qFormat/>
    <w:basedOn w:val="Normal"/>
    <w:pPr>
      <w:spacing w:afterLines="100"/>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14" w:type="paragraph">
    <w:name w:val="Para 014"/>
    <w:qFormat/>
    <w:basedOn w:val="Normal"/>
    <w:pPr>
      <w:spacing w:afterLines="50"/>
      <w:ind w:leftChars="250" w:rightChars="100"/>
    </w:pPr>
    <w:rPr>
      <w:rFonts w:ascii="Candara" w:cs="Candara" w:eastAsia="Candara" w:hAnsi="Candara"/>
      <w:sz w:val="24"/>
      <w:szCs w:val="24"/>
    </w:rPr>
  </w:style>
  <w:style w:styleId="Para 015" w:type="paragraph">
    <w:name w:val="Para 015"/>
    <w:qFormat/>
    <w:basedOn w:val="Normal"/>
    <w:pPr>
      <w:pBdr>
        <w:left w:val="none" w:sz="0" w:color="auto"/>
        <w:top w:val="none" w:sz="0" w:color="auto"/>
        <w:right w:val="none" w:sz="0" w:color="auto"/>
        <w:bottom w:val="none" w:sz="0" w:color="auto"/>
      </w:pBdr>
    </w:pPr>
    <w:rPr>
      <w:rFonts w:ascii="Candara" w:cs="Candara" w:eastAsia="Candara" w:hAnsi="Candara"/>
      <w:b w:val="on"/>
      <w:bCs w:val="on"/>
    </w:rPr>
  </w:style>
  <w:style w:styleId="Para 016" w:type="paragraph">
    <w:name w:val="Para 016"/>
    <w:qFormat/>
    <w:basedOn w:val="Normal"/>
    <w:pPr>
      <w:pBdr>
        <w:left w:val="none" w:sz="0" w:color="auto"/>
        <w:top w:val="none" w:sz="0" w:color="auto"/>
        <w:right w:val="none" w:sz="0" w:color="auto"/>
        <w:bottom w:val="none" w:sz="0" w:color="auto"/>
      </w:pBdr>
    </w:pPr>
    <w:rPr>
      <w:vertAlign w:val="superscript"/>
    </w:rPr>
  </w:style>
  <w:style w:styleId="Para 017" w:type="paragraph">
    <w:name w:val="Para 017"/>
    <w:qFormat/>
    <w:basedOn w:val="Normal"/>
    <w:pPr>
      <w:spacing w:beforeLines="100" w:afterLines="100"/>
      <w:pBdr>
        <w:left w:space="8"/>
      </w:pBdr>
    </w:pPr>
    <w:rPr>
      <w:rFonts w:ascii="Candara" w:cs="Candara" w:eastAsia="Candara" w:hAnsi="Candara"/>
    </w:rPr>
  </w:style>
  <w:style w:styleId="Para 018" w:type="paragraph">
    <w:name w:val="Para 018"/>
    <w:qFormat/>
    <w:basedOn w:val="Normal"/>
    <w:pPr>
      <w:spacing w:beforeLines="100" w:afterLines="100" w:line="336" w:lineRule="atLeast"/>
    </w:pPr>
    <w:rPr>
      <w:rFonts w:ascii="Candara" w:cs="Candara" w:eastAsia="Candara" w:hAnsi="Candara"/>
      <w:sz w:val="28"/>
      <w:szCs w:val="28"/>
    </w:rPr>
  </w:style>
  <w:style w:styleId="Heading 2" w:type="paragraph">
    <w:name w:val="Heading 2"/>
    <w:qFormat/>
    <w:basedOn w:val="Normal"/>
    <w:pPr>
      <w:spacing w:beforeLines="200" w:afterLines="100" w:line="431" w:lineRule="atLeast"/>
      <w:outlineLvl w:val="2"/>
    </w:pPr>
    <w:rPr>
      <w:sz w:val="36"/>
      <w:szCs w:val="36"/>
    </w:rPr>
  </w:style>
  <w:style w:styleId="Para 020" w:type="paragraph">
    <w:name w:val="Para 020"/>
    <w:qFormat/>
    <w:basedOn w:val="Normal"/>
    <w:pPr>
      <w:spacing w:beforeLines="100" w:afterLines="100" w:line="336" w:lineRule="atLeast"/>
      <w:jc w:val="both"/>
    </w:pPr>
    <w:rPr>
      <w:sz w:val="28"/>
      <w:szCs w:val="28"/>
    </w:rPr>
  </w:style>
  <w:style w:styleId="Para 021" w:type="paragraph">
    <w:name w:val="Para 021"/>
    <w:qFormat/>
    <w:basedOn w:val="Normal"/>
    <w:pPr>
      <w:shd w:val="clear" w:color="auto" w:fill="E5E5E5"/>
    </w:pPr>
    <w:rPr>
      <w:rFonts w:ascii="Candara" w:cs="Candara" w:eastAsia="Candara" w:hAnsi="Candara"/>
    </w:rPr>
  </w:style>
  <w:style w:styleId="Heading 4" w:type="paragraph">
    <w:name w:val="Heading 4"/>
    <w:qFormat/>
    <w:basedOn w:val="Normal"/>
    <w:pPr>
      <w:spacing w:beforeLines="100" w:afterLines="50" w:line="431" w:lineRule="atLeast"/>
      <w:outlineLvl w:val="4"/>
    </w:pPr>
    <w:rPr>
      <w:sz w:val="36"/>
      <w:szCs w:val="36"/>
      <w:i w:val="on"/>
      <w:iCs w:val="on"/>
    </w:rPr>
  </w:style>
  <w:style w:styleId="Para 023" w:type="paragraph">
    <w:name w:val="Para 023"/>
    <w:qFormat/>
    <w:basedOn w:val="Normal"/>
    <w:pPr>
      <w:spacing w:beforeLines="50"/>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24" w:type="paragraph">
    <w:name w:val="Para 024"/>
    <w:qFormat/>
    <w:basedOn w:val="Normal"/>
    <w:pPr>
      <w:spacing w:beforeLines="70"/>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25" w:type="paragraph">
    <w:name w:val="Para 025"/>
    <w:qFormat/>
    <w:basedOn w:val="Normal"/>
    <w:pPr>
      <w:spacing w:afterLines="80"/>
      <w:ind w:leftChars="240" w:rightChars="100"/>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26" w:type="paragraph">
    <w:name w:val="Para 026"/>
    <w:qFormat/>
    <w:basedOn w:val="Normal"/>
    <w:pPr>
      <w:spacing w:beforeLines="100" w:afterLines="200" w:line="480" w:lineRule="atLeast"/>
      <w:jc w:val="center"/>
    </w:pPr>
    <w:rPr>
      <w:sz w:val="40"/>
      <w:szCs w:val="40"/>
    </w:rPr>
  </w:style>
  <w:style w:styleId="Para 027" w:type="paragraph">
    <w:name w:val="Para 027"/>
    <w:qFormat/>
    <w:basedOn w:val="Normal"/>
    <w:pPr>
      <w:spacing w:afterLines="25" w:line="431" w:lineRule="atLeast"/>
    </w:pPr>
    <w:rPr>
      <w:sz w:val="36"/>
      <w:szCs w:val="36"/>
      <w:color w:val="0000FF"/>
      <w:u w:val="solid"/>
    </w:rPr>
  </w:style>
  <w:style w:styleId="Para 028" w:type="paragraph">
    <w:name w:val="Para 028"/>
    <w:qFormat/>
    <w:basedOn w:val="Normal"/>
    <w:pPr>
      <w:spacing w:afterLines="75" w:line="431" w:lineRule="atLeast"/>
    </w:pPr>
    <w:rPr>
      <w:sz w:val="36"/>
      <w:szCs w:val="36"/>
      <w:i w:val="on"/>
      <w:iCs w:val="on"/>
    </w:rPr>
  </w:style>
  <w:style w:styleId="Para 029" w:type="paragraph">
    <w:name w:val="Para 029"/>
    <w:qFormat/>
    <w:basedOn w:val="Normal"/>
    <w:pPr>
      <w:spacing w:beforeLines="250" w:afterLines="100" w:line="431" w:lineRule="atLeast"/>
    </w:pPr>
    <w:rPr>
      <w:sz w:val="36"/>
      <w:szCs w:val="36"/>
    </w:rPr>
  </w:style>
  <w:style w:styleId="Para 030" w:type="paragraph">
    <w:name w:val="Para 030"/>
    <w:qFormat/>
    <w:basedOn w:val="Normal"/>
    <w:pPr>
      <w:shd w:val="clear" w:color="auto" w:fill="E5E5E5"/>
      <w:jc w:val="both"/>
    </w:pPr>
    <w:rPr>
      <w:rFonts w:ascii="Candara" w:cs="Candara" w:eastAsia="Candara" w:hAnsi="Candara"/>
    </w:rPr>
  </w:style>
  <w:style w:styleId="Para 031" w:type="paragraph">
    <w:name w:val="Para 031"/>
    <w:qFormat/>
    <w:basedOn w:val="Normal"/>
    <w:pPr>
      <w:spacing w:line="364" w:lineRule="atLeast"/>
    </w:pPr>
    <w:rPr>
      <w:sz w:val="28"/>
      <w:szCs w:val="28"/>
    </w:rPr>
  </w:style>
  <w:style w:styleId="Para 032" w:type="paragraph">
    <w:name w:val="Para 032"/>
    <w:qFormat/>
    <w:basedOn w:val="Normal"/>
    <w:pPr>
      <w:spacing w:beforeLines="300" w:line="480" w:lineRule="atLeast"/>
      <w:jc w:val="center"/>
    </w:pPr>
    <w:rPr>
      <w:sz w:val="40"/>
      <w:szCs w:val="40"/>
    </w:rPr>
  </w:style>
  <w:style w:styleId="Para 033" w:type="paragraph">
    <w:name w:val="Para 033"/>
    <w:qFormat/>
    <w:basedOn w:val="Normal"/>
    <w:pPr>
      <w:spacing w:beforeLines="50" w:afterLines="300" w:line="431" w:lineRule="atLeast"/>
      <w:jc w:val="center"/>
    </w:pPr>
    <w:rPr>
      <w:sz w:val="36"/>
      <w:szCs w:val="36"/>
      <w:i w:val="on"/>
      <w:iCs w:val="on"/>
    </w:rPr>
  </w:style>
  <w:style w:styleId="Para 034" w:type="paragraph">
    <w:name w:val="Para 034"/>
    <w:qFormat/>
    <w:basedOn w:val="Normal"/>
    <w:pPr>
      <w:spacing w:beforeLines="10" w:line="336" w:lineRule="atLeast"/>
    </w:pPr>
    <w:rPr>
      <w:sz w:val="28"/>
      <w:szCs w:val="28"/>
    </w:rPr>
  </w:style>
  <w:style w:styleId="Para 035" w:type="paragraph">
    <w:name w:val="Para 035"/>
    <w:qFormat/>
    <w:basedOn w:val="Normal"/>
    <w:pPr>
      <w:spacing w:line="336" w:lineRule="atLeast"/>
    </w:pPr>
    <w:rPr>
      <w:rFonts w:ascii="Candara" w:cs="Candara" w:eastAsia="Candara" w:hAnsi="Candara"/>
      <w:sz w:val="28"/>
      <w:szCs w:val="28"/>
    </w:rPr>
  </w:style>
  <w:style w:styleId="Para 036" w:type="paragraph">
    <w:name w:val="Para 036"/>
    <w:qFormat/>
    <w:basedOn w:val="Normal"/>
    <w:pPr>
      <w:spacing w:beforeLines="50" w:afterLines="200" w:line="528" w:lineRule="atLeast"/>
      <w:jc w:val="center"/>
    </w:pPr>
    <w:rPr>
      <w:sz w:val="44"/>
      <w:szCs w:val="44"/>
      <w:spacing w:val="4"/>
    </w:rPr>
  </w:style>
  <w:style w:styleId="Para 037" w:type="paragraph">
    <w:name w:val="Para 037"/>
    <w:qFormat/>
    <w:basedOn w:val="Normal"/>
    <w:pPr>
      <w:spacing w:beforeLines="150" w:afterLines="100" w:line="431" w:lineRule="atLeast"/>
    </w:pPr>
    <w:rPr>
      <w:sz w:val="36"/>
      <w:szCs w:val="36"/>
    </w:rPr>
  </w:style>
  <w:style w:styleId="Para 038" w:type="paragraph">
    <w:name w:val="Para 038"/>
    <w:qFormat/>
    <w:basedOn w:val="Normal"/>
    <w:pPr>
      <w:spacing w:afterLines="40" w:line="288" w:lineRule="atLeast"/>
      <w:ind w:leftChars="320" w:rightChars="100"/>
    </w:pPr>
    <w:rPr>
      <w:rFonts w:ascii="Candara" w:cs="Candara" w:eastAsia="Candara" w:hAnsi="Candara"/>
      <w:sz w:val="24"/>
      <w:szCs w:val="24"/>
    </w:rPr>
  </w:style>
  <w:style w:styleId="Para 039" w:type="paragraph">
    <w:name w:val="Para 039"/>
    <w:qFormat/>
    <w:basedOn w:val="Normal"/>
    <w:pPr>
      <w:spacing w:beforeLines="20" w:afterLines="20" w:line="336" w:lineRule="atLeast"/>
    </w:pPr>
    <w:rPr>
      <w:sz w:val="28"/>
      <w:szCs w:val="28"/>
    </w:rPr>
  </w:style>
  <w:style w:styleId="Para 040" w:type="paragraph">
    <w:name w:val="Para 040"/>
    <w:qFormat/>
    <w:basedOn w:val="Normal"/>
    <w:pPr>
      <w:spacing w:beforeLines="150" w:afterLines="100" w:line="480" w:lineRule="atLeast"/>
    </w:pPr>
    <w:rPr>
      <w:sz w:val="40"/>
      <w:szCs w:val="40"/>
    </w:rPr>
  </w:style>
  <w:style w:styleId="Para 041" w:type="paragraph">
    <w:name w:val="Para 041"/>
    <w:qFormat/>
    <w:basedOn w:val="Normal"/>
    <w:pPr>
      <w:spacing w:beforeLines="100" w:afterLines="100"/>
      <w:ind w:leftChars="100"/>
      <w:jc w:val="both"/>
    </w:pPr>
    <w:rPr>
      <w:i w:val="on"/>
      <w:iCs w:val="on"/>
    </w:rPr>
  </w:style>
  <w:style w:styleId="Para 042" w:type="paragraph">
    <w:name w:val="Para 042"/>
    <w:qFormat/>
    <w:basedOn w:val="Normal"/>
    <w:pPr>
      <w:spacing w:line="384" w:lineRule="atLeast"/>
      <w:jc w:val="left"/>
    </w:pPr>
    <w:rPr>
      <w:sz w:val="24"/>
      <w:szCs w:val="24"/>
    </w:rPr>
  </w:style>
  <w:style w:styleId="Para 043" w:type="paragraph">
    <w:name w:val="Para 043"/>
    <w:qFormat/>
    <w:basedOn w:val="Normal"/>
    <w:pPr>
      <w:spacing w:beforeLines="70"/>
    </w:pPr>
    <w:rPr>
      <w:rFonts w:ascii="Candara" w:cs="Candara" w:eastAsia="Candara" w:hAnsi="Candara"/>
    </w:rPr>
  </w:style>
  <w:style w:styleId="Para 044" w:type="paragraph">
    <w:name w:val="Para 044"/>
    <w:qFormat/>
    <w:basedOn w:val="Normal"/>
    <w:pPr>
      <w:spacing w:beforeLines="50" w:line="336" w:lineRule="atLeast"/>
    </w:pPr>
    <w:rPr>
      <w:sz w:val="28"/>
      <w:szCs w:val="28"/>
    </w:rPr>
  </w:style>
  <w:style w:styleId="Para 045" w:type="paragraph">
    <w:name w:val="Para 045"/>
    <w:qFormat/>
    <w:basedOn w:val="Normal"/>
    <w:pPr>
      <w:spacing w:beforeLines="50" w:afterLines="50" w:line="431" w:lineRule="atLeast"/>
      <w:ind w:leftChars="130"/>
    </w:pPr>
    <w:rPr>
      <w:sz w:val="36"/>
      <w:szCs w:val="36"/>
      <w:color w:val="0000FF"/>
      <w:u w:val="solid"/>
    </w:rPr>
  </w:style>
  <w:style w:styleId="Para 046" w:type="paragraph">
    <w:name w:val="Para 046"/>
    <w:qFormat/>
    <w:basedOn w:val="Normal"/>
    <w:pPr>
      <w:spacing w:beforeLines="130" w:afterLines="80" w:line="480" w:lineRule="atLeast"/>
    </w:pPr>
    <w:rPr>
      <w:sz w:val="40"/>
      <w:szCs w:val="40"/>
      <w:i w:val="on"/>
      <w:iCs w:val="on"/>
    </w:rPr>
  </w:style>
  <w:style w:styleId="Para 047" w:type="paragraph">
    <w:name w:val="Para 047"/>
    <w:qFormat/>
    <w:basedOn w:val="Normal"/>
    <w:pPr>
      <w:spacing w:beforeLines="150" w:afterLines="70"/>
      <w:ind w:leftChars="100"/>
    </w:pPr>
    <w:rPr>
      <w:i w:val="on"/>
      <w:iCs w:val="on"/>
    </w:rPr>
  </w:style>
  <w:style w:styleId="Para 048" w:type="paragraph">
    <w:name w:val="Para 048"/>
    <w:qFormat/>
    <w:basedOn w:val="Normal"/>
    <w:pPr>
      <w:spacing w:beforeLines="300"/>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49" w:type="paragraph">
    <w:name w:val="Para 049"/>
    <w:qFormat/>
    <w:basedOn w:val="Normal"/>
    <w:pPr>
      <w:spacing w:beforeLines="70"/>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50" w:type="paragraph">
    <w:name w:val="Para 050"/>
    <w:qFormat/>
    <w:basedOn w:val="Normal"/>
    <w:pPr>
      <w:spacing w:beforeLines="100" w:afterLines="100"/>
      <w:ind w:leftChars="100"/>
      <w:jc w:val="both"/>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51" w:type="paragraph">
    <w:name w:val="Para 051"/>
    <w:qFormat/>
    <w:basedOn w:val="Normal"/>
    <w:pPr>
      <w:ind w:leftChars="150" w:rightChars="150"/>
      <w:jc w:val="both"/>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52" w:type="paragraph">
    <w:name w:val="Para 052"/>
    <w:qFormat/>
    <w:basedOn w:val="Normal"/>
    <w:pPr>
      <w:spacing w:beforeLines="400" w:line="576" w:lineRule="atLeast"/>
      <w:jc w:val="center"/>
    </w:pPr>
    <w:rPr>
      <w:sz w:val="48"/>
      <w:szCs w:val="48"/>
    </w:rPr>
  </w:style>
  <w:style w:styleId="Para 053" w:type="paragraph">
    <w:name w:val="Para 053"/>
    <w:qFormat/>
    <w:basedOn w:val="Normal"/>
    <w:pPr>
      <w:spacing w:beforeLines="400" w:afterLines="200" w:line="576" w:lineRule="atLeast"/>
      <w:jc w:val="center"/>
    </w:pPr>
    <w:rPr>
      <w:sz w:val="48"/>
      <w:szCs w:val="48"/>
    </w:rPr>
  </w:style>
  <w:style w:styleId="Heading 3" w:type="paragraph">
    <w:name w:val="Heading 3"/>
    <w:qFormat/>
    <w:basedOn w:val="Normal"/>
    <w:pPr>
      <w:spacing w:beforeLines="150" w:afterLines="80" w:line="431" w:lineRule="atLeast"/>
      <w:ind w:leftChars="100"/>
      <w:outlineLvl w:val="3"/>
    </w:pPr>
    <w:rPr>
      <w:sz w:val="36"/>
      <w:szCs w:val="36"/>
      <w:i w:val="on"/>
      <w:iCs w:val="on"/>
    </w:rPr>
  </w:style>
  <w:style w:styleId="Para 055" w:type="paragraph">
    <w:name w:val="Para 055"/>
    <w:qFormat/>
    <w:basedOn w:val="Normal"/>
    <w:pPr>
      <w:spacing w:beforeLines="150"/>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56" w:type="paragraph">
    <w:name w:val="Para 056"/>
    <w:qFormat/>
    <w:basedOn w:val="Normal"/>
    <w:pPr>
      <w:spacing w:beforeLines="30"/>
    </w:pPr>
    <w:rPr>
      <w:rFonts w:ascii="Candara" w:cs="Candara" w:eastAsia="Candara" w:hAnsi="Candara"/>
    </w:rPr>
  </w:style>
  <w:style w:styleId="Para 057" w:type="paragraph">
    <w:name w:val="Para 057"/>
    <w:qFormat/>
    <w:basedOn w:val="Normal"/>
    <w:pPr>
      <w:spacing w:afterLines="80" w:line="336" w:lineRule="atLeast"/>
      <w:ind w:leftChars="229" w:rightChars="100"/>
      <w:shd w:val="clear" w:color="auto" w:fill="E5E5E5"/>
      <w:jc w:val="both"/>
    </w:pPr>
    <w:rPr>
      <w:rFonts w:ascii="Candara" w:cs="Candara" w:eastAsia="Candara" w:hAnsi="Candara"/>
      <w:sz w:val="28"/>
      <w:szCs w:val="28"/>
    </w:rPr>
  </w:style>
  <w:style w:styleId="Para 058" w:type="paragraph">
    <w:name w:val="Para 058"/>
    <w:qFormat/>
    <w:basedOn w:val="Normal"/>
    <w:pPr>
      <w:spacing w:beforeLines="20" w:line="336" w:lineRule="atLeast"/>
    </w:pPr>
    <w:rPr>
      <w:rFonts w:ascii="Candara" w:cs="Candara" w:eastAsia="Candara" w:hAnsi="Candara"/>
      <w:sz w:val="28"/>
      <w:szCs w:val="28"/>
    </w:rPr>
  </w:style>
  <w:style w:styleId="Para 059" w:type="paragraph">
    <w:name w:val="Para 059"/>
    <w:qFormat/>
    <w:basedOn w:val="Normal"/>
    <w:pPr>
      <w:spacing w:afterLines="50"/>
      <w:ind w:leftChars="100" w:rightChars="100"/>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60" w:type="paragraph">
    <w:name w:val="Para 060"/>
    <w:qFormat/>
    <w:basedOn w:val="Normal"/>
    <w:pPr>
      <w:spacing w:beforeLines="100" w:afterLines="100" w:line="336" w:lineRule="atLeast"/>
    </w:pPr>
    <w:rPr>
      <w:sz w:val="28"/>
      <w:szCs w:val="28"/>
    </w:rPr>
  </w:style>
  <w:style w:styleId="Heading 1" w:type="paragraph">
    <w:name w:val="Heading 1"/>
    <w:qFormat/>
    <w:basedOn w:val="Normal"/>
    <w:pPr>
      <w:spacing w:beforeLines="300" w:afterLines="350" w:line="480" w:lineRule="atLeast"/>
      <w:jc w:val="center"/>
      <w:outlineLvl w:val="1"/>
    </w:pPr>
    <w:rPr>
      <w:sz w:val="40"/>
      <w:szCs w:val="40"/>
    </w:rPr>
  </w:style>
  <w:style w:styleId="Para 062" w:type="paragraph">
    <w:name w:val="Para 062"/>
    <w:qFormat/>
    <w:basedOn w:val="Normal"/>
    <w:pPr>
      <w:spacing w:beforeLines="100"/>
    </w:pPr>
    <w:rPr>
      <w:b w:val="on"/>
      <w:bCs w:val="on"/>
    </w:rPr>
  </w:style>
  <w:style w:styleId="Para 063" w:type="paragraph">
    <w:name w:val="Para 063"/>
    <w:qFormat/>
    <w:basedOn w:val="Normal"/>
    <w:pPr>
      <w:spacing w:beforeLines="130" w:afterLines="80" w:line="431" w:lineRule="atLeast"/>
    </w:pPr>
    <w:rPr>
      <w:sz w:val="36"/>
      <w:szCs w:val="36"/>
      <w:i w:val="on"/>
      <w:iCs w:val="on"/>
    </w:rPr>
  </w:style>
  <w:style w:styleId="Para 064" w:type="paragraph">
    <w:name w:val="Para 064"/>
    <w:qFormat/>
    <w:basedOn w:val="Normal"/>
    <w:pPr>
      <w:spacing w:beforeLines="50"/>
    </w:pPr>
    <w:rPr>
      <w:i w:val="on"/>
      <w:iCs w:val="on"/>
    </w:rPr>
  </w:style>
  <w:style w:styleId="Para 065" w:type="paragraph">
    <w:name w:val="Para 065"/>
    <w:qFormat/>
    <w:basedOn w:val="Normal"/>
    <w:pPr>
      <w:spacing w:beforeLines="100" w:afterLines="100" w:line="336" w:lineRule="atLeast"/>
      <w:ind w:leftChars="50"/>
      <w:jc w:val="center"/>
    </w:pPr>
    <w:rPr>
      <w:sz w:val="28"/>
      <w:szCs w:val="28"/>
      <w:b w:val="on"/>
      <w:bCs w:val="on"/>
    </w:rPr>
  </w:style>
  <w:style w:styleId="Para 066" w:type="paragraph">
    <w:name w:val="Para 066"/>
    <w:qFormat/>
    <w:basedOn w:val="Normal"/>
    <w:pPr>
      <w:spacing w:beforeLines="400" w:afterLines="200" w:line="576" w:lineRule="atLeast"/>
      <w:shd w:val="clear" w:color="auto" w:fill="E5E5E5"/>
      <w:jc w:val="center"/>
    </w:pPr>
    <w:rPr>
      <w:rFonts w:ascii="Candara" w:cs="Candara" w:eastAsia="Candara" w:hAnsi="Candara"/>
      <w:sz w:val="48"/>
      <w:szCs w:val="48"/>
    </w:rPr>
  </w:style>
  <w:style w:styleId="Para 067" w:type="paragraph">
    <w:name w:val="Para 067"/>
    <w:qFormat/>
    <w:basedOn w:val="Normal"/>
    <w:pPr>
      <w:spacing w:beforeLines="150" w:afterLines="100" w:line="528" w:lineRule="atLeast"/>
      <w:shd w:val="clear" w:color="auto" w:fill="E5E5E5"/>
      <w:jc w:val="center"/>
    </w:pPr>
    <w:rPr>
      <w:rFonts w:ascii="Candara" w:cs="Candara" w:eastAsia="Candara" w:hAnsi="Candara"/>
      <w:sz w:val="44"/>
      <w:szCs w:val="44"/>
    </w:rPr>
  </w:style>
  <w:style w:styleId="Para 068" w:type="paragraph">
    <w:name w:val="Para 068"/>
    <w:qFormat/>
    <w:basedOn w:val="Normal"/>
    <w:pPr>
      <w:spacing w:beforeLines="150" w:afterLines="80" w:line="431" w:lineRule="atLeast"/>
    </w:pPr>
    <w:rPr>
      <w:sz w:val="36"/>
      <w:szCs w:val="36"/>
      <w:i w:val="on"/>
      <w:iCs w:val="on"/>
    </w:rPr>
  </w:style>
  <w:style w:styleId="Para 069" w:type="paragraph">
    <w:name w:val="Para 069"/>
    <w:qFormat/>
    <w:basedOn w:val="Normal"/>
    <w:pPr>
      <w:spacing w:beforeLines="70" w:line="416" w:lineRule="atLeast"/>
      <w:shd w:val="clear" w:color="auto" w:fill="E5E5E5"/>
    </w:pPr>
    <w:rPr>
      <w:rFonts w:ascii="Candara" w:cs="Candara" w:eastAsia="Candara" w:hAnsi="Candara"/>
    </w:rPr>
  </w:style>
  <w:style w:styleId="Para 070" w:type="paragraph">
    <w:name w:val="Para 070"/>
    <w:qFormat/>
    <w:basedOn w:val="Normal"/>
    <w:pPr>
      <w:spacing w:beforeLines="30" w:line="336" w:lineRule="atLeast"/>
    </w:pPr>
    <w:rPr>
      <w:sz w:val="28"/>
      <w:szCs w:val="28"/>
    </w:rPr>
  </w:style>
  <w:style w:styleId="Para 071" w:type="paragraph">
    <w:name w:val="Para 071"/>
    <w:qFormat/>
    <w:basedOn w:val="Normal"/>
    <w:pPr>
      <w:pBdr>
        <w:left w:val="none" w:sz="0" w:color="000000"/>
        <w:top w:val="none" w:sz="0" w:color="auto"/>
        <w:right w:val="none" w:sz="0" w:color="auto"/>
        <w:bottom w:val="none" w:sz="0" w:color="auto"/>
      </w:pBdr>
    </w:pPr>
    <w:rPr>
      <w:rFonts w:ascii="Candara" w:cs="Candara" w:eastAsia="Candara" w:hAnsi="Candara"/>
      <w:sz w:val="24"/>
      <w:szCs w:val="24"/>
      <w:vertAlign w:val="superscript"/>
    </w:rPr>
  </w:style>
  <w:style w:styleId="Para 072" w:type="paragraph">
    <w:name w:val="Para 072"/>
    <w:qFormat/>
    <w:basedOn w:val="Normal"/>
    <w:pPr>
      <w:pBdr>
        <w:left w:val="none" w:sz="0" w:color="auto"/>
        <w:top w:val="none" w:sz="0" w:color="auto"/>
        <w:right w:val="none" w:sz="0" w:color="000000"/>
        <w:bottom w:val="none" w:sz="0" w:color="auto"/>
      </w:pBdr>
    </w:pPr>
    <w:rPr>
      <w:rFonts w:ascii="Candara" w:cs="Candara" w:eastAsia="Candara" w:hAnsi="Candara"/>
      <w:sz w:val="24"/>
      <w:szCs w:val="24"/>
      <w:vertAlign w:val="superscript"/>
    </w:rPr>
  </w:style>
  <w:style w:styleId="Para 073" w:type="paragraph">
    <w:name w:val="Para 073"/>
    <w:qFormat/>
    <w:basedOn w:val="Normal"/>
    <w:pPr>
      <w:spacing w:beforeLines="50"/>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74" w:type="paragraph">
    <w:name w:val="Para 074"/>
    <w:qFormat/>
    <w:basedOn w:val="Normal"/>
    <w:pPr>
      <w:spacing w:beforeLines="100" w:afterLines="100"/>
      <w:ind w:leftChars="100" w:rightChars="100"/>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75" w:type="paragraph">
    <w:name w:val="Para 075"/>
    <w:qFormat/>
    <w:basedOn w:val="Normal"/>
    <w:pPr>
      <w:spacing w:beforeLines="50" w:afterLines="50" w:line="336" w:lineRule="atLeast"/>
      <w:ind w:leftChars="150"/>
    </w:pPr>
    <w:rPr>
      <w:sz w:val="28"/>
      <w:szCs w:val="28"/>
    </w:rPr>
  </w:style>
  <w:style w:styleId="Para 076" w:type="paragraph">
    <w:name w:val="Para 076"/>
    <w:qFormat/>
    <w:basedOn w:val="Normal"/>
    <w:pPr>
      <w:spacing w:beforeLines="80" w:line="336" w:lineRule="atLeast"/>
    </w:pPr>
    <w:rPr>
      <w:sz w:val="28"/>
      <w:szCs w:val="28"/>
    </w:rPr>
  </w:style>
  <w:style w:styleId="Para 077" w:type="paragraph">
    <w:name w:val="Para 077"/>
    <w:qFormat/>
    <w:basedOn w:val="Normal"/>
    <w:pPr>
      <w:spacing w:beforeLines="150"/>
    </w:pPr>
    <w:rPr>
      <w:rFonts w:ascii="Candara" w:cs="Candara" w:eastAsia="Candara" w:hAnsi="Candara"/>
    </w:rPr>
  </w:style>
  <w:style w:styleId="Para 078" w:type="paragraph">
    <w:name w:val="Para 078"/>
    <w:qFormat/>
    <w:basedOn w:val="Normal"/>
    <w:pPr>
      <w:spacing w:beforeLines="100" w:afterLines="100"/>
      <w:jc w:val="center"/>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79" w:type="paragraph">
    <w:name w:val="Para 079"/>
    <w:qFormat/>
    <w:basedOn w:val="Normal"/>
    <w:pPr>
      <w:spacing w:beforeLines="150" w:afterLines="50" w:line="431" w:lineRule="atLeast"/>
    </w:pPr>
    <w:rPr>
      <w:sz w:val="36"/>
      <w:szCs w:val="36"/>
      <w:i w:val="on"/>
      <w:iCs w:val="on"/>
    </w:rPr>
  </w:style>
  <w:style w:styleId="Para 080" w:type="paragraph">
    <w:name w:val="Para 080"/>
    <w:qFormat/>
    <w:basedOn w:val="Normal"/>
    <w:pPr>
      <w:spacing w:line="336" w:lineRule="atLeast"/>
      <w:pBdr>
        <w:left w:val="none" w:sz="0" w:color="auto"/>
        <w:top w:val="none" w:sz="0" w:color="000000"/>
        <w:right w:val="none" w:sz="0" w:color="auto"/>
        <w:bottom w:val="none" w:sz="0" w:color="auto"/>
      </w:pBdr>
    </w:pPr>
    <w:rPr>
      <w:rFonts w:ascii="Candara" w:cs="Candara" w:eastAsia="Candara" w:hAnsi="Candara"/>
      <w:sz w:val="28"/>
      <w:szCs w:val="28"/>
      <w:b w:val="on"/>
      <w:bCs w:val="on"/>
    </w:rPr>
  </w:style>
  <w:style w:styleId="Para 081" w:type="paragraph">
    <w:name w:val="Para 081"/>
    <w:qFormat/>
    <w:basedOn w:val="Normal"/>
    <w:pPr>
      <w:spacing w:beforeLines="70" w:line="364" w:lineRule="atLeast"/>
      <w:shd w:val="clear" w:color="auto" w:fill="E5E5E5"/>
    </w:pPr>
    <w:rPr>
      <w:rFonts w:ascii="Candara" w:cs="Candara" w:eastAsia="Candara" w:hAnsi="Candara"/>
      <w:sz w:val="28"/>
      <w:szCs w:val="28"/>
    </w:rPr>
  </w:style>
  <w:style w:styleId="Para 082" w:type="paragraph">
    <w:name w:val="Para 082"/>
    <w:qFormat/>
    <w:basedOn w:val="Normal"/>
    <w:pPr>
      <w:spacing w:beforeLines="20" w:line="336" w:lineRule="atLeast"/>
      <w:ind w:leftChars="50"/>
    </w:pPr>
    <w:rPr>
      <w:sz w:val="28"/>
      <w:szCs w:val="28"/>
    </w:rPr>
  </w:style>
  <w:style w:styleId="Para 083" w:type="paragraph">
    <w:name w:val="Para 083"/>
    <w:qFormat/>
    <w:basedOn w:val="Normal"/>
    <w:pPr>
      <w:pBdr>
        <w:left w:val="none" w:sz="0" w:color="auto"/>
        <w:top w:val="none" w:sz="0" w:color="auto"/>
        <w:right w:val="none" w:sz="0" w:color="auto"/>
        <w:bottom w:val="none" w:sz="0" w:color="auto"/>
      </w:pBdr>
    </w:pPr>
    <w:rPr>
      <w:rFonts w:ascii="Candara" w:cs="Candara" w:eastAsia="Candara" w:hAnsi="Candara"/>
      <w:sz w:val="24"/>
      <w:szCs w:val="24"/>
      <w:vertAlign w:val="superscript"/>
    </w:rPr>
  </w:style>
  <w:style w:styleId="Para 084" w:type="paragraph">
    <w:name w:val="Para 084"/>
    <w:qFormat/>
    <w:basedOn w:val="Normal"/>
    <w:pPr>
      <w:spacing w:afterLines="80"/>
      <w:ind w:leftChars="240" w:rightChars="100"/>
      <w:jc w:val="both"/>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85" w:type="paragraph">
    <w:name w:val="Para 085"/>
    <w:qFormat/>
    <w:basedOn w:val="Normal"/>
    <w:pPr>
      <w:spacing w:beforeLines="150" w:afterLines="20" w:line="336" w:lineRule="atLeast"/>
    </w:pPr>
    <w:rPr>
      <w:sz w:val="28"/>
      <w:szCs w:val="28"/>
    </w:rPr>
  </w:style>
  <w:style w:styleId="Para 086" w:type="paragraph">
    <w:name w:val="Para 086"/>
    <w:qFormat/>
    <w:basedOn w:val="Normal"/>
    <w:pPr>
      <w:spacing w:beforeLines="150" w:afterLines="20" w:line="336" w:lineRule="atLeast"/>
    </w:pPr>
    <w:rPr>
      <w:sz w:val="28"/>
      <w:szCs w:val="28"/>
      <w:i w:val="on"/>
      <w:iCs w:val="on"/>
    </w:rPr>
  </w:style>
  <w:style w:styleId="Para 087" w:type="paragraph">
    <w:name w:val="Para 087"/>
    <w:qFormat/>
    <w:basedOn w:val="Normal"/>
    <w:pPr>
      <w:spacing w:beforeLines="70" w:line="336" w:lineRule="atLeast"/>
    </w:pPr>
    <w:rPr>
      <w:sz w:val="28"/>
      <w:szCs w:val="28"/>
    </w:rPr>
  </w:style>
  <w:style w:styleId="Para 088" w:type="paragraph">
    <w:name w:val="Para 088"/>
    <w:qFormat/>
    <w:basedOn w:val="Normal"/>
    <w:pPr>
      <w:spacing w:beforeLines="100"/>
    </w:pPr>
    <w:rPr>
      <w:i w:val="on"/>
      <w:iCs w:val="on"/>
    </w:rPr>
  </w:style>
  <w:style w:styleId="Para 089" w:type="paragraph">
    <w:name w:val="Para 089"/>
    <w:qFormat/>
    <w:basedOn w:val="Normal"/>
    <w:pPr>
      <w:spacing w:beforeLines="50" w:line="336" w:lineRule="atLeast"/>
      <w:ind w:leftChars="229"/>
      <w:shd w:val="clear" w:color="auto" w:fill="E5E5E5"/>
    </w:pPr>
    <w:rPr>
      <w:rFonts w:ascii="Candara" w:cs="Candara" w:eastAsia="Candara" w:hAnsi="Candara"/>
      <w:sz w:val="23"/>
      <w:szCs w:val="23"/>
    </w:rPr>
  </w:style>
  <w:style w:styleId="Para 090" w:type="paragraph">
    <w:name w:val="Para 090"/>
    <w:qFormat/>
    <w:basedOn w:val="Normal"/>
    <w:pPr>
      <w:spacing w:beforeLines="150" w:afterLines="70" w:line="431" w:lineRule="atLeast"/>
    </w:pPr>
    <w:rPr>
      <w:sz w:val="36"/>
      <w:szCs w:val="36"/>
    </w:rPr>
  </w:style>
  <w:style w:styleId="Para 091" w:type="paragraph">
    <w:name w:val="Para 091"/>
    <w:qFormat/>
    <w:basedOn w:val="Normal"/>
    <w:pPr>
      <w:spacing w:afterLines="50"/>
      <w:ind w:leftChars="220" w:rightChars="100"/>
      <w:shd w:val="clear" w:color="auto" w:fill="E5E5E5"/>
      <w:jc w:val="both"/>
    </w:pPr>
    <w:rPr>
      <w:rFonts w:ascii="Candara" w:cs="Candara" w:eastAsia="Candara" w:hAnsi="Candara"/>
    </w:rPr>
  </w:style>
  <w:style w:styleId="Para 092" w:type="paragraph">
    <w:name w:val="Para 092"/>
    <w:qFormat/>
    <w:basedOn w:val="Normal"/>
    <w:pPr>
      <w:spacing w:beforeLines="100" w:line="336" w:lineRule="atLeast"/>
      <w:jc w:val="both"/>
    </w:pPr>
    <w:rPr>
      <w:sz w:val="28"/>
      <w:szCs w:val="28"/>
    </w:rPr>
  </w:style>
  <w:style w:styleId="Para 093" w:type="paragraph">
    <w:name w:val="Para 093"/>
    <w:qFormat/>
    <w:basedOn w:val="Normal"/>
    <w:pPr>
      <w:spacing w:beforeLines="100" w:afterLines="100" w:line="336" w:lineRule="atLeast"/>
      <w:ind w:leftChars="50"/>
    </w:pPr>
    <w:rPr>
      <w:sz w:val="28"/>
      <w:szCs w:val="28"/>
    </w:rPr>
  </w:style>
  <w:style w:styleId="Para 094" w:type="paragraph">
    <w:name w:val="Para 094"/>
    <w:qFormat/>
    <w:basedOn w:val="Normal"/>
    <w:pPr>
      <w:spacing w:line="336" w:lineRule="atLeast"/>
      <w:ind w:leftChars="50"/>
    </w:pPr>
    <w:rPr>
      <w:sz w:val="28"/>
      <w:szCs w:val="28"/>
    </w:rPr>
  </w:style>
  <w:style w:styleId="Para 095" w:type="paragraph">
    <w:name w:val="Para 095"/>
    <w:qFormat/>
    <w:basedOn w:val="Normal"/>
    <w:pPr>
      <w:spacing w:beforeLines="100" w:afterLines="100" w:line="336" w:lineRule="atLeast"/>
      <w:jc w:val="both"/>
    </w:pPr>
    <w:rPr>
      <w:sz w:val="28"/>
      <w:szCs w:val="28"/>
      <w:i w:val="on"/>
      <w:iCs w:val="on"/>
    </w:rPr>
  </w:style>
  <w:style w:styleId="Para 096" w:type="paragraph">
    <w:name w:val="Para 096"/>
    <w:qFormat/>
    <w:basedOn w:val="Normal"/>
    <w:pPr>
      <w:spacing w:beforeLines="150" w:afterLines="100" w:line="480" w:lineRule="atLeast"/>
    </w:pPr>
    <w:rPr>
      <w:sz w:val="40"/>
      <w:szCs w:val="40"/>
      <w:b w:val="on"/>
      <w:bCs w:val="on"/>
    </w:rPr>
  </w:style>
  <w:style w:styleId="Para 097" w:type="paragraph">
    <w:name w:val="Para 097"/>
    <w:qFormat/>
    <w:basedOn w:val="Normal"/>
    <w:pPr>
      <w:spacing w:line="384" w:lineRule="atLeast"/>
      <w:jc w:val="left"/>
    </w:pPr>
    <w:rPr>
      <w:b w:val="on"/>
      <w:bCs w:val="on"/>
      <w:i w:val="on"/>
      <w:iCs w:val="on"/>
    </w:rPr>
  </w:style>
  <w:style w:styleId="Para 098" w:type="paragraph">
    <w:name w:val="Para 098"/>
    <w:qFormat/>
    <w:basedOn w:val="Normal"/>
    <w:pPr>
      <w:spacing w:beforeLines="100" w:line="431" w:lineRule="atLeast"/>
    </w:pPr>
    <w:rPr>
      <w:sz w:val="36"/>
      <w:szCs w:val="36"/>
    </w:rPr>
  </w:style>
  <w:style w:styleId="Para 099" w:type="paragraph">
    <w:name w:val="Para 099"/>
    <w:qFormat/>
    <w:basedOn w:val="Normal"/>
    <w:pPr>
      <w:spacing w:beforeLines="100" w:afterLines="100"/>
    </w:pPr>
    <w:rPr>
      <w:i w:val="on"/>
      <w:iCs w:val="on"/>
    </w:rPr>
  </w:style>
  <w:style w:styleId="Para 100" w:type="paragraph">
    <w:name w:val="Para 100"/>
    <w:qFormat/>
    <w:basedOn w:val="Normal"/>
    <w:pPr>
      <w:spacing w:beforeLines="100" w:afterLines="100"/>
      <w:shd w:val="clear" w:color="auto" w:fill="E5E5E5"/>
    </w:pPr>
    <w:rPr>
      <w:rFonts w:ascii="Candara" w:cs="Candara" w:eastAsia="Candara" w:hAnsi="Candara"/>
      <w:i w:val="on"/>
      <w:iCs w:val="on"/>
    </w:rPr>
  </w:style>
  <w:style w:styleId="Para 101" w:type="paragraph">
    <w:name w:val="Para 101"/>
    <w:qFormat/>
    <w:basedOn w:val="Normal"/>
    <w:pPr>
      <w:spacing w:beforeLines="300" w:afterLines="100" w:line="431" w:lineRule="atLeast"/>
    </w:pPr>
    <w:rPr>
      <w:sz w:val="36"/>
      <w:szCs w:val="36"/>
    </w:rPr>
  </w:style>
  <w:style w:styleId="Para 102" w:type="paragraph">
    <w:name w:val="Para 102"/>
    <w:qFormat/>
    <w:basedOn w:val="Normal"/>
    <w:pPr>
      <w:spacing w:beforeLines="200"/>
    </w:pPr>
    <w:rPr>
      <w:rFonts w:ascii="Candara" w:cs="Candara" w:eastAsia="Candara" w:hAnsi="Candara"/>
      <w:b w:val="on"/>
      <w:bCs w:val="on"/>
      <w:i w:val="on"/>
      <w:iCs w:val="on"/>
    </w:rPr>
  </w:style>
  <w:style w:styleId="Para 103" w:type="paragraph">
    <w:name w:val="Para 103"/>
    <w:qFormat/>
    <w:basedOn w:val="Normal"/>
    <w:pPr>
      <w:pBdr>
        <w:left w:val="none" w:sz="0" w:color="000000"/>
        <w:top w:val="none" w:sz="0" w:color="000000"/>
        <w:right w:val="none" w:sz="0" w:color="000000"/>
        <w:bottom w:val="none" w:sz="0" w:color="000000"/>
      </w:pBdr>
    </w:pPr>
    <w:rPr>
      <w:rFonts w:ascii="Candara" w:cs="Candara" w:eastAsia="Candara" w:hAnsi="Candara"/>
      <w:sz w:val="24"/>
      <w:szCs w:val="24"/>
      <w:b w:val="on"/>
      <w:bCs w:val="on"/>
    </w:rPr>
  </w:style>
  <w:style w:styleId="Para 104" w:type="paragraph">
    <w:name w:val="Para 104"/>
    <w:qFormat/>
    <w:basedOn w:val="Normal"/>
    <w:pPr>
      <w:spacing w:line="336" w:lineRule="atLeast"/>
      <w:shd w:val="clear" w:color="auto" w:fill="E5E5E5"/>
    </w:pPr>
    <w:rPr>
      <w:rFonts w:ascii="Candara" w:cs="Candara" w:eastAsia="Candara" w:hAnsi="Candara"/>
      <w:sz w:val="28"/>
      <w:szCs w:val="28"/>
    </w:rPr>
  </w:style>
  <w:style w:styleId="Para 105" w:type="paragraph">
    <w:name w:val="Para 105"/>
    <w:qFormat/>
    <w:basedOn w:val="Normal"/>
    <w:pPr>
      <w:spacing w:beforeLines="70" w:line="416" w:lineRule="atLeast"/>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06" w:type="paragraph">
    <w:name w:val="Para 106"/>
    <w:qFormat/>
    <w:basedOn w:val="Normal"/>
    <w:pPr>
      <w:spacing w:beforeLines="50"/>
    </w:pPr>
    <w:rPr>
      <w:rFonts w:ascii="Candara" w:cs="Candara" w:eastAsia="Candara" w:hAnsi="Candara"/>
      <w:b w:val="on"/>
      <w:bCs w:val="on"/>
    </w:rPr>
  </w:style>
  <w:style w:styleId="Para 107" w:type="paragraph">
    <w:name w:val="Para 107"/>
    <w:qFormat/>
    <w:basedOn w:val="Normal"/>
    <w:pPr>
      <w:spacing w:beforeLines="50"/>
    </w:pPr>
    <w:rPr>
      <w:rFonts w:ascii="Candara" w:cs="Candara" w:eastAsia="Candara" w:hAnsi="Candara"/>
    </w:rPr>
  </w:style>
  <w:style w:styleId="Para 108" w:type="paragraph">
    <w:name w:val="Para 108"/>
    <w:qFormat/>
    <w:basedOn w:val="Normal"/>
    <w:pPr>
      <w:spacing w:beforeLines="150" w:afterLines="100" w:line="431" w:lineRule="atLeast"/>
    </w:pPr>
    <w:rPr>
      <w:rFonts w:ascii="Candara" w:cs="Candara" w:eastAsia="Candara" w:hAnsi="Candara"/>
      <w:sz w:val="36"/>
      <w:szCs w:val="36"/>
      <w:b w:val="on"/>
      <w:bCs w:val="on"/>
    </w:rPr>
  </w:style>
  <w:style w:styleId="Para 109" w:type="paragraph">
    <w:name w:val="Para 109"/>
    <w:qFormat/>
    <w:basedOn w:val="Normal"/>
    <w:pPr>
      <w:spacing w:beforeLines="50"/>
      <w:jc w:val="center"/>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10" w:type="paragraph">
    <w:name w:val="Para 110"/>
    <w:qFormat/>
    <w:basedOn w:val="Normal"/>
    <w:pPr>
      <w:spacing w:beforeLines="80"/>
      <w:ind w:leftChars="220"/>
      <w:shd w:val="clear" w:color="auto" w:fill="E5E5E5"/>
    </w:pPr>
    <w:rPr>
      <w:rFonts w:ascii="Candara" w:cs="Candara" w:eastAsia="Candara" w:hAnsi="Candara"/>
    </w:rPr>
  </w:style>
  <w:style w:styleId="Para 111" w:type="paragraph">
    <w:name w:val="Para 111"/>
    <w:qFormat/>
    <w:basedOn w:val="Normal"/>
    <w:pPr>
      <w:spacing w:line="384" w:lineRule="atLeast"/>
      <w:jc w:val="left"/>
    </w:pPr>
    <w:rPr>
      <w:i w:val="on"/>
      <w:iCs w:val="on"/>
    </w:rPr>
  </w:style>
  <w:style w:styleId="Para 112" w:type="paragraph">
    <w:name w:val="Para 112"/>
    <w:qFormat/>
    <w:basedOn w:val="Normal"/>
    <w:pPr>
      <w:spacing w:beforeLines="100" w:afterLines="20"/>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13" w:type="paragraph">
    <w:name w:val="Para 113"/>
    <w:qFormat/>
    <w:basedOn w:val="Normal"/>
    <w:pPr>
      <w:spacing w:beforeLines="200" w:afterLines="100" w:line="431" w:lineRule="atLeast"/>
      <w:pBdr>
        <w:top w:space="9" w:val="single" w:sz="3" w:color="000000"/>
      </w:pBdr>
    </w:pPr>
    <w:rPr>
      <w:rFonts w:ascii="Candara" w:cs="Candara" w:eastAsia="Candara" w:hAnsi="Candara"/>
      <w:sz w:val="36"/>
      <w:szCs w:val="36"/>
      <w:b w:val="on"/>
      <w:bCs w:val="on"/>
    </w:rPr>
  </w:style>
  <w:style w:styleId="Para 114" w:type="paragraph">
    <w:name w:val="Para 114"/>
    <w:qFormat/>
    <w:basedOn w:val="Normal"/>
    <w:pPr>
      <w:spacing w:line="336" w:lineRule="atLeast"/>
      <w:pBdr>
        <w:left w:val="none" w:sz="0" w:color="auto"/>
        <w:top w:val="none" w:sz="0" w:color="auto"/>
        <w:right w:val="none" w:sz="0" w:color="auto"/>
        <w:bottom w:val="none" w:sz="0" w:color="000000"/>
      </w:pBdr>
    </w:pPr>
    <w:rPr>
      <w:rFonts w:ascii="Candara" w:cs="Candara" w:eastAsia="Candara" w:hAnsi="Candara"/>
      <w:sz w:val="28"/>
      <w:szCs w:val="28"/>
      <w:b w:val="on"/>
      <w:bCs w:val="on"/>
      <w:vertAlign w:val="superscript"/>
    </w:rPr>
  </w:style>
  <w:style w:styleId="Para 115" w:type="paragraph">
    <w:name w:val="Para 115"/>
    <w:qFormat/>
    <w:basedOn w:val="Normal"/>
    <w:pPr>
      <w:spacing w:beforeLines="150" w:afterLines="30" w:line="528" w:lineRule="atLeast"/>
    </w:pPr>
    <w:rPr>
      <w:rFonts w:ascii="Candara" w:cs="Candara" w:eastAsia="Candara" w:hAnsi="Candara"/>
      <w:sz w:val="44"/>
      <w:szCs w:val="44"/>
      <w:b w:val="on"/>
      <w:bCs w:val="on"/>
    </w:rPr>
  </w:style>
  <w:style w:styleId="Para 116" w:type="paragraph">
    <w:name w:val="Para 116"/>
    <w:qFormat/>
    <w:basedOn w:val="Normal"/>
    <w:pPr>
      <w:spacing w:beforeLines="100" w:afterLines="100"/>
    </w:pPr>
    <w:rPr>
      <w:rFonts w:ascii="Candara" w:cs="Candara" w:eastAsia="Candara" w:hAnsi="Candara"/>
    </w:rPr>
  </w:style>
  <w:style w:styleId="Para 117" w:type="paragraph">
    <w:name w:val="Para 117"/>
    <w:qFormat/>
    <w:basedOn w:val="Normal"/>
    <w:pPr>
      <w:spacing w:line="384" w:lineRule="atLeast"/>
      <w:jc w:val="left"/>
    </w:pPr>
    <w:rPr>
      <w:b w:val="on"/>
      <w:bCs w:val="on"/>
    </w:rPr>
  </w:style>
  <w:style w:styleId="Para 118" w:type="paragraph">
    <w:name w:val="Para 118"/>
    <w:qFormat/>
    <w:basedOn w:val="Normal"/>
    <w:pPr>
      <w:spacing w:beforeLines="300" w:afterLines="200" w:line="528" w:lineRule="atLeast"/>
      <w:jc w:val="center"/>
    </w:pPr>
    <w:rPr>
      <w:sz w:val="44"/>
      <w:szCs w:val="44"/>
    </w:rPr>
  </w:style>
  <w:style w:styleId="Para 119" w:type="paragraph">
    <w:name w:val="Para 119"/>
    <w:qFormat/>
    <w:basedOn w:val="Normal"/>
    <w:pPr>
      <w:spacing w:line="336" w:lineRule="atLeast"/>
      <w:pBdr>
        <w:left w:val="none" w:sz="0" w:color="auto"/>
        <w:top w:val="none" w:sz="0" w:color="auto"/>
        <w:right w:val="none" w:sz="0" w:color="auto"/>
        <w:bottom w:val="none" w:sz="0" w:color="auto"/>
      </w:pBdr>
    </w:pPr>
    <w:rPr>
      <w:rFonts w:ascii="Candara" w:cs="Candara" w:eastAsia="Candara" w:hAnsi="Candara"/>
      <w:sz w:val="23"/>
      <w:szCs w:val="23"/>
      <w:b w:val="on"/>
      <w:bCs w:val="on"/>
    </w:rPr>
  </w:style>
  <w:style w:styleId="Para 120" w:type="paragraph">
    <w:name w:val="Para 120"/>
    <w:qFormat/>
    <w:basedOn w:val="Normal"/>
    <w:pPr>
      <w:spacing w:beforeLines="500"/>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21" w:type="paragraph">
    <w:name w:val="Para 121"/>
    <w:qFormat/>
    <w:basedOn w:val="Normal"/>
    <w:pPr>
      <w:pBdr>
        <w:left w:val="none" w:sz="0" w:color="000000"/>
        <w:top w:val="none" w:sz="0" w:color="000000"/>
        <w:right w:val="none" w:sz="0" w:color="000000"/>
        <w:bottom w:val="none" w:sz="0" w:color="000000"/>
      </w:pBdr>
    </w:pPr>
    <w:rPr>
      <w:rFonts w:ascii="Candara" w:cs="Candara" w:eastAsia="Candara" w:hAnsi="Candara"/>
      <w:sz w:val="24"/>
      <w:szCs w:val="24"/>
      <w:b w:val="on"/>
      <w:bCs w:val="on"/>
      <w:vertAlign w:val="superscript"/>
    </w:rPr>
  </w:style>
  <w:style w:styleId="Para 122" w:type="paragraph">
    <w:name w:val="Para 122"/>
    <w:qFormat/>
    <w:basedOn w:val="Normal"/>
    <w:pPr>
      <w:spacing w:beforeLines="20" w:line="336" w:lineRule="atLeast"/>
      <w:shd w:val="clear" w:color="auto" w:fill="E5E5E5"/>
    </w:pPr>
    <w:rPr>
      <w:rFonts w:ascii="Candara" w:cs="Candara" w:eastAsia="Candara" w:hAnsi="Candara"/>
      <w:sz w:val="23"/>
      <w:szCs w:val="23"/>
    </w:rPr>
  </w:style>
  <w:style w:styleId="Para 123" w:type="paragraph">
    <w:name w:val="Para 123"/>
    <w:qFormat/>
    <w:basedOn w:val="Normal"/>
    <w:pPr>
      <w:spacing w:beforeLines="50" w:line="336" w:lineRule="atLeast"/>
      <w:ind w:leftChars="200"/>
      <w:shd w:val="clear" w:color="auto" w:fill="E5E5E5"/>
    </w:pPr>
    <w:rPr>
      <w:rFonts w:ascii="Candara" w:cs="Candara" w:eastAsia="Candara" w:hAnsi="Candara"/>
      <w:sz w:val="23"/>
      <w:szCs w:val="23"/>
    </w:rPr>
  </w:style>
  <w:style w:styleId="Para 124" w:type="paragraph">
    <w:name w:val="Para 124"/>
    <w:qFormat/>
    <w:basedOn w:val="Normal"/>
    <w:pPr>
      <w:spacing w:beforeLines="0"/>
    </w:pPr>
    <w:rPr>
      <w:rFonts w:ascii="Candara" w:cs="Candara" w:eastAsia="Candara" w:hAnsi="Candara"/>
      <w:i w:val="on"/>
      <w:iCs w:val="on"/>
    </w:rPr>
  </w:style>
  <w:style w:styleId="Para 125" w:type="paragraph">
    <w:name w:val="Para 125"/>
    <w:qFormat/>
    <w:basedOn w:val="Normal"/>
    <w:pPr>
      <w:spacing w:beforeLines="150" w:afterLines="100" w:line="431" w:lineRule="atLeast"/>
      <w:shd w:val="clear" w:color="auto" w:fill="E5E5E5"/>
    </w:pPr>
    <w:rPr>
      <w:rFonts w:ascii="Candara" w:cs="Candara" w:eastAsia="Candara" w:hAnsi="Candara"/>
      <w:sz w:val="36"/>
      <w:szCs w:val="36"/>
    </w:rPr>
  </w:style>
  <w:style w:styleId="Para 126" w:type="paragraph">
    <w:name w:val="Para 126"/>
    <w:qFormat/>
    <w:basedOn w:val="Normal"/>
    <w:pPr>
      <w:spacing w:beforeLines="0"/>
      <w:shd w:val="clear" w:color="auto" w:fill="E5E5E5"/>
    </w:pPr>
    <w:rPr>
      <w:rFonts w:ascii="Candara" w:cs="Candara" w:eastAsia="Candara" w:hAnsi="Candara"/>
    </w:rPr>
  </w:style>
  <w:style w:styleId="Para 127" w:type="paragraph">
    <w:name w:val="Para 127"/>
    <w:qFormat/>
    <w:basedOn w:val="Normal"/>
    <w:pPr>
      <w:spacing w:beforeLines="100" w:afterLines="20" w:line="431" w:lineRule="atLeast"/>
      <w:shd w:val="clear" w:color="auto" w:fill="E5E5E5"/>
    </w:pPr>
    <w:rPr>
      <w:rFonts w:ascii="Candara" w:cs="Candara" w:eastAsia="Candara" w:hAnsi="Candara"/>
      <w:sz w:val="36"/>
      <w:szCs w:val="36"/>
      <w:b w:val="on"/>
      <w:bCs w:val="on"/>
    </w:rPr>
  </w:style>
  <w:style w:styleId="Para 128" w:type="paragraph">
    <w:name w:val="Para 128"/>
    <w:qFormat/>
    <w:basedOn w:val="Normal"/>
    <w:pPr>
      <w:spacing w:beforeLines="20" w:line="336" w:lineRule="atLeast"/>
    </w:pPr>
    <w:rPr>
      <w:sz w:val="28"/>
      <w:szCs w:val="28"/>
    </w:rPr>
  </w:style>
  <w:style w:styleId="Para 129" w:type="paragraph">
    <w:name w:val="Para 129"/>
    <w:qFormat/>
    <w:basedOn w:val="Normal"/>
    <w:pPr>
      <w:spacing w:beforeLines="100"/>
      <w:shd w:val="clear" w:color="auto" w:fill="E5E5E5"/>
    </w:pPr>
    <w:rPr>
      <w:rFonts w:ascii="Candara" w:cs="Candara" w:eastAsia="Candara" w:hAnsi="Candara"/>
    </w:rPr>
  </w:style>
  <w:style w:styleId="Para 130" w:type="paragraph">
    <w:name w:val="Para 130"/>
    <w:qFormat/>
    <w:basedOn w:val="Normal"/>
    <w:pPr>
      <w:spacing w:beforeLines="150" w:afterLines="70" w:line="431" w:lineRule="atLeast"/>
      <w:pBdr>
        <w:top w:space="3"/>
        <w:bottom w:val="single" w:sz="2" w:color="000000"/>
      </w:pBdr>
    </w:pPr>
    <w:rPr>
      <w:rFonts w:ascii="Candara" w:cs="Candara" w:eastAsia="Candara" w:hAnsi="Candara"/>
      <w:sz w:val="36"/>
      <w:szCs w:val="36"/>
      <w:b w:val="on"/>
      <w:bCs w:val="on"/>
    </w:rPr>
  </w:style>
  <w:style w:styleId="Para 131" w:type="paragraph">
    <w:name w:val="Para 131"/>
    <w:qFormat/>
    <w:basedOn w:val="Normal"/>
    <w:pPr>
      <w:spacing w:beforeLines="300" w:afterLines="200" w:line="480" w:lineRule="atLeast"/>
      <w:jc w:val="center"/>
    </w:pPr>
    <w:rPr>
      <w:sz w:val="40"/>
      <w:szCs w:val="40"/>
    </w:rPr>
  </w:style>
  <w:style w:styleId="Para 132" w:type="paragraph">
    <w:name w:val="Para 132"/>
    <w:qFormat/>
    <w:basedOn w:val="Normal"/>
    <w:pPr>
      <w:spacing w:beforeLines="20" w:afterLines="20" w:line="336" w:lineRule="atLeast"/>
      <w:ind w:leftChars="200"/>
    </w:pPr>
    <w:rPr>
      <w:sz w:val="28"/>
      <w:szCs w:val="28"/>
    </w:rPr>
  </w:style>
  <w:style w:styleId="Para 133" w:type="paragraph">
    <w:name w:val="Para 133"/>
    <w:qFormat/>
    <w:basedOn w:val="Normal"/>
    <w:pPr>
      <w:spacing w:beforeLines="400" w:afterLines="300" w:line="431" w:lineRule="atLeast"/>
      <w:jc w:val="center"/>
    </w:pPr>
    <w:rPr>
      <w:sz w:val="36"/>
      <w:szCs w:val="36"/>
    </w:rPr>
  </w:style>
  <w:style w:styleId="Para 134" w:type="paragraph">
    <w:name w:val="Para 134"/>
    <w:qFormat/>
    <w:basedOn w:val="Normal"/>
    <w:pPr>
      <w:spacing w:beforeLines="400" w:afterLines="150" w:line="576" w:lineRule="atLeast"/>
      <w:shd w:val="clear" w:color="auto" w:fill="E5E5E5"/>
      <w:jc w:val="center"/>
    </w:pPr>
    <w:rPr>
      <w:rFonts w:ascii="Candara" w:cs="Candara" w:eastAsia="Candara" w:hAnsi="Candara"/>
      <w:sz w:val="48"/>
      <w:szCs w:val="48"/>
    </w:rPr>
  </w:style>
  <w:style w:styleId="Para 135" w:type="paragraph">
    <w:name w:val="Para 135"/>
    <w:qFormat/>
    <w:basedOn w:val="Normal"/>
    <w:pPr>
      <w:spacing w:afterLines="50"/>
      <w:ind w:leftChars="220" w:rightChars="100"/>
      <w:shd w:val="clear" w:color="auto" w:fill="E5E5E5"/>
    </w:pPr>
    <w:rPr>
      <w:rFonts w:ascii="Candara" w:cs="Candara" w:eastAsia="Candara" w:hAnsi="Candara"/>
    </w:rPr>
  </w:style>
  <w:style w:styleId="Para 136" w:type="paragraph">
    <w:name w:val="Para 136"/>
    <w:qFormat/>
    <w:basedOn w:val="Normal"/>
    <w:pPr>
      <w:spacing w:beforeLines="1000"/>
      <w:jc w:val="both"/>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37" w:type="paragraph">
    <w:name w:val="Para 137"/>
    <w:qFormat/>
    <w:basedOn w:val="Normal"/>
    <w:pPr>
      <w:spacing w:beforeLines="150" w:afterLines="100" w:line="431" w:lineRule="atLeast"/>
    </w:pPr>
    <w:rPr>
      <w:sz w:val="36"/>
      <w:szCs w:val="36"/>
      <w:b w:val="on"/>
      <w:bCs w:val="on"/>
    </w:rPr>
  </w:style>
  <w:style w:styleId="Para 138" w:type="paragraph">
    <w:name w:val="Para 138"/>
    <w:qFormat/>
    <w:basedOn w:val="Normal"/>
    <w:pPr>
      <w:spacing w:beforeLines="150" w:afterLines="100" w:line="431" w:lineRule="atLeast"/>
    </w:pPr>
    <w:rPr>
      <w:sz w:val="36"/>
      <w:szCs w:val="36"/>
      <w:b w:val="on"/>
      <w:bCs w:val="on"/>
      <w:i w:val="on"/>
      <w:iCs w:val="on"/>
    </w:rPr>
  </w:style>
  <w:style w:styleId="Para 139" w:type="paragraph">
    <w:name w:val="Para 139"/>
    <w:qFormat/>
    <w:basedOn w:val="Normal"/>
    <w:pPr>
      <w:shd w:val="clear" w:color="auto" w:fill="E5E5E5"/>
      <w:jc w:val="both"/>
    </w:pPr>
    <w:rPr>
      <w:rFonts w:ascii="Candara" w:cs="Candara" w:eastAsia="Candara" w:hAnsi="Candara"/>
    </w:rPr>
  </w:style>
  <w:style w:styleId="Para 140" w:type="paragraph">
    <w:name w:val="Para 140"/>
    <w:qFormat/>
    <w:basedOn w:val="Normal"/>
    <w:pPr>
      <w:spacing w:beforeLines="100" w:afterLines="50"/>
      <w:jc w:val="both"/>
    </w:pPr>
    <w:rPr>
      <w:rFonts w:ascii="Candara" w:cs="Candara" w:eastAsia="Candara" w:hAnsi="Candara"/>
      <w:b w:val="on"/>
      <w:bCs w:val="on"/>
      <w:spacing w:val="-2"/>
    </w:rPr>
  </w:style>
  <w:style w:styleId="Para 141" w:type="paragraph">
    <w:name w:val="Para 141"/>
    <w:qFormat/>
    <w:basedOn w:val="Normal"/>
    <w:pPr>
      <w:spacing w:beforeLines="300" w:line="528" w:lineRule="atLeast"/>
      <w:jc w:val="center"/>
    </w:pPr>
    <w:rPr>
      <w:sz w:val="44"/>
      <w:szCs w:val="44"/>
    </w:rPr>
  </w:style>
  <w:style w:styleId="Para 142" w:type="paragraph">
    <w:name w:val="Para 142"/>
    <w:qFormat/>
    <w:basedOn w:val="Normal"/>
    <w:pPr>
      <w:spacing w:beforeLines="30" w:line="431" w:lineRule="atLeast"/>
      <w:jc w:val="center"/>
    </w:pPr>
    <w:rPr>
      <w:sz w:val="36"/>
      <w:szCs w:val="36"/>
      <w:i w:val="on"/>
      <w:iCs w:val="on"/>
    </w:rPr>
  </w:style>
  <w:style w:styleId="Para 143" w:type="paragraph">
    <w:name w:val="Para 143"/>
    <w:qFormat/>
    <w:basedOn w:val="Normal"/>
    <w:pPr>
      <w:spacing w:beforeLines="200" w:line="528" w:lineRule="atLeast"/>
      <w:jc w:val="center"/>
    </w:pPr>
    <w:rPr>
      <w:sz w:val="44"/>
      <w:szCs w:val="44"/>
    </w:rPr>
  </w:style>
  <w:style w:styleId="Para 144" w:type="paragraph">
    <w:name w:val="Para 144"/>
    <w:qFormat/>
    <w:basedOn w:val="Normal"/>
    <w:pPr>
      <w:spacing w:beforeLines="250" w:line="336" w:lineRule="atLeast"/>
      <w:jc w:val="center"/>
    </w:pPr>
    <w:rPr>
      <w:sz w:val="28"/>
      <w:szCs w:val="28"/>
    </w:rPr>
  </w:style>
  <w:style w:styleId="Para 145" w:type="paragraph">
    <w:name w:val="Para 145"/>
    <w:qFormat/>
    <w:basedOn w:val="Normal"/>
    <w:pPr>
      <w:spacing w:beforeLines="50" w:line="336" w:lineRule="atLeast"/>
    </w:pPr>
    <w:rPr>
      <w:sz w:val="28"/>
      <w:szCs w:val="28"/>
      <w:i w:val="on"/>
      <w:iCs w:val="on"/>
    </w:rPr>
  </w:style>
  <w:style w:styleId="Para 146" w:type="paragraph">
    <w:name w:val="Para 146"/>
    <w:qFormat/>
    <w:basedOn w:val="Normal"/>
    <w:pPr>
      <w:jc w:val="center"/>
    </w:pPr>
    <w:rPr>
      <w:b w:val="on"/>
      <w:bCs w:val="on"/>
    </w:rPr>
  </w:style>
  <w:style w:styleId="Para 147" w:type="paragraph">
    <w:name w:val="Para 147"/>
    <w:qFormat/>
    <w:basedOn w:val="Normal"/>
    <w:pPr>
      <w:spacing w:beforeLines="300" w:line="431" w:lineRule="atLeast"/>
    </w:pPr>
    <w:rPr>
      <w:sz w:val="36"/>
      <w:szCs w:val="36"/>
    </w:rPr>
  </w:style>
  <w:style w:styleId="Para 148" w:type="paragraph">
    <w:name w:val="Para 148"/>
    <w:qFormat/>
    <w:basedOn w:val="Normal"/>
    <w:pPr>
      <w:spacing w:beforeLines="400" w:afterLines="200" w:line="576" w:lineRule="atLeast"/>
      <w:shd w:val="clear" w:color="auto" w:fill="E5E5E5"/>
      <w:jc w:val="center"/>
    </w:pPr>
    <w:rPr>
      <w:rFonts w:ascii="Candara" w:cs="Candara" w:eastAsia="Candara" w:hAnsi="Candara"/>
      <w:sz w:val="48"/>
      <w:szCs w:val="48"/>
      <w:b w:val="on"/>
      <w:bCs w:val="on"/>
      <w:spacing w:val="38"/>
    </w:rPr>
  </w:style>
  <w:style w:styleId="Para 149" w:type="paragraph">
    <w:name w:val="Para 149"/>
    <w:qFormat/>
    <w:basedOn w:val="Normal"/>
    <w:pPr>
      <w:ind w:leftChars="100" w:rightChars="100"/>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50" w:type="paragraph">
    <w:name w:val="Para 150"/>
    <w:qFormat/>
    <w:basedOn w:val="Normal"/>
    <w:pPr>
      <w:spacing w:beforeLines="150" w:afterLines="100" w:line="431" w:lineRule="atLeast"/>
      <w:shd w:val="clear" w:color="auto" w:fill="E5E5E5"/>
      <w:jc w:val="center"/>
    </w:pPr>
    <w:rPr>
      <w:rFonts w:ascii="Candara" w:cs="Candara" w:eastAsia="Candara" w:hAnsi="Candara"/>
      <w:sz w:val="36"/>
      <w:szCs w:val="36"/>
    </w:rPr>
  </w:style>
  <w:style w:styleId="Para 151" w:type="paragraph">
    <w:name w:val="Para 151"/>
    <w:qFormat/>
    <w:basedOn w:val="Normal"/>
    <w:pPr>
      <w:spacing w:beforeLines="100" w:afterLines="100"/>
      <w:shd w:val="clear" w:color="auto" w:fill="E5E5E5"/>
      <w:jc w:val="both"/>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52" w:type="paragraph">
    <w:name w:val="Para 152"/>
    <w:qFormat/>
    <w:basedOn w:val="Normal"/>
    <w:pPr>
      <w:spacing w:beforeLines="50"/>
    </w:pPr>
    <w:rPr>
      <w:sz w:val="24"/>
      <w:szCs w:val="24"/>
    </w:rPr>
  </w:style>
  <w:style w:styleId="Para 153" w:type="paragraph">
    <w:name w:val="Para 153"/>
    <w:qFormat/>
    <w:basedOn w:val="Normal"/>
    <w:pPr>
      <w:spacing w:beforeLines="400" w:line="480" w:lineRule="atLeast"/>
      <w:jc w:val="center"/>
    </w:pPr>
    <w:rPr>
      <w:sz w:val="40"/>
      <w:szCs w:val="40"/>
      <w:caps w:val="on"/>
    </w:rPr>
  </w:style>
  <w:style w:styleId="Para 154" w:type="paragraph">
    <w:name w:val="Para 154"/>
    <w:qFormat/>
    <w:basedOn w:val="Normal"/>
    <w:pPr>
      <w:spacing w:beforeLines="1000"/>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55" w:type="paragraph">
    <w:name w:val="Para 155"/>
    <w:qFormat/>
    <w:basedOn w:val="Normal"/>
    <w:pPr>
      <w:spacing w:beforeLines="150" w:afterLines="100" w:line="480" w:lineRule="atLeast"/>
    </w:pPr>
    <w:rPr>
      <w:rFonts w:ascii="Candara" w:cs="Candara" w:eastAsia="Candara" w:hAnsi="Candara"/>
      <w:sz w:val="40"/>
      <w:szCs w:val="40"/>
      <w:b w:val="on"/>
      <w:bCs w:val="on"/>
    </w:rPr>
  </w:style>
  <w:style w:styleId="Para 156" w:type="paragraph">
    <w:name w:val="Para 156"/>
    <w:qFormat/>
    <w:basedOn w:val="Normal"/>
    <w:pPr>
      <w:spacing w:beforeLines="150"/>
    </w:pPr>
    <w:rPr>
      <w:rFonts w:ascii="Candara" w:cs="Candara" w:eastAsia="Candara" w:hAnsi="Candara"/>
      <w:i w:val="on"/>
      <w:iCs w:val="on"/>
    </w:rPr>
  </w:style>
  <w:style w:styleId="Para 157" w:type="paragraph">
    <w:name w:val="Para 157"/>
    <w:qFormat/>
    <w:basedOn w:val="Normal"/>
    <w:pPr>
      <w:spacing w:beforeLines="150" w:afterLines="100" w:line="431" w:lineRule="atLeast"/>
    </w:pPr>
    <w:rPr>
      <w:rFonts w:ascii="Candara" w:cs="Candara" w:eastAsia="Candara" w:hAnsi="Candara"/>
      <w:sz w:val="36"/>
      <w:szCs w:val="36"/>
    </w:rPr>
  </w:style>
  <w:style w:styleId="Para 158" w:type="paragraph">
    <w:name w:val="Para 158"/>
    <w:qFormat/>
    <w:basedOn w:val="Normal"/>
    <w:pPr>
      <w:spacing w:beforeLines="150" w:afterLines="50" w:line="480" w:lineRule="atLeast"/>
      <w:shd w:val="clear" w:color="auto" w:fill="E5E5E5"/>
      <w:jc w:val="center"/>
    </w:pPr>
    <w:rPr>
      <w:rFonts w:ascii="Candara" w:cs="Candara" w:eastAsia="Candara" w:hAnsi="Candara"/>
      <w:sz w:val="40"/>
      <w:szCs w:val="40"/>
    </w:rPr>
  </w:style>
  <w:style w:styleId="Para 159" w:type="paragraph">
    <w:name w:val="Para 159"/>
    <w:qFormat/>
    <w:basedOn w:val="Normal"/>
    <w:pPr>
      <w:spacing w:line="336" w:lineRule="atLeast"/>
      <w:pBdr>
        <w:left w:val="none" w:sz="0" w:color="auto"/>
        <w:top w:val="none" w:sz="0" w:color="000000"/>
        <w:right w:val="none" w:sz="0" w:color="auto"/>
        <w:bottom w:val="none" w:sz="0" w:color="auto"/>
      </w:pBdr>
    </w:pPr>
    <w:rPr>
      <w:rFonts w:ascii="Candara" w:cs="Candara" w:eastAsia="Candara" w:hAnsi="Candara"/>
      <w:sz w:val="28"/>
      <w:szCs w:val="28"/>
      <w:vertAlign w:val="superscript"/>
    </w:rPr>
  </w:style>
  <w:style w:styleId="Para 160" w:type="paragraph">
    <w:name w:val="Para 160"/>
    <w:qFormat/>
    <w:basedOn w:val="Normal"/>
    <w:pPr>
      <w:spacing w:beforeLines="100" w:afterLines="80"/>
      <w:pBdr>
        <w:bottom w:space="1" w:val="single" w:sz="2" w:color="000000"/>
      </w:pBdr>
    </w:pPr>
    <w:rPr>
      <w:rFonts w:ascii="Candara" w:cs="Candara" w:eastAsia="Candara" w:hAnsi="Candara"/>
      <w:b w:val="on"/>
      <w:bCs w:val="on"/>
    </w:rPr>
  </w:style>
  <w:style w:styleId="Para 161" w:type="paragraph">
    <w:name w:val="Para 161"/>
    <w:qFormat/>
    <w:basedOn w:val="Normal"/>
    <w:pPr>
      <w:spacing w:beforeLines="250" w:afterLines="200" w:line="431" w:lineRule="atLeast"/>
      <w:jc w:val="center"/>
    </w:pPr>
    <w:rPr>
      <w:sz w:val="36"/>
      <w:szCs w:val="36"/>
    </w:rPr>
  </w:style>
  <w:style w:styleId="Para 162" w:type="paragraph">
    <w:name w:val="Para 162"/>
    <w:qFormat/>
    <w:basedOn w:val="Normal"/>
    <w:pPr>
      <w:spacing w:beforeLines="20" w:afterLines="100" w:line="336" w:lineRule="atLeast"/>
    </w:pPr>
    <w:rPr>
      <w:sz w:val="28"/>
      <w:szCs w:val="28"/>
    </w:rPr>
  </w:style>
  <w:style w:styleId="Para 163" w:type="paragraph">
    <w:name w:val="Para 163"/>
    <w:qFormat/>
    <w:basedOn w:val="Normal"/>
    <w:pPr>
      <w:spacing w:beforeLines="100" w:line="431" w:lineRule="atLeast"/>
    </w:pPr>
    <w:rPr>
      <w:sz w:val="36"/>
      <w:szCs w:val="36"/>
      <w:b w:val="on"/>
      <w:bCs w:val="on"/>
    </w:rPr>
  </w:style>
  <w:style w:styleId="Para 164" w:type="paragraph">
    <w:name w:val="Para 164"/>
    <w:qFormat/>
    <w:basedOn w:val="Normal"/>
    <w:pPr>
      <w:spacing w:beforeLines="20"/>
    </w:pPr>
    <w:rPr>
      <w:b w:val="on"/>
      <w:bCs w:val="on"/>
      <w:i w:val="on"/>
      <w:iCs w:val="on"/>
    </w:rPr>
  </w:style>
  <w:style w:styleId="Para 165" w:type="paragraph">
    <w:name w:val="Para 165"/>
    <w:qFormat/>
    <w:basedOn w:val="Normal"/>
    <w:pPr>
      <w:spacing w:beforeLines="20"/>
    </w:pPr>
    <w:rPr>
      <w:b w:val="on"/>
      <w:bCs w:val="on"/>
    </w:rPr>
  </w:style>
  <w:style w:styleId="Para 166" w:type="paragraph">
    <w:name w:val="Para 166"/>
    <w:qFormat/>
    <w:basedOn w:val="Normal"/>
    <w:pPr>
      <w:spacing w:beforeLines="20" w:afterLines="20" w:line="336" w:lineRule="atLeast"/>
    </w:pPr>
    <w:rPr>
      <w:sz w:val="28"/>
      <w:szCs w:val="28"/>
      <w:i w:val="on"/>
      <w:iCs w:val="on"/>
    </w:rPr>
  </w:style>
  <w:style w:styleId="Para 167" w:type="paragraph">
    <w:name w:val="Para 167"/>
    <w:qFormat/>
    <w:basedOn w:val="Normal"/>
    <w:pPr>
      <w:spacing w:beforeLines="150" w:afterLines="50" w:line="431" w:lineRule="atLeast"/>
      <w:shd w:val="clear" w:color="auto" w:fill="E5E5E5"/>
      <w:jc w:val="center"/>
    </w:pPr>
    <w:rPr>
      <w:rFonts w:ascii="Candara" w:cs="Candara" w:eastAsia="Candara" w:hAnsi="Candara"/>
      <w:sz w:val="36"/>
      <w:szCs w:val="36"/>
    </w:rPr>
  </w:style>
  <w:style w:styleId="Para 168" w:type="paragraph">
    <w:name w:val="Para 168"/>
    <w:qFormat/>
    <w:basedOn w:val="Normal"/>
    <w:pPr>
      <w:spacing w:beforeLines="100" w:afterLines="100"/>
      <w:shd w:val="clear" w:color="auto" w:fill="E5E5E5"/>
      <w:jc w:val="center"/>
    </w:pPr>
    <w:rPr>
      <w:rFonts w:ascii="Candara" w:cs="Candara" w:eastAsia="Candara" w:hAnsi="Candara"/>
    </w:rPr>
  </w:style>
  <w:style w:styleId="Para 169" w:type="paragraph">
    <w:name w:val="Para 169"/>
    <w:qFormat/>
    <w:basedOn w:val="Normal"/>
    <w:pPr>
      <w:spacing w:beforeLines="50" w:afterLines="50" w:line="336" w:lineRule="atLeast"/>
      <w:pBdr>
        <w:left w:val="none" w:sz="0" w:color="auto"/>
        <w:top w:val="none" w:sz="0" w:color="auto"/>
        <w:right w:val="none" w:sz="0" w:color="auto"/>
        <w:bottom w:val="none" w:sz="0" w:color="auto"/>
      </w:pBdr>
    </w:pPr>
    <w:rPr>
      <w:rFonts w:ascii="Candara" w:cs="Candara" w:eastAsia="Candara" w:hAnsi="Candara"/>
      <w:sz w:val="28"/>
      <w:szCs w:val="28"/>
      <w:b w:val="on"/>
      <w:bCs w:val="on"/>
    </w:rPr>
  </w:style>
  <w:style w:styleId="Para 170" w:type="paragraph">
    <w:name w:val="Para 170"/>
    <w:qFormat/>
    <w:basedOn w:val="Normal"/>
    <w:pPr>
      <w:spacing w:beforeLines="200" w:afterLines="100" w:line="479" w:lineRule="atLeast"/>
      <w:shd w:val="clear" w:color="auto" w:fill="E5E5E5"/>
      <w:jc w:val="center"/>
    </w:pPr>
    <w:rPr>
      <w:rFonts w:ascii="Candara" w:cs="Candara" w:eastAsia="Candara" w:hAnsi="Candara"/>
      <w:sz w:val="39"/>
      <w:szCs w:val="39"/>
    </w:rPr>
  </w:style>
  <w:style w:styleId="Para 171" w:type="paragraph">
    <w:name w:val="Para 171"/>
    <w:qFormat/>
    <w:basedOn w:val="Normal"/>
    <w:pPr>
      <w:spacing w:line="336" w:lineRule="atLeast"/>
      <w:shd w:val="clear" w:color="auto" w:fill="E5E5E5"/>
    </w:pPr>
    <w:rPr>
      <w:rFonts w:ascii="Candara" w:cs="Candara" w:eastAsia="Candara" w:hAnsi="Candara"/>
      <w:sz w:val="23"/>
      <w:szCs w:val="23"/>
    </w:rPr>
  </w:style>
  <w:style w:styleId="Para 172" w:type="paragraph">
    <w:name w:val="Para 172"/>
    <w:qFormat/>
    <w:basedOn w:val="Normal"/>
    <w:pPr>
      <w:spacing w:beforeLines="500" w:afterLines="300"/>
      <w:jc w:val="center"/>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73" w:type="paragraph">
    <w:name w:val="Para 173"/>
    <w:qFormat/>
    <w:basedOn w:val="Normal"/>
    <w:pPr>
      <w:spacing w:beforeLines="150" w:afterLines="150" w:line="431" w:lineRule="atLeast"/>
      <w:shd w:val="clear" w:color="auto" w:fill="E5E5E5"/>
      <w:jc w:val="center"/>
    </w:pPr>
    <w:rPr>
      <w:rFonts w:ascii="Candara" w:cs="Candara" w:eastAsia="Candara" w:hAnsi="Candara"/>
      <w:sz w:val="36"/>
      <w:szCs w:val="36"/>
    </w:rPr>
  </w:style>
  <w:style w:styleId="Para 174" w:type="paragraph">
    <w:name w:val="Para 174"/>
    <w:qFormat/>
    <w:basedOn w:val="Normal"/>
    <w:pPr>
      <w:spacing w:beforeLines="50"/>
      <w:shd w:val="clear" w:color="auto" w:fill="E5E5E5"/>
    </w:pPr>
    <w:rPr>
      <w:rFonts w:ascii="Candara" w:cs="Candara" w:eastAsia="Candara" w:hAnsi="Candara"/>
    </w:rPr>
  </w:style>
  <w:style w:styleId="Para 175" w:type="paragraph">
    <w:name w:val="Para 175"/>
    <w:qFormat/>
    <w:basedOn w:val="Normal"/>
    <w:pPr>
      <w:spacing w:beforeLines="150" w:afterLines="150"/>
    </w:pPr>
    <w:rPr>
      <w:rFonts w:ascii="Candara" w:cs="Candara" w:eastAsia="Candara" w:hAnsi="Candara"/>
      <w:b w:val="on"/>
      <w:bCs w:val="on"/>
    </w:rPr>
  </w:style>
  <w:style w:styleId="Para 176" w:type="paragraph">
    <w:name w:val="Para 176"/>
    <w:qFormat/>
    <w:basedOn w:val="Normal"/>
    <w:pPr>
      <w:spacing w:beforeLines="700" w:afterLines="300" w:line="431" w:lineRule="atLeast"/>
      <w:jc w:val="center"/>
    </w:pPr>
    <w:rPr>
      <w:sz w:val="36"/>
      <w:szCs w:val="36"/>
    </w:rPr>
  </w:style>
  <w:style w:styleId="Para 177" w:type="paragraph">
    <w:name w:val="Para 177"/>
    <w:qFormat/>
    <w:basedOn w:val="Normal"/>
    <w:pPr>
      <w:spacing w:beforeLines="10" w:line="431" w:lineRule="atLeast"/>
      <w:jc w:val="center"/>
    </w:pPr>
    <w:rPr>
      <w:sz w:val="36"/>
      <w:szCs w:val="36"/>
    </w:rPr>
  </w:style>
  <w:style w:styleId="Para 178" w:type="paragraph">
    <w:name w:val="Para 178"/>
    <w:qFormat/>
    <w:basedOn w:val="Normal"/>
    <w:pPr>
      <w:spacing w:beforeLines="100" w:afterLines="100"/>
      <w:ind w:leftChars="100" w:rightChars="100"/>
      <w:jc w:val="center"/>
    </w:pPr>
    <w:rPr>
      <w:rFonts w:ascii="Candara" w:cs="Candara" w:eastAsia="Candara" w:hAnsi="Candara"/>
      <w:sz w:val="24"/>
      <w:szCs w:val="24"/>
    </w:rPr>
  </w:style>
  <w:style w:styleId="Para 179" w:type="paragraph">
    <w:name w:val="Para 179"/>
    <w:qFormat/>
    <w:basedOn w:val="Normal"/>
    <w:pPr>
      <w:spacing w:beforeLines="20" w:afterLines="20"/>
    </w:pPr>
    <w:rPr>
      <w:rFonts w:ascii="Candara" w:cs="Candara" w:eastAsia="Candara" w:hAnsi="Candara"/>
      <w:sz w:val="24"/>
      <w:szCs w:val="24"/>
      <w:b w:val="on"/>
      <w:bCs w:val="on"/>
    </w:rPr>
  </w:style>
  <w:style w:styleId="Para 180" w:type="paragraph">
    <w:name w:val="Para 180"/>
    <w:qFormat/>
    <w:basedOn w:val="Normal"/>
    <w:pPr>
      <w:spacing w:beforeLines="20"/>
      <w:pBdr>
        <w:left w:val="none" w:sz="0" w:color="auto"/>
        <w:top w:val="none" w:sz="0" w:color="auto"/>
        <w:right w:val="none" w:sz="0" w:color="auto"/>
        <w:bottom w:val="none" w:sz="0" w:color="auto"/>
      </w:pBdr>
    </w:pPr>
    <w:rPr>
      <w:rFonts w:ascii="Candara" w:cs="Candara" w:eastAsia="Candara" w:hAnsi="Candara"/>
      <w:sz w:val="24"/>
      <w:szCs w:val="24"/>
      <w:vertAlign w:val="superscript"/>
    </w:rPr>
  </w:style>
  <w:style w:styleId="Para 181" w:type="paragraph">
    <w:name w:val="Para 181"/>
    <w:qFormat/>
    <w:basedOn w:val="Normal"/>
    <w:pPr>
      <w:spacing w:beforeLines="150" w:afterLines="200" w:line="528" w:lineRule="atLeast"/>
      <w:jc w:val="center"/>
    </w:pPr>
    <w:rPr>
      <w:sz w:val="44"/>
      <w:szCs w:val="44"/>
      <w:spacing w:val="4"/>
    </w:rPr>
  </w:style>
  <w:style w:styleId="Para 182" w:type="paragraph">
    <w:name w:val="Para 182"/>
    <w:qFormat/>
    <w:basedOn w:val="Normal"/>
    <w:pPr>
      <w:spacing w:beforeLines="400" w:afterLines="200" w:line="480" w:lineRule="atLeast"/>
      <w:jc w:val="center"/>
    </w:pPr>
    <w:rPr>
      <w:sz w:val="40"/>
      <w:szCs w:val="40"/>
    </w:rPr>
  </w:style>
  <w:style w:styleId="Para 183" w:type="paragraph">
    <w:name w:val="Para 183"/>
    <w:qFormat/>
    <w:basedOn w:val="Normal"/>
    <w:pPr>
      <w:spacing w:beforeLines="600"/>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84" w:type="paragraph">
    <w:name w:val="Para 184"/>
    <w:qFormat/>
    <w:basedOn w:val="Normal"/>
    <w:pPr>
      <w:spacing w:line="336" w:lineRule="atLeast"/>
    </w:pPr>
    <w:rPr>
      <w:sz w:val="28"/>
      <w:szCs w:val="28"/>
      <w:b w:val="on"/>
      <w:bCs w:val="on"/>
      <w:i w:val="on"/>
      <w:iCs w:val="on"/>
    </w:rPr>
  </w:style>
  <w:style w:styleId="Para 185" w:type="paragraph">
    <w:name w:val="Para 185"/>
    <w:qFormat/>
    <w:basedOn w:val="Normal"/>
    <w:pPr>
      <w:spacing w:beforeLines="100" w:afterLines="100" w:line="480" w:lineRule="atLeast"/>
      <w:shd w:val="clear" w:color="auto" w:fill="E5E5E5"/>
      <w:jc w:val="center"/>
    </w:pPr>
    <w:rPr>
      <w:rFonts w:ascii="Candara" w:cs="Candara" w:eastAsia="Candara" w:hAnsi="Candara"/>
      <w:sz w:val="40"/>
      <w:szCs w:val="40"/>
    </w:rPr>
  </w:style>
  <w:style w:styleId="Para 186" w:type="paragraph">
    <w:name w:val="Para 186"/>
    <w:qFormat/>
    <w:basedOn w:val="Normal"/>
    <w:pPr>
      <w:ind w:leftChars="200"/>
      <w:shd w:val="clear" w:color="auto" w:fill="E5E5E5"/>
    </w:pPr>
    <w:rPr>
      <w:rFonts w:ascii="Candara" w:cs="Candara" w:eastAsia="Candara" w:hAnsi="Candara"/>
    </w:rPr>
  </w:style>
  <w:style w:styleId="Para 187" w:type="paragraph">
    <w:name w:val="Para 187"/>
    <w:qFormat/>
    <w:basedOn w:val="Normal"/>
    <w:pPr>
      <w:spacing w:beforeLines="100" w:afterLines="300" w:line="480" w:lineRule="atLeast"/>
      <w:jc w:val="center"/>
    </w:pPr>
    <w:rPr>
      <w:sz w:val="40"/>
      <w:szCs w:val="40"/>
      <w:i w:val="on"/>
      <w:iCs w:val="on"/>
    </w:rPr>
  </w:style>
  <w:style w:styleId="Para 188" w:type="paragraph">
    <w:name w:val="Para 188"/>
    <w:qFormat/>
    <w:basedOn w:val="Normal"/>
    <w:pPr>
      <w:spacing w:beforeLines="50" w:line="336" w:lineRule="atLeast"/>
      <w:jc w:val="both"/>
    </w:pPr>
    <w:rPr>
      <w:sz w:val="28"/>
      <w:szCs w:val="28"/>
    </w:rPr>
  </w:style>
  <w:style w:styleId="Para 189" w:type="paragraph">
    <w:name w:val="Para 189"/>
    <w:qFormat/>
    <w:basedOn w:val="Normal"/>
    <w:pPr>
      <w:spacing w:beforeLines="100" w:afterLines="50" w:line="336" w:lineRule="atLeast"/>
      <w:jc w:val="both"/>
    </w:pPr>
    <w:rPr>
      <w:rFonts w:ascii="Candara" w:cs="Candara" w:eastAsia="Candara" w:hAnsi="Candara"/>
      <w:sz w:val="28"/>
      <w:szCs w:val="28"/>
      <w:b w:val="on"/>
      <w:bCs w:val="on"/>
    </w:rPr>
  </w:style>
  <w:style w:styleId="Para 190" w:type="paragraph">
    <w:name w:val="Para 190"/>
    <w:qFormat/>
    <w:basedOn w:val="Normal"/>
    <w:pPr>
      <w:spacing w:beforeLines="100" w:afterLines="50"/>
      <w:jc w:val="both"/>
    </w:pPr>
    <w:rPr>
      <w:rFonts w:ascii="Candara" w:cs="Candara" w:eastAsia="Candara" w:hAnsi="Candara"/>
      <w:i w:val="on"/>
      <w:iCs w:val="on"/>
      <w:spacing w:val="-2"/>
    </w:rPr>
  </w:style>
  <w:style w:styleId="Para 191" w:type="paragraph">
    <w:name w:val="Para 191"/>
    <w:qFormat/>
    <w:basedOn w:val="Normal"/>
    <w:pPr>
      <w:spacing w:beforeLines="200" w:line="336" w:lineRule="atLeast"/>
    </w:pPr>
    <w:rPr>
      <w:sz w:val="28"/>
      <w:szCs w:val="28"/>
    </w:rPr>
  </w:style>
  <w:style w:styleId="Para 192" w:type="paragraph">
    <w:name w:val="Para 192"/>
    <w:qFormat/>
    <w:basedOn w:val="Normal"/>
    <w:pPr>
      <w:spacing w:beforeLines="30" w:line="336" w:lineRule="atLeast"/>
      <w:jc w:val="right"/>
    </w:pPr>
    <w:rPr>
      <w:sz w:val="28"/>
      <w:szCs w:val="28"/>
    </w:rPr>
  </w:style>
  <w:style w:styleId="Para 193" w:type="paragraph">
    <w:name w:val="Para 193"/>
    <w:qFormat/>
    <w:basedOn w:val="Normal"/>
    <w:pPr>
      <w:spacing w:line="336" w:lineRule="atLeast"/>
    </w:pPr>
    <w:rPr>
      <w:sz w:val="28"/>
      <w:szCs w:val="28"/>
      <w:i w:val="on"/>
      <w:iCs w:val="on"/>
    </w:rPr>
  </w:style>
  <w:style w:styleId="Para 194" w:type="paragraph">
    <w:name w:val="Para 194"/>
    <w:qFormat/>
    <w:basedOn w:val="Normal"/>
    <w:pPr>
      <w:spacing w:beforeLines="150" w:afterLines="100"/>
    </w:pPr>
    <w:rPr>
      <w:rFonts w:ascii="Candara" w:cs="Candara" w:eastAsia="Candara" w:hAnsi="Candara"/>
      <w:b w:val="on"/>
      <w:bCs w:val="on"/>
    </w:rPr>
  </w:style>
  <w:style w:styleId="Para 195" w:type="paragraph">
    <w:name w:val="Para 195"/>
    <w:qFormat/>
    <w:basedOn w:val="Normal"/>
    <w:pPr>
      <w:spacing w:beforeLines="150" w:afterLines="100"/>
    </w:pPr>
    <w:rPr>
      <w:rFonts w:ascii="Candara" w:cs="Candara" w:eastAsia="Candara" w:hAnsi="Candara"/>
      <w:b w:val="on"/>
      <w:bCs w:val="on"/>
      <w:i w:val="on"/>
      <w:iCs w:val="on"/>
    </w:rPr>
  </w:style>
  <w:style w:styleId="Para 196" w:type="paragraph">
    <w:name w:val="Para 196"/>
    <w:qFormat/>
    <w:basedOn w:val="Normal"/>
    <w:pPr>
      <w:spacing w:beforeLines="80" w:afterLines="80"/>
      <w:jc w:val="center"/>
    </w:pPr>
    <w:rPr>
      <w:sz w:val="24"/>
      <w:szCs w:val="24"/>
    </w:rPr>
  </w:style>
  <w:style w:styleId="Para 197" w:type="paragraph">
    <w:name w:val="Para 197"/>
    <w:qFormat/>
    <w:basedOn w:val="Normal"/>
    <w:pPr>
      <w:spacing w:beforeLines="200" w:afterLines="250" w:line="528" w:lineRule="atLeast"/>
      <w:jc w:val="center"/>
    </w:pPr>
    <w:rPr>
      <w:sz w:val="44"/>
      <w:szCs w:val="44"/>
    </w:rPr>
  </w:style>
  <w:style w:styleId="Para 198" w:type="paragraph">
    <w:name w:val="Para 198"/>
    <w:qFormat/>
    <w:basedOn w:val="Normal"/>
    <w:pPr>
      <w:spacing w:beforeLines="550"/>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99" w:type="paragraph">
    <w:name w:val="Para 199"/>
    <w:qFormat/>
    <w:basedOn w:val="Normal"/>
    <w:pPr>
      <w:spacing w:beforeLines="30" w:afterLines="30" w:line="431" w:lineRule="atLeast"/>
    </w:pPr>
    <w:rPr>
      <w:rFonts w:ascii="Candara" w:cs="Candara" w:eastAsia="Candara" w:hAnsi="Candara"/>
      <w:sz w:val="36"/>
      <w:szCs w:val="36"/>
      <w:b w:val="on"/>
      <w:bCs w:val="on"/>
    </w:rPr>
  </w:style>
  <w:style w:styleId="Para 200" w:type="paragraph">
    <w:name w:val="Para 200"/>
    <w:qFormat/>
    <w:basedOn w:val="Normal"/>
    <w:pPr>
      <w:spacing w:beforeLines="200" w:afterLines="250" w:line="528" w:lineRule="atLeast"/>
      <w:jc w:val="center"/>
    </w:pPr>
    <w:rPr>
      <w:sz w:val="44"/>
      <w:szCs w:val="44"/>
      <w:b w:val="on"/>
      <w:bCs w:val="on"/>
    </w:rPr>
  </w:style>
  <w:style w:styleId="Para 201" w:type="paragraph">
    <w:name w:val="Para 201"/>
    <w:qFormat/>
    <w:basedOn w:val="Normal"/>
    <w:pPr>
      <w:spacing w:beforeLines="30"/>
    </w:pPr>
    <w:rPr>
      <w:rFonts w:ascii="Candara" w:cs="Candara" w:eastAsia="Candara" w:hAnsi="Candara"/>
      <w:i w:val="on"/>
      <w:iCs w:val="on"/>
    </w:rPr>
  </w:style>
  <w:style w:styleId="Para 202" w:type="paragraph">
    <w:name w:val="Para 202"/>
    <w:qFormat/>
    <w:basedOn w:val="Normal"/>
    <w:pPr>
      <w:spacing w:beforeLines="100" w:afterLines="100"/>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203" w:type="paragraph">
    <w:name w:val="Para 203"/>
    <w:qFormat/>
    <w:basedOn w:val="Normal"/>
    <w:pPr>
      <w:spacing w:beforeLines="30"/>
      <w:shd w:val="clear" w:color="auto" w:fill="E5E5E5"/>
    </w:pPr>
    <w:rPr>
      <w:rFonts w:ascii="Candara" w:cs="Candara" w:eastAsia="Candara" w:hAnsi="Candara"/>
    </w:rPr>
  </w:style>
  <w:style w:styleId="Para 204" w:type="paragraph">
    <w:name w:val="Para 204"/>
    <w:qFormat/>
    <w:basedOn w:val="Normal"/>
    <w:pPr>
      <w:spacing w:beforeLines="100" w:afterLines="100" w:line="336" w:lineRule="atLeast"/>
      <w:ind w:leftChars="50"/>
      <w:jc w:val="center"/>
    </w:pPr>
    <w:rPr>
      <w:sz w:val="28"/>
      <w:szCs w:val="28"/>
    </w:rPr>
  </w:style>
  <w:style w:styleId="Para 205" w:type="paragraph">
    <w:name w:val="Para 205"/>
    <w:qFormat/>
    <w:basedOn w:val="Normal"/>
    <w:pPr>
      <w:shd w:val="clear" w:color="auto" w:fill="E5E5E5"/>
    </w:pPr>
    <w:rPr>
      <w:rFonts w:ascii="Candara" w:cs="Candara" w:eastAsia="Candara" w:hAnsi="Candara"/>
      <w:sz w:val="28"/>
      <w:szCs w:val="28"/>
    </w:rPr>
  </w:style>
  <w:style w:styleId="Para 206" w:type="paragraph">
    <w:name w:val="Para 206"/>
    <w:qFormat/>
    <w:basedOn w:val="Normal"/>
    <w:pPr>
      <w:spacing w:beforeLines="150"/>
      <w:shd w:val="clear" w:color="auto" w:fill="E5E5E5"/>
    </w:pPr>
    <w:rPr>
      <w:rFonts w:ascii="Candara" w:cs="Candara" w:eastAsia="Candara" w:hAnsi="Candara"/>
      <w:sz w:val="28"/>
      <w:szCs w:val="28"/>
    </w:rPr>
  </w:style>
  <w:style w:styleId="Para 207" w:type="paragraph">
    <w:name w:val="Para 207"/>
    <w:qFormat/>
    <w:basedOn w:val="Normal"/>
    <w:pPr>
      <w:spacing w:beforeLines="100" w:afterLines="100"/>
      <w:shd w:val="clear" w:color="auto" w:fill="E5E5E5"/>
    </w:pPr>
    <w:rPr>
      <w:rFonts w:ascii="Candara" w:cs="Candara" w:eastAsia="Candara" w:hAnsi="Candara"/>
      <w:sz w:val="28"/>
      <w:szCs w:val="28"/>
    </w:rPr>
  </w:style>
  <w:style w:styleId="Para 208" w:type="paragraph">
    <w:name w:val="Para 208"/>
    <w:qFormat/>
    <w:basedOn w:val="Normal"/>
    <w:pPr>
      <w:spacing w:beforeLines="70" w:afterLines="70" w:line="336" w:lineRule="atLeast"/>
    </w:pPr>
    <w:rPr>
      <w:sz w:val="28"/>
      <w:szCs w:val="28"/>
    </w:rPr>
  </w:style>
  <w:style w:styleId="Para 209" w:type="paragraph">
    <w:name w:val="Para 209"/>
    <w:qFormat/>
    <w:basedOn w:val="Normal"/>
    <w:pPr>
      <w:spacing w:beforeLines="20" w:line="336" w:lineRule="atLeast"/>
      <w:ind w:leftChars="100"/>
    </w:pPr>
    <w:rPr>
      <w:sz w:val="28"/>
      <w:szCs w:val="28"/>
    </w:rPr>
  </w:style>
  <w:style w:styleId="Para 210" w:type="paragraph">
    <w:name w:val="Para 210"/>
    <w:qFormat/>
    <w:basedOn w:val="Normal"/>
    <w:pPr>
      <w:spacing w:beforeLines="20" w:line="336" w:lineRule="atLeast"/>
      <w:ind w:right="1404" w:rightChars="0"/>
      <w:jc w:val="right"/>
    </w:pPr>
    <w:rPr>
      <w:sz w:val="28"/>
      <w:szCs w:val="28"/>
    </w:rPr>
  </w:style>
  <w:style w:styleId="Para 211" w:type="paragraph">
    <w:name w:val="Para 211"/>
    <w:qFormat/>
    <w:basedOn w:val="Normal"/>
    <w:pPr>
      <w:spacing w:beforeLines="400" w:afterLines="200" w:line="431" w:lineRule="atLeast"/>
      <w:jc w:val="center"/>
    </w:pPr>
    <w:rPr>
      <w:sz w:val="36"/>
      <w:szCs w:val="36"/>
    </w:rPr>
  </w:style>
  <w:style w:styleId="Para 212" w:type="paragraph">
    <w:name w:val="Para 212"/>
    <w:qFormat/>
    <w:basedOn w:val="Normal"/>
    <w:pPr>
      <w:spacing w:beforeLines="100" w:afterLines="100" w:line="336" w:lineRule="atLeast"/>
      <w:ind w:leftChars="100" w:rightChars="100"/>
      <w:jc w:val="center"/>
    </w:pPr>
    <w:rPr>
      <w:rFonts w:ascii="Candara" w:cs="Candara" w:eastAsia="Candara" w:hAnsi="Candara"/>
      <w:sz w:val="28"/>
      <w:szCs w:val="28"/>
    </w:rPr>
  </w:style>
  <w:style w:styleId="Para 213" w:type="paragraph">
    <w:name w:val="Para 213"/>
    <w:qFormat/>
    <w:basedOn w:val="Normal"/>
    <w:pPr>
      <w:spacing w:beforeLines="200" w:afterLines="100"/>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214" w:type="paragraph">
    <w:name w:val="Para 214"/>
    <w:qFormat/>
    <w:basedOn w:val="Normal"/>
    <w:pPr>
      <w:spacing w:beforeLines="100" w:afterLines="200" w:line="480" w:lineRule="atLeast"/>
      <w:shd w:val="clear" w:color="auto" w:fill="E5E5E5"/>
      <w:pBdr>
        <w:top w:space="20"/>
      </w:pBdr>
      <w:jc w:val="center"/>
    </w:pPr>
    <w:rPr>
      <w:rFonts w:ascii="Candara" w:cs="Candara" w:eastAsia="Candara" w:hAnsi="Candara"/>
      <w:sz w:val="40"/>
      <w:szCs w:val="40"/>
    </w:rPr>
  </w:style>
  <w:style w:styleId="Para 215" w:type="paragraph">
    <w:name w:val="Para 215"/>
    <w:qFormat/>
    <w:basedOn w:val="Normal"/>
    <w:pPr>
      <w:spacing w:beforeLines="400" w:line="336" w:lineRule="atLeast"/>
    </w:pPr>
    <w:rPr>
      <w:sz w:val="28"/>
      <w:szCs w:val="28"/>
    </w:rPr>
  </w:style>
  <w:style w:styleId="Para 216" w:type="paragraph">
    <w:name w:val="Para 216"/>
    <w:qFormat/>
    <w:basedOn w:val="Normal"/>
    <w:pPr>
      <w:spacing w:beforeLines="150" w:afterLines="100"/>
      <w:pBdr>
        <w:top w:space="8" w:val="single" w:sz="16" w:color="auto"/>
      </w:pBdr>
    </w:pPr>
    <w:rPr>
      <w:rFonts w:ascii="Candara" w:cs="Candara" w:eastAsia="Candara" w:hAnsi="Candara"/>
      <w:b w:val="on"/>
      <w:bCs w:val="on"/>
    </w:rPr>
  </w:style>
  <w:style w:styleId="Para 217" w:type="paragraph">
    <w:name w:val="Para 217"/>
    <w:qFormat/>
    <w:basedOn w:val="Normal"/>
    <w:pPr>
      <w:spacing w:beforeLines="150" w:afterLines="50" w:line="336" w:lineRule="atLeast"/>
      <w:pBdr>
        <w:top w:space="4"/>
        <w:bottom w:val="single" w:sz="8" w:color="auto"/>
      </w:pBdr>
    </w:pPr>
    <w:rPr>
      <w:rFonts w:ascii="Candara" w:cs="Candara" w:eastAsia="Candara" w:hAnsi="Candara"/>
      <w:sz w:val="28"/>
      <w:szCs w:val="28"/>
      <w:b w:val="on"/>
      <w:bCs w:val="on"/>
    </w:rPr>
  </w:style>
  <w:style w:styleId="Para 218" w:type="paragraph">
    <w:name w:val="Para 218"/>
    <w:qFormat/>
    <w:basedOn w:val="Normal"/>
    <w:pPr>
      <w:spacing w:afterLines="100"/>
    </w:pPr>
    <w:rPr>
      <w:rFonts w:ascii="Candara" w:cs="Candara" w:eastAsia="Candara" w:hAnsi="Candara"/>
      <w:b w:val="on"/>
      <w:bCs w:val="on"/>
    </w:rPr>
  </w:style>
  <w:style w:styleId="Para 219" w:type="paragraph">
    <w:name w:val="Para 219"/>
    <w:qFormat/>
    <w:basedOn w:val="Normal"/>
    <w:pPr>
      <w:spacing w:beforeLines="50" w:afterLines="50" w:line="336" w:lineRule="atLeast"/>
      <w:pBdr>
        <w:left w:val="none" w:sz="0" w:color="auto"/>
        <w:top w:val="none" w:sz="0" w:color="auto"/>
        <w:right w:val="none" w:sz="0" w:color="auto"/>
        <w:bottom w:val="none" w:sz="0" w:color="auto"/>
      </w:pBdr>
    </w:pPr>
    <w:rPr>
      <w:rFonts w:ascii="Candara" w:cs="Candara" w:eastAsia="Candara" w:hAnsi="Candara"/>
      <w:sz w:val="28"/>
      <w:szCs w:val="28"/>
      <w:b w:val="on"/>
      <w:bCs w:val="on"/>
      <w:vertAlign w:val="superscript"/>
    </w:rPr>
  </w:style>
  <w:style w:styleId="Para 220" w:type="paragraph">
    <w:name w:val="Para 220"/>
    <w:qFormat/>
    <w:basedOn w:val="Normal"/>
    <w:pPr>
      <w:spacing w:beforeLines="100"/>
    </w:pPr>
    <w:rPr>
      <w:b w:val="on"/>
      <w:bCs w:val="on"/>
      <w:i w:val="on"/>
      <w:iCs w:val="on"/>
    </w:rPr>
  </w:style>
  <w:style w:styleId="Para 221" w:type="paragraph">
    <w:name w:val="Para 221"/>
    <w:qFormat/>
    <w:basedOn w:val="Normal"/>
    <w:pPr>
      <w:spacing w:beforeLines="300" w:line="576" w:lineRule="atLeast"/>
      <w:shd w:val="clear" w:color="auto" w:fill="E5E5E5"/>
      <w:jc w:val="center"/>
    </w:pPr>
    <w:rPr>
      <w:rFonts w:ascii="Candara" w:cs="Candara" w:eastAsia="Candara" w:hAnsi="Candara"/>
      <w:sz w:val="48"/>
      <w:szCs w:val="48"/>
    </w:rPr>
  </w:style>
  <w:style w:styleId="Para 222" w:type="paragraph">
    <w:name w:val="Para 222"/>
    <w:qFormat/>
    <w:basedOn w:val="Normal"/>
    <w:pPr>
      <w:spacing w:beforeLines="50" w:afterLines="100" w:line="336" w:lineRule="atLeast"/>
      <w:pBdr>
        <w:bottom w:space="7"/>
      </w:pBdr>
      <w:jc w:val="both"/>
    </w:pPr>
    <w:rPr>
      <w:rFonts w:ascii="Candara" w:cs="Candara" w:eastAsia="Candara" w:hAnsi="Candara"/>
      <w:sz w:val="28"/>
      <w:szCs w:val="28"/>
      <w:b w:val="on"/>
      <w:bCs w:val="on"/>
    </w:rPr>
  </w:style>
  <w:style w:styleId="Para 223" w:type="paragraph">
    <w:name w:val="Para 223"/>
    <w:qFormat/>
    <w:basedOn w:val="Normal"/>
    <w:pPr>
      <w:spacing w:beforeLines="0" w:afterLines="100" w:line="480" w:lineRule="atLeast"/>
      <w:pBdr>
        <w:top w:space="10" w:val="single" w:sz="2" w:color="000000"/>
      </w:pBdr>
    </w:pPr>
    <w:rPr>
      <w:rFonts w:ascii="Candara" w:cs="Candara" w:eastAsia="Candara" w:hAnsi="Candara"/>
      <w:sz w:val="36"/>
      <w:szCs w:val="36"/>
      <w:b w:val="on"/>
      <w:bCs w:val="on"/>
    </w:rPr>
  </w:style>
  <w:style w:styleId="Para 224" w:type="paragraph">
    <w:name w:val="Para 224"/>
    <w:qFormat/>
    <w:basedOn w:val="Normal"/>
    <w:pPr>
      <w:spacing w:line="384" w:lineRule="atLeast"/>
      <w:jc w:val="left"/>
    </w:pPr>
    <w:rPr>
      <w:rFonts w:ascii="Candara" w:cs="Candara" w:eastAsia="Candara" w:hAnsi="Candara"/>
      <w:i w:val="on"/>
      <w:iCs w:val="on"/>
    </w:rPr>
  </w:style>
  <w:style w:styleId="Para 225" w:type="paragraph">
    <w:name w:val="Para 225"/>
    <w:qFormat/>
    <w:basedOn w:val="Normal"/>
    <w:pPr>
      <w:spacing w:beforeLines="0"/>
    </w:pPr>
    <w:rPr>
      <w:rFonts w:ascii="Candara" w:cs="Candara" w:eastAsia="Candara" w:hAnsi="Candara"/>
    </w:rPr>
  </w:style>
  <w:style w:styleId="Para 226" w:type="paragraph">
    <w:name w:val="Para 226"/>
    <w:qFormat/>
    <w:basedOn w:val="Normal"/>
    <w:pPr>
      <w:spacing w:beforeLines="70"/>
    </w:pPr>
    <w:rPr>
      <w:i w:val="on"/>
      <w:iCs w:val="on"/>
    </w:rPr>
  </w:style>
  <w:style w:styleId="Para 227" w:type="paragraph">
    <w:name w:val="Para 227"/>
    <w:qFormat/>
    <w:basedOn w:val="Normal"/>
    <w:pPr>
      <w:spacing w:beforeLines="150" w:line="431" w:lineRule="atLeast"/>
    </w:pPr>
    <w:rPr>
      <w:sz w:val="36"/>
      <w:szCs w:val="36"/>
    </w:rPr>
  </w:style>
  <w:style w:styleId="Para 228" w:type="paragraph">
    <w:name w:val="Para 228"/>
    <w:qFormat/>
    <w:basedOn w:val="Normal"/>
    <w:pPr>
      <w:spacing w:line="431" w:lineRule="atLeast"/>
    </w:pPr>
    <w:rPr>
      <w:sz w:val="36"/>
      <w:szCs w:val="36"/>
      <w:b w:val="on"/>
      <w:bCs w:val="on"/>
    </w:rPr>
  </w:style>
  <w:style w:styleId="Para 229" w:type="paragraph">
    <w:name w:val="Para 229"/>
    <w:qFormat/>
    <w:basedOn w:val="Normal"/>
    <w:pPr>
      <w:spacing w:line="431" w:lineRule="atLeast"/>
    </w:pPr>
    <w:rPr>
      <w:sz w:val="36"/>
      <w:szCs w:val="36"/>
      <w:b w:val="on"/>
      <w:bCs w:val="on"/>
      <w:i w:val="on"/>
      <w:iCs w:val="on"/>
    </w:rPr>
  </w:style>
  <w:style w:styleId="Para 230" w:type="paragraph">
    <w:name w:val="Para 230"/>
    <w:qFormat/>
    <w:basedOn w:val="Normal"/>
    <w:pPr>
      <w:spacing w:beforeLines="500" w:line="336" w:lineRule="atLeast"/>
    </w:pPr>
    <w:rPr>
      <w:sz w:val="28"/>
      <w:szCs w:val="28"/>
    </w:rPr>
  </w:style>
  <w:style w:styleId="Para 231" w:type="paragraph">
    <w:name w:val="Para 231"/>
    <w:qFormat/>
    <w:basedOn w:val="Normal"/>
    <w:pPr>
      <w:spacing w:beforeLines="20" w:line="336" w:lineRule="atLeast"/>
      <w:ind w:rightChars="800"/>
      <w:jc w:val="right"/>
    </w:pPr>
    <w:rPr>
      <w:sz w:val="28"/>
      <w:szCs w:val="28"/>
    </w:rPr>
  </w:style>
  <w:style w:styleId="Para 232" w:type="paragraph">
    <w:name w:val="Para 232"/>
    <w:qFormat/>
    <w:basedOn w:val="Normal"/>
    <w:pPr>
      <w:spacing w:beforeLines="200" w:afterLines="300"/>
      <w:jc w:val="center"/>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233" w:type="paragraph">
    <w:name w:val="Para 233"/>
    <w:qFormat/>
    <w:basedOn w:val="Normal"/>
    <w:pPr>
      <w:spacing w:beforeLines="150"/>
    </w:pPr>
    <w:rPr>
      <w:b w:val="on"/>
      <w:bCs w:val="on"/>
      <w:i w:val="on"/>
      <w:iCs w:val="on"/>
    </w:rPr>
  </w:style>
  <w:style w:styleId="Para 234" w:type="paragraph">
    <w:name w:val="Para 234"/>
    <w:qFormat/>
    <w:basedOn w:val="Normal"/>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235" w:type="paragraph">
    <w:name w:val="Para 235"/>
    <w:qFormat/>
    <w:basedOn w:val="Normal"/>
    <w:pPr>
      <w:spacing w:beforeLines="700" w:line="336" w:lineRule="atLeast"/>
    </w:pPr>
    <w:rPr>
      <w:sz w:val="28"/>
      <w:szCs w:val="28"/>
    </w:rPr>
  </w:style>
  <w:style w:styleId="Para 236" w:type="paragraph">
    <w:name w:val="Para 236"/>
    <w:qFormat/>
    <w:basedOn w:val="Normal"/>
    <w:pPr>
      <w:spacing w:beforeLines="500" w:afterLines="200" w:line="480" w:lineRule="atLeast"/>
      <w:jc w:val="center"/>
    </w:pPr>
    <w:rPr>
      <w:sz w:val="40"/>
      <w:szCs w:val="40"/>
    </w:rPr>
  </w:style>
  <w:style w:styleId="Para 237" w:type="paragraph">
    <w:name w:val="Para 237"/>
    <w:qFormat/>
    <w:basedOn w:val="Normal"/>
    <w:pPr>
      <w:spacing w:beforeLines="50" w:afterLines="200" w:line="576" w:lineRule="atLeast"/>
      <w:ind w:leftChars="100" w:rightChars="50"/>
      <w:jc w:val="center"/>
    </w:pPr>
    <w:rPr>
      <w:sz w:val="48"/>
      <w:szCs w:val="48"/>
      <w:spacing w:val="4"/>
    </w:rPr>
  </w:style>
  <w:style w:styleId="Para 238" w:type="paragraph">
    <w:name w:val="Para 238"/>
    <w:qFormat/>
    <w:basedOn w:val="Normal"/>
    <w:pPr>
      <w:spacing w:line="364" w:lineRule="atLeast"/>
      <w:ind w:leftChars="50"/>
    </w:pPr>
    <w:rPr>
      <w:sz w:val="28"/>
      <w:szCs w:val="28"/>
    </w:rPr>
  </w:style>
  <w:style w:styleId="Para 239" w:type="paragraph">
    <w:name w:val="Para 239"/>
    <w:qFormat/>
    <w:basedOn w:val="Normal"/>
    <w:pPr>
      <w:spacing w:line="364" w:lineRule="atLeast"/>
      <w:ind w:leftChars="100"/>
    </w:pPr>
    <w:rPr>
      <w:sz w:val="28"/>
      <w:szCs w:val="28"/>
    </w:rPr>
  </w:style>
  <w:style w:styleId="Para 240" w:type="paragraph">
    <w:name w:val="Para 240"/>
    <w:qFormat/>
    <w:basedOn w:val="Normal"/>
    <w:pPr>
      <w:spacing w:beforeLines="50" w:line="364" w:lineRule="atLeast"/>
      <w:ind w:leftChars="50"/>
      <w:jc w:val="right"/>
    </w:pPr>
    <w:rPr>
      <w:sz w:val="28"/>
      <w:szCs w:val="28"/>
    </w:rPr>
  </w:style>
  <w:style w:styleId="Para 241" w:type="paragraph">
    <w:name w:val="Para 241"/>
    <w:qFormat/>
    <w:basedOn w:val="Normal"/>
    <w:pPr>
      <w:spacing w:beforeLines="300" w:afterLines="20"/>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242" w:type="paragraph">
    <w:name w:val="Para 242"/>
    <w:qFormat/>
    <w:basedOn w:val="Normal"/>
    <w:pPr>
      <w:spacing w:beforeLines="200" w:afterLines="100" w:line="383" w:lineRule="atLeast"/>
      <w:pBdr>
        <w:top w:space="7" w:val="single" w:sz="3" w:color="000000"/>
      </w:pBdr>
    </w:pPr>
    <w:rPr>
      <w:rFonts w:ascii="Candara" w:cs="Candara" w:eastAsia="Candara" w:hAnsi="Candara"/>
      <w:sz w:val="31"/>
      <w:szCs w:val="31"/>
      <w:b w:val="on"/>
      <w:bCs w:val="on"/>
    </w:rPr>
  </w:style>
  <w:style w:styleId="Para 243" w:type="paragraph">
    <w:name w:val="Para 243"/>
    <w:qFormat/>
    <w:basedOn w:val="Normal"/>
    <w:pPr>
      <w:spacing w:beforeLines="300" w:afterLines="100"/>
    </w:pPr>
    <w:rPr>
      <w:b w:val="on"/>
      <w:bCs w:val="on"/>
    </w:rPr>
  </w:style>
  <w:style w:styleId="Para 244" w:type="paragraph">
    <w:name w:val="Para 244"/>
    <w:qFormat/>
    <w:basedOn w:val="Normal"/>
    <w:pPr>
      <w:spacing w:beforeLines="100" w:afterLines="100"/>
    </w:pPr>
    <w:rPr>
      <w:b w:val="on"/>
      <w:bCs w:val="on"/>
      <w:i w:val="on"/>
      <w:iCs w:val="on"/>
    </w:rPr>
  </w:style>
  <w:style w:styleId="Para 245" w:type="paragraph">
    <w:name w:val="Para 245"/>
    <w:qFormat/>
    <w:basedOn w:val="Normal"/>
    <w:pPr>
      <w:spacing w:beforeLines="100" w:afterLines="100"/>
    </w:pPr>
    <w:rPr>
      <w:b w:val="on"/>
      <w:bCs w:val="on"/>
    </w:rPr>
  </w:style>
  <w:style w:styleId="Para 246" w:type="paragraph">
    <w:name w:val="Para 246"/>
    <w:qFormat/>
    <w:basedOn w:val="Normal"/>
    <w:pPr>
      <w:spacing w:afterLines="500" w:line="576" w:lineRule="atLeast"/>
      <w:jc w:val="center"/>
    </w:pPr>
    <w:rPr>
      <w:rFonts w:ascii="Candara" w:cs="Candara" w:eastAsia="Candara" w:hAnsi="Candara"/>
      <w:sz w:val="48"/>
      <w:szCs w:val="48"/>
      <w:b w:val="on"/>
      <w:bCs w:val="on"/>
    </w:rPr>
  </w:style>
  <w:style w:styleId="Para 247" w:type="paragraph">
    <w:name w:val="Para 247"/>
    <w:qFormat/>
    <w:basedOn w:val="Normal"/>
    <w:pPr>
      <w:spacing w:afterLines="100"/>
      <w:pBdr>
        <w:bottom w:val="single" w:sz="2" w:color="auto"/>
      </w:pBdr>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248" w:type="paragraph">
    <w:name w:val="Para 248"/>
    <w:qFormat/>
    <w:basedOn w:val="Normal"/>
    <w:pPr>
      <w:spacing w:afterLines="100"/>
      <w:pBdr>
        <w:bottom w:val="single" w:sz="16" w:color="auto"/>
      </w:pBdr>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249" w:type="paragraph">
    <w:name w:val="Para 249"/>
    <w:qFormat/>
    <w:basedOn w:val="Normal"/>
    <w:pPr>
      <w:spacing w:afterLines="100"/>
      <w:pBdr>
        <w:bottom w:val="single" w:sz="8" w:color="auto"/>
      </w:pBdr>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Text0" w:type="character">
    <w:name w:val="00 Text"/>
    <w:rPr>
      <w:i w:val="on"/>
      <w:iCs w:val="on"/>
    </w:rPr>
  </w:style>
  <w:style w:styleId="Text1" w:type="character">
    <w:name w:val="01 Text"/>
    <w:rPr>
      <w:b w:val="on"/>
      <w:bCs w:val="on"/>
    </w:rPr>
  </w:style>
  <w:style w:styleId="Text2" w:type="character">
    <w:name w:val="02 Text"/>
    <w:rPr>
      <w:color w:val="0000FF"/>
      <w:u w:color="auto" w:val="solid"/>
    </w:rPr>
  </w:style>
  <w:style w:styleId="Text3" w:type="character">
    <w:name w:val="03 Text"/>
    <w:rPr>
      <w:b w:val="on"/>
      <w:bCs w:val="on"/>
      <w:i w:val="on"/>
      <w:iCs w:val="on"/>
    </w:rPr>
  </w:style>
  <w:style w:styleId="Text4" w:type="character">
    <w:name w:val="04 Text"/>
    <w:rPr>
      <w:sz w:val="23"/>
      <w:szCs w:val="23"/>
    </w:rPr>
  </w:style>
  <w:style w:styleId="Text5" w:type="character">
    <w:name w:val="05 Text"/>
    <w:rPr>
      <w:sz w:val="24"/>
      <w:szCs w:val="24"/>
      <w:color w:val="0000FF"/>
      <w:u w:color="auto" w:val="solid"/>
      <w:vertAlign w:val="superscript"/>
    </w:rPr>
  </w:style>
  <w:style w:styleId="Text6" w:type="character">
    <w:name w:val="06 Text"/>
    <w:rPr>
      <w:sz w:val="40"/>
      <w:szCs w:val="40"/>
    </w:rPr>
  </w:style>
  <w:style w:styleId="Text7" w:type="character">
    <w:name w:val="07 Text"/>
    <w:rPr>
      <w:vertAlign w:val="baseline"/>
    </w:rPr>
  </w:style>
  <w:style w:styleId="Text8" w:type="character">
    <w:name w:val="08 Text"/>
    <w:rPr>
      <w:rFonts w:cs="Cambria" w:ascii="Cambria" w:eastAsia="Cambria" w:hAnsi="Cambria"/>
      <w:sz w:val="32"/>
      <w:szCs w:val="32"/>
    </w:rPr>
  </w:style>
  <w:style w:styleId="Text9" w:type="character">
    <w:name w:val="09 Text"/>
    <w:rPr>
      <w:rFonts w:cs="Cambria" w:ascii="Cambria" w:eastAsia="Cambria" w:hAnsi="Cambria"/>
      <w:b w:val="on"/>
      <w:bCs w:val="on"/>
    </w:rPr>
  </w:style>
  <w:style w:styleId="Text10" w:type="character">
    <w:name w:val="10 Text"/>
    <w:rPr>
      <w:color w:val="000000"/>
      <w:u w:val="none"/>
    </w:rPr>
  </w:style>
  <w:style w:styleId="00 Block" w:type="paragraph">
    <w:name w:val="00 Block"/>
    <w:pPr>
      <w:spacing w:beforeLines="200" w:line="384" w:lineRule="atLeast"/>
      <w:pBdr>
        <w:bottom w:val="single" w:sz="2" w:color="auto"/>
      </w:pBdr>
      <w:jc w:val="left"/>
    </w:pPr>
  </w:style>
  <w:style w:styleId="01 Block" w:type="paragraph">
    <w:name w:val="01 Block"/>
    <w:basedOn w:val="00 Block"/>
    <w:pPr>
      <w:spacing w:before="0" w:afterLines="100"/>
      <w:pBdr>
        <w:bottom w:val="single" w:sz="3" w:color="auto"/>
      </w:pBdr>
      <w:jc w:val="both"/>
    </w:pPr>
  </w:style>
  <w:style w:styleId="02 Block" w:type="paragraph">
    <w:name w:val="02 Block"/>
    <w:basedOn w:val="00 Block"/>
    <w:pPr>
      <w:spacing w:beforeLines="50" w:afterLines="20" w:line="336" w:lineRule="atLeast"/>
      <w:pBdr>
        <w:bottom w:val="none" w:sz="8" w:color="auto"/>
      </w:pBdr>
    </w:pPr>
  </w:style>
  <w:style w:styleId="03 Block" w:type="paragraph">
    <w:name w:val="03 Block"/>
    <w:basedOn w:val="00 Block"/>
    <w:pPr>
      <w:spacing w:beforeLines="100"/>
      <w:pBdr>
        <w:top w:val="single" w:sz="2" w:color="000000"/>
        <w:bottom w:val="none" w:sz="8" w:color="auto"/>
      </w:pBdr>
    </w:pPr>
  </w:style>
  <w:style w:styleId="04 Block" w:type="paragraph">
    <w:name w:val="04 Block"/>
    <w:basedOn w:val="00 Block"/>
    <w:pPr>
      <w:spacing w:beforeLines="50"/>
      <w:pBdr>
        <w:bottom w:val="none" w:sz="8" w:color="auto"/>
      </w:pBdr>
    </w:pPr>
  </w:style>
  <w:style w:styleId="05 Block" w:type="paragraph">
    <w:name w:val="05 Block"/>
    <w:basedOn w:val="00 Block"/>
    <w:pPr>
      <w:spacing w:beforeLines="100" w:afterLines="20"/>
      <w:pBdr>
        <w:bottom w:val="none" w:sz="8" w:color="auto"/>
      </w:pBdr>
    </w:pPr>
  </w:style>
  <w:style w:styleId="06 Block" w:type="paragraph">
    <w:name w:val="06 Block"/>
    <w:basedOn w:val="00 Block"/>
    <w:pPr>
      <w:spacing w:beforeLines="100"/>
      <w:shd w:val="clear" w:color="auto" w:fill="E5E5E5"/>
      <w:pBdr>
        <w:bottom w:val="none" w:sz="8" w:color="auto"/>
      </w:pBdr>
    </w:pPr>
  </w:style>
  <w:style w:styleId="07 Block" w:type="paragraph">
    <w:name w:val="07 Block"/>
    <w:basedOn w:val="00 Block"/>
    <w:pPr>
      <w:spacing w:before="0" w:afterLines="100"/>
    </w:pPr>
  </w:style>
  <w:style w:styleId="08 Block" w:type="paragraph">
    <w:name w:val="08 Block"/>
    <w:basedOn w:val="00 Block"/>
    <w:pPr>
      <w:spacing w:before="0"/>
      <w:pBdr>
        <w:left w:val="none" w:sz="0" w:color="000000"/>
        <w:top w:val="none" w:sz="0" w:color="auto"/>
        <w:right w:val="none" w:sz="0" w:color="auto"/>
        <w:bottom w:val="none" w:sz="0" w:color="auto"/>
      </w:pBdr>
    </w:pPr>
  </w:style>
  <w:style w:styleId="09 Block" w:type="paragraph">
    <w:name w:val="09 Block"/>
    <w:basedOn w:val="00 Block"/>
    <w:pPr>
      <w:spacing w:beforeLines="30" w:line="336" w:lineRule="atLeast"/>
      <w:pBdr>
        <w:bottom w:val="none" w:sz="8" w:color="auto"/>
      </w:pBdr>
    </w:pPr>
  </w:style>
  <w:style w:styleId="10 Block" w:type="paragraph">
    <w:name w:val="10 Block"/>
    <w:basedOn w:val="00 Block"/>
    <w:pPr>
      <w:spacing w:before="0"/>
      <w:pBdr>
        <w:left w:val="none" w:sz="0" w:color="000000"/>
        <w:top w:val="none" w:sz="0" w:color="000000"/>
        <w:right w:val="none" w:sz="0" w:color="000000"/>
        <w:bottom w:val="none" w:sz="0" w:color="000000"/>
      </w:pBdr>
    </w:pPr>
  </w:style>
  <w:style w:styleId="11 Block" w:type="paragraph">
    <w:name w:val="11 Block"/>
    <w:basedOn w:val="00 Block"/>
    <w:pPr>
      <w:spacing w:beforeLines="100" w:afterLines="20"/>
      <w:pBdr>
        <w:bottom w:val="none" w:sz="8" w:color="auto"/>
      </w:pBdr>
    </w:pPr>
  </w:style>
  <w:style w:styleId="12 Block" w:type="paragraph">
    <w:name w:val="12 Block"/>
    <w:basedOn w:val="00 Block"/>
    <w:pPr>
      <w:spacing w:before="0"/>
      <w:pBdr>
        <w:left w:val="none" w:sz="0" w:color="auto"/>
        <w:top w:val="none" w:sz="0" w:color="auto"/>
        <w:right w:val="none" w:sz="0" w:color="000000"/>
        <w:bottom w:val="none" w:sz="0" w:color="auto"/>
      </w:pBdr>
    </w:pPr>
  </w:style>
  <w:style w:styleId="13 Block" w:type="paragraph">
    <w:name w:val="13 Block"/>
    <w:basedOn w:val="00 Block"/>
    <w:pPr>
      <w:spacing w:beforeLines="100" w:afterLines="100"/>
      <w:pBdr>
        <w:bottom w:val="none" w:sz="8" w:color="auto"/>
      </w:pBdr>
    </w:pPr>
  </w:style>
  <w:style w:styleId="14 Block" w:type="paragraph">
    <w:name w:val="14 Block"/>
    <w:basedOn w:val="00 Block"/>
    <w:pPr>
      <w:spacing w:beforeLines="10" w:line="336" w:lineRule="atLeast"/>
      <w:pBdr>
        <w:bottom w:val="none" w:sz="8" w:color="auto"/>
      </w:pBdr>
    </w:pPr>
  </w:style>
  <w:style w:styleId="15 Block" w:type="paragraph">
    <w:name w:val="15 Block"/>
    <w:basedOn w:val="00 Block"/>
    <w:pPr>
      <w:spacing w:beforeLines="50" w:line="336" w:lineRule="atLeast"/>
      <w:pBdr>
        <w:bottom w:val="none" w:sz="8" w:color="auto"/>
      </w:pBdr>
    </w:pPr>
  </w:style>
  <w:style w:styleId="16 Block" w:type="paragraph">
    <w:name w:val="16 Block"/>
    <w:basedOn w:val="00 Block"/>
    <w:pPr>
      <w:spacing w:before="0" w:line="364" w:lineRule="atLeast"/>
      <w:pBdr>
        <w:bottom w:val="none" w:sz="8" w:color="auto"/>
      </w:pBdr>
    </w:pPr>
  </w:style>
  <w:style w:styleId="17 Block" w:type="paragraph">
    <w:name w:val="17 Block"/>
    <w:basedOn w:val="00 Block"/>
    <w:pPr>
      <w:spacing w:beforeLines="150"/>
      <w:pBdr>
        <w:bottom w:val="none" w:sz="8" w:color="auto"/>
      </w:pBdr>
    </w:pPr>
  </w:style>
  <w:style w:styleId="18 Block" w:type="paragraph">
    <w:name w:val="18 Block"/>
    <w:basedOn w:val="00 Block"/>
    <w:pPr>
      <w:spacing w:beforeLines="100" w:line="336" w:lineRule="atLeast"/>
      <w:pBdr>
        <w:bottom w:val="none" w:sz="8" w:color="auto"/>
      </w:pBdr>
    </w:pPr>
  </w:style>
  <w:style w:styleId="19 Block" w:type="paragraph">
    <w:name w:val="19 Block"/>
    <w:basedOn w:val="00 Block"/>
    <w:pPr>
      <w:spacing w:beforeLines="20" w:afterLines="20"/>
      <w:pBdr>
        <w:bottom w:val="none" w:sz="8" w:color="auto"/>
      </w:pBdr>
    </w:pPr>
  </w:style>
  <w:style w:styleId="20 Block" w:type="paragraph">
    <w:name w:val="20 Block"/>
    <w:basedOn w:val="00 Block"/>
    <w:pPr>
      <w:spacing w:before="0" w:line="336" w:lineRule="atLeast"/>
      <w:pBdr>
        <w:bottom w:val="none" w:sz="8" w:color="auto"/>
      </w:pBdr>
    </w:pPr>
  </w:style>
  <w:style w:styleId="21 Block" w:type="paragraph">
    <w:name w:val="21 Block"/>
    <w:basedOn w:val="00 Block"/>
    <w:pPr>
      <w:spacing w:beforeLines="100"/>
      <w:pBdr>
        <w:bottom w:val="none" w:sz="8" w:color="auto"/>
      </w:pBdr>
    </w:pPr>
  </w:style>
  <w:style w:styleId="22 Block" w:type="paragraph">
    <w:name w:val="22 Block"/>
    <w:basedOn w:val="00 Block"/>
    <w:pPr>
      <w:spacing w:before="0"/>
      <w:pBdr>
        <w:left w:val="none" w:sz="0" w:color="auto"/>
        <w:top w:val="none" w:sz="0" w:color="auto"/>
        <w:right w:val="none" w:sz="0" w:color="auto"/>
        <w:bottom w:val="none" w:sz="0" w:color="auto"/>
      </w:pBdr>
    </w:pPr>
  </w:style>
  <w:style w:styleId="23 Block" w:type="paragraph">
    <w:name w:val="23 Block"/>
    <w:basedOn w:val="00 Block"/>
    <w:pPr>
      <w:spacing w:before="0"/>
      <w:pBdr>
        <w:bottom w:val="none" w:sz="8" w:color="auto"/>
      </w:pBdr>
    </w:pPr>
  </w:style>
</w:styles>
</file>

<file path=word/webSettings.xml><?xml version="1.0" encoding="utf-8"?>
<w:webSettings xmlns:w="http://schemas.openxmlformats.org/wordprocessingml/2006/main">
  <w:optimizeForBrowser/>
  <w:allowPNG/>
  <w:doNotSaveAsSingleFile/>
</w:webSetting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image" Target="media/2600_cover.jpeg"/><Relationship Id="rId6" Type="http://schemas.openxmlformats.org/officeDocument/2006/relationships/image" Target="media/2chap_cover.jpeg"/><Relationship Id="rId7" Type="http://schemas.openxmlformats.org/officeDocument/2006/relationships/image" Target="media/3chap_cover.jpeg"/><Relationship Id="rId8" Type="http://schemas.openxmlformats.org/officeDocument/2006/relationships/image" Target="media/2312_cover.jpeg"/><Relationship Id="rId9" Type="http://schemas.openxmlformats.org/officeDocument/2006/relationships/image" Target="media/5chap_cover.jpeg"/><Relationship Id="rId10" Type="http://schemas.openxmlformats.org/officeDocument/2006/relationships/image" Target="media/5chap_line.jpeg"/><Relationship Id="rId11" Type="http://schemas.openxmlformats.org/officeDocument/2006/relationships/image" Target="media/2288_cover.jpeg"/><Relationship Id="rId12" Type="http://schemas.openxmlformats.org/officeDocument/2006/relationships/image" Target="media/6chap_cover.jpeg"/><Relationship Id="rId13" Type="http://schemas.openxmlformats.org/officeDocument/2006/relationships/image" Target="media/squf.jpeg"/><Relationship Id="rId14" Type="http://schemas.openxmlformats.org/officeDocument/2006/relationships/image" Target="media/newcover.jpeg"/><Relationship Id="rId15" Type="http://schemas.openxmlformats.org/officeDocument/2006/relationships/image" Target="media/tab.jpeg"/><Relationship Id="rId16" Type="http://schemas.openxmlformats.org/officeDocument/2006/relationships/image" Target="media/10chap_cover.jpeg"/><Relationship Id="rId17" Type="http://schemas.openxmlformats.org/officeDocument/2006/relationships/image" Target="media/9chap_cover.jpeg"/><Relationship Id="rId18" Type="http://schemas.openxmlformats.org/officeDocument/2006/relationships/image" Target="media/10023_cover.jpeg"/><Relationship Id="rId19" Type="http://schemas.openxmlformats.org/officeDocument/2006/relationships/image" Target="media/page_86.jpeg"/><Relationship Id="rId20" Type="http://schemas.openxmlformats.org/officeDocument/2006/relationships/image" Target="media/12chap_cover.jpeg"/><Relationship Id="rId21" Type="http://schemas.openxmlformats.org/officeDocument/2006/relationships/image" Target="media/Fig1.1.jpeg"/><Relationship Id="rId22" Type="http://schemas.openxmlformats.org/officeDocument/2006/relationships/image" Target="media/Fig1.2.jpeg"/><Relationship Id="rId23" Type="http://schemas.openxmlformats.org/officeDocument/2006/relationships/image" Target="media/Fig1.3.jpeg"/><Relationship Id="rId24" Type="http://schemas.openxmlformats.org/officeDocument/2006/relationships/image" Target="media/Fig1.4.jpeg"/><Relationship Id="rId25" Type="http://schemas.openxmlformats.org/officeDocument/2006/relationships/image" Target="media/13chap_cover.jpeg"/><Relationship Id="rId26" Type="http://schemas.openxmlformats.org/officeDocument/2006/relationships/image" Target="media/Levitt_cover.jpeg"/><Relationship Id="rId27" Type="http://schemas.openxmlformats.org/officeDocument/2006/relationships/image" Target="media/13112_cover.jpeg"/><Relationship Id="rId28" Type="http://schemas.openxmlformats.org/officeDocument/2006/relationships/image" Target="media/sahlman_cover.jpeg"/><Relationship Id="rId29" Type="http://schemas.openxmlformats.org/officeDocument/2006/relationships/image" Target="media/page_62.jpeg"/><Relationship Id="rId30" Type="http://schemas.openxmlformats.org/officeDocument/2006/relationships/image" Target="media/page_63.jpeg"/><Relationship Id="rId31" Type="http://schemas.openxmlformats.org/officeDocument/2006/relationships/image" Target="media/cover.jpeg"/><Relationship Id="rId32" Type="http://schemas.openxmlformats.org/officeDocument/2006/relationships/hyperlink" Target="http://www.hbr.org/bulksales" TargetMode="External"/><Relationship Id="rId33" Type="http://schemas.openxmlformats.org/officeDocument/2006/relationships/hyperlink" Target="https://hbr.org/product/blue-ocean-strategy-expanded-edition-how-to-create-uncontested-market-space-and-make-the-competition-irrelevant/13892E-KND-ENG" TargetMode="External"/><Relationship Id="rId34" Type="http://schemas.openxmlformats.org/officeDocument/2006/relationships/hyperlink" Target="https://hbr.org/product/the-w-chan-kim-and-renee-mauborgne-blue-ocean-strategy-reader/10116E-KND-ENG" TargetMode="External"/><Relationship Id="rId35" Type="http://schemas.openxmlformats.org/officeDocument/2006/relationships/hyperlink" Target="https://hbr.org/product/blue-ocean-leadership-harvard-business-review-classics/10103-PBK-ENG" TargetMode="External"/><Relationship Id="rId36" Type="http://schemas.openxmlformats.org/officeDocument/2006/relationships/hyperlink" Target="https://hbr.org/2004/10/blue-ocean-strategy" TargetMode="External"/><Relationship Id="rId37" Type="http://schemas.openxmlformats.org/officeDocument/2006/relationships/hyperlink" Target="https://hbr.org/2002/06/charting-your-companys-future" TargetMode="External"/><Relationship Id="rId38" Type="http://schemas.openxmlformats.org/officeDocument/2006/relationships/hyperlink" Target="https://hbr.org/1999/01/creating-new-market-space" TargetMode="External"/><Relationship Id="rId39" Type="http://schemas.openxmlformats.org/officeDocument/2006/relationships/hyperlink" Target="https://hbr.org/2003/01/fair-process-managing-in-the-knowledge-economy" TargetMode="External"/><Relationship Id="rId40" Type="http://schemas.openxmlformats.org/officeDocument/2006/relationships/hyperlink" Target="https://hbr.org/2009/09/how-strategy-shapes-structure" TargetMode="External"/><Relationship Id="rId41" Type="http://schemas.openxmlformats.org/officeDocument/2006/relationships/hyperlink" Target="https://hbr.org/2000/09/knowing-a-winning-business-idea-when-you-see-one" TargetMode="External"/><Relationship Id="rId42" Type="http://schemas.openxmlformats.org/officeDocument/2006/relationships/hyperlink" Target="https://hbr.org/2003/04/tipping-point-leadership" TargetMode="External"/><Relationship Id="rId43" Type="http://schemas.openxmlformats.org/officeDocument/2006/relationships/hyperlink" Target="https://hbr.org/2004/07/value-innovation-the-strategic-logic-of-high-growth" TargetMode="External"/></Relationships>
</file>

<file path=word/_rels/fontTable.xml.rels><?xml version='1.0' encoding='utf-8'?>
<Relationships xmlns="http://schemas.openxmlformats.org/package/2006/relationships"/>
</file>

<file path=docProps/app.xml><?xml version="1.0" encoding="utf-8"?>
<Properties xmlns="http://schemas.openxmlformats.org/officeDocument/2006/extended-properties">
  <Application>calibre</Application>
  <AppVersion>09.0013</AppVersion>
  <DocSecurity>0</DocSecurity>
  <HyperlinksChanged>false</HyperlinksChanged>
  <LinksUpToDate>true</LinksUpToDate>
  <ScaleCrop>false</ScaleCrop>
  <SharedDoc>false</SharedDoc>
  <Company>Harvard Business Review Press</Company>
</Properties>
</file>

<file path=docProps/core.xml><?xml version="1.0" encoding="utf-8"?>
<cp:coreProperties xmlns:cp="http://schemas.openxmlformats.org/package/2006/metadata/core-properties" xmlns:dc="http://purl.org/dc/elements/1.1/" xmlns:dcterms="http://purl.org/dc/terms/" xmlns:xsi="http://www.w3.org/2001/XMLSchema-instance">
  <cp:revision>1</cp:revision>
  <cp:lastModifiedBy>calibre</cp:lastModifiedBy>
  <dcterms:created xsi:type="dcterms:W3CDTF">2026-08-31T14:27:01Z</dcterms:created>
  <dcterms:modified xsi:type="dcterms:W3CDTF">2026-08-31T14:27:01Z</dcterms:modified>
  <dc:title>HBR Classics Boxed Set (16 Books)</dc:title>
  <dc:creator>Harvard Business Review &amp; Clayton M. Christensen &amp; Jim Collins &amp; Peter F. Drucker &amp; Daniel Goleman</dc:creator>
  <dc:description>&lt;span&gt;&lt;p&gt;The classic &lt;i&gt;Harvard Business Review&lt;/i&gt; articles every manager and aspiring leader should read--and share with their teams--from such bestselling &lt;i&gt;Harvard Business Review&lt;/i&gt; authors as Peter Drucker, Clayton Christensen, John Kotter, Daniel Goleman, Jim Collins, Gary Hamel, W. Chan Kim, Renee Mauborgne, and many more. Each compact book represents the most important ideas on management, leadership, and life. Build your professional library and advance your career with these 16 timeless business classics.&lt;/p&gt;&lt;p&gt;The HBR Classics Boxed Set includes: Peter Drucker's bestselling "Managing Oneself," "What Makes an Effective Executive," and "The Theory of the Business"; Clayton Christensen's inspiring "How Will You Measure Your Life?"; Daniel Goleman's articles on emotional intelligence--"Leadership That Gets Results" and "What Makes a Leader?"; author of Good to Great Jim Collins's "Turning Goals into Results"; W. Chan Kim and Renee Mauborgne's "Blue Ocean Leadership" and "Red Ocean Traps"; John Kotter's "Managing Your Boss"; Jon Katzenbach and Douglas Smith's "The Discipline of Teams"; Gary Hamel and C.K. Prahalad's "Strategic Intent"; William A. Sahlman's "How to Write a Great Business Plan"; Chris Argyris's "Teaching Smart People How to Learn"; Theodore Levitt's "Marketing Myopia"; Joseph B. Pine's "Do You Want to Keep Your Customers Forever?".&lt;/p&gt;&lt;p&gt;The Harvard Business Review Classics series offers you the opportunity to make seminal &lt;i&gt;Harvard Business Review&lt;/i&gt; articles a part of your permanent management library. Each highly readable volume contains a groundbreaking idea that continues to shape best practices and inspire countless managers around the world--and will have a direct impact on you today and for years to come.&lt;/p&gt;&lt;/span&gt;</dc:description>
  <dc:language>en</dc:language>
</cp:coreProperties>
</file>