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67538"/>
            <wp:docPr id="1" name="Picture 1"/>
            <wp:cNvGraphicFramePr>
              <a:graphicFrameLocks noChangeAspect="1"/>
            </wp:cNvGraphicFramePr>
            <a:graphic>
              <a:graphicData uri="http://schemas.openxmlformats.org/drawingml/2006/picture">
                <pic:pic>
                  <pic:nvPicPr>
                    <pic:cNvPr id="0" name="9781394381913.jpg"/>
                    <pic:cNvPicPr/>
                  </pic:nvPicPr>
                  <pic:blipFill>
                    <a:blip r:embed="rId9"/>
                    <a:stretch>
                      <a:fillRect/>
                    </a:stretch>
                  </pic:blipFill>
                  <pic:spPr>
                    <a:xfrm>
                      <a:off x="0" y="0"/>
                      <a:ext cx="5486400" cy="6867538"/>
                    </a:xfrm>
                    <a:prstGeom prst="rect"/>
                  </pic:spPr>
                </pic:pic>
              </a:graphicData>
            </a:graphic>
          </wp:inline>
        </w:drawing>
      </w:r>
    </w:p>
    <w:p>
      <w:pPr>
        <w:pStyle w:val="Heading1"/>
      </w:pPr>
      <w:r>
        <w:rPr>
          <w:rFonts w:ascii="Calibri" w:hAnsi="Calibri"/>
          <w:b/>
          <w:i w:val="0"/>
          <w:sz w:val="40"/>
        </w:rPr>
        <w:t>Mục lục</w:t>
      </w:r>
    </w:p>
    <w:p>
      <w:pPr>
        <w:spacing w:after="80"/>
        <w:ind w:left="360"/>
      </w:pPr>
      <w:r>
        <w:t xml:space="preserve">1. </w:t>
      </w:r>
      <w:r>
        <w:rPr>
          <w:b w:val="0"/>
          <w:i w:val="0"/>
        </w:rPr>
        <w:t>Bìa</w:t>
      </w:r>
    </w:p>
    <w:p>
      <w:pPr>
        <w:spacing w:after="80"/>
        <w:ind w:left="360"/>
      </w:pPr>
      <w:r>
        <w:t xml:space="preserve">2. </w:t>
      </w:r>
      <w:r>
        <w:rPr>
          <w:b w:val="0"/>
          <w:i w:val="0"/>
        </w:rPr>
        <w:t>Mục lục</w:t>
      </w:r>
    </w:p>
    <w:p>
      <w:pPr>
        <w:spacing w:after="80"/>
        <w:ind w:left="360"/>
      </w:pPr>
      <w:r>
        <w:t xml:space="preserve">3. </w:t>
      </w:r>
      <w:r>
        <w:rPr>
          <w:b w:val="0"/>
          <w:i w:val="0"/>
        </w:rPr>
        <w:t>Trang tiêu đề</w:t>
      </w:r>
    </w:p>
    <w:p>
      <w:pPr>
        <w:spacing w:after="80"/>
        <w:ind w:left="360"/>
      </w:pPr>
      <w:r>
        <w:t xml:space="preserve">4. </w:t>
      </w:r>
      <w:r>
        <w:rPr>
          <w:b w:val="0"/>
          <w:i w:val="0"/>
        </w:rPr>
        <w:t>Bản quyền</w:t>
      </w:r>
    </w:p>
    <w:p>
      <w:pPr>
        <w:spacing w:after="80"/>
        <w:ind w:left="360"/>
      </w:pPr>
      <w:r>
        <w:t xml:space="preserve">5. </w:t>
      </w:r>
      <w:r>
        <w:rPr>
          <w:b w:val="0"/>
          <w:i w:val="0"/>
        </w:rPr>
        <w:t>Chúng ta hiểu thế nào là chuyển đổi Công nghệ &amp; AI</w:t>
      </w:r>
    </w:p>
    <w:p>
      <w:pPr>
        <w:spacing w:after="80"/>
        <w:ind w:left="360"/>
      </w:pPr>
      <w:r>
        <w:t xml:space="preserve">6. </w:t>
      </w:r>
      <w:r>
        <w:rPr>
          <w:b w:val="0"/>
          <w:i w:val="0"/>
        </w:rPr>
        <w:t xml:space="preserve">Giới thiệu: Cẩm nang của bạn về </w:t>
      </w:r>
      <w:r>
        <w:rPr>
          <w:b w:val="0"/>
          <w:i/>
        </w:rPr>
        <w:t>Rewired</w:t>
      </w:r>
    </w:p>
    <w:p>
      <w:pPr>
        <w:spacing w:after="80"/>
        <w:ind w:left="720"/>
      </w:pPr>
      <w:r>
        <w:t xml:space="preserve">1. </w:t>
      </w:r>
      <w:r>
        <w:rPr>
          <w:b w:val="0"/>
          <w:i w:val="0"/>
        </w:rPr>
        <w:t xml:space="preserve">Doanh nghiệp </w:t>
      </w:r>
      <w:r>
        <w:rPr>
          <w:b w:val="0"/>
          <w:i/>
        </w:rPr>
        <w:t>Rewired</w:t>
      </w:r>
    </w:p>
    <w:p>
      <w:pPr>
        <w:spacing w:after="80"/>
        <w:ind w:left="720"/>
      </w:pPr>
      <w:r>
        <w:t xml:space="preserve">2. </w:t>
      </w:r>
      <w:r>
        <w:rPr>
          <w:b w:val="0"/>
          <w:i w:val="0"/>
        </w:rPr>
        <w:t xml:space="preserve">Sự phát triển của các năng lực </w:t>
      </w:r>
      <w:r>
        <w:rPr>
          <w:b w:val="0"/>
          <w:i/>
        </w:rPr>
        <w:t>Rewired</w:t>
      </w:r>
    </w:p>
    <w:p>
      <w:pPr>
        <w:spacing w:after="80"/>
        <w:ind w:left="720"/>
      </w:pPr>
      <w:r>
        <w:t xml:space="preserve">3. </w:t>
      </w:r>
      <w:r>
        <w:rPr>
          <w:b w:val="0"/>
          <w:i w:val="0"/>
        </w:rPr>
        <w:t>Về ấn bản thứ hai này</w:t>
      </w:r>
    </w:p>
    <w:p>
      <w:pPr>
        <w:spacing w:after="80"/>
        <w:ind w:left="720"/>
      </w:pPr>
      <w:r>
        <w:t xml:space="preserve">4. </w:t>
      </w:r>
      <w:r>
        <w:rPr>
          <w:b w:val="0"/>
          <w:i w:val="0"/>
        </w:rPr>
        <w:t>Cuốn sách này là gì … và không phải là gì</w:t>
      </w:r>
    </w:p>
    <w:p>
      <w:pPr>
        <w:spacing w:after="80"/>
        <w:ind w:left="360"/>
      </w:pPr>
      <w:r>
        <w:t xml:space="preserve">7. </w:t>
      </w:r>
      <w:r>
        <w:rPr>
          <w:b w:val="0"/>
          <w:i w:val="0"/>
        </w:rPr>
        <w:t>Giới thiệu: Tuyên ngôn chuyển đổi của bạn</w:t>
      </w:r>
    </w:p>
    <w:p>
      <w:pPr>
        <w:spacing w:after="80"/>
        <w:ind w:left="360"/>
      </w:pPr>
      <w:r>
        <w:t xml:space="preserve">8. </w:t>
      </w:r>
      <w:r>
        <w:rPr>
          <w:b w:val="0"/>
          <w:i w:val="0"/>
        </w:rPr>
        <w:t>MỤC MỘT: Xây dựng Lộ trình Chuyển đổi</w:t>
      </w:r>
    </w:p>
    <w:p>
      <w:pPr>
        <w:spacing w:after="80"/>
        <w:ind w:left="720"/>
      </w:pPr>
      <w:r>
        <w:t xml:space="preserve">1. </w:t>
      </w:r>
      <w:r>
        <w:rPr>
          <w:b w:val="0"/>
          <w:i w:val="0"/>
        </w:rPr>
        <w:t>Lưu ý</w:t>
      </w:r>
    </w:p>
    <w:p>
      <w:pPr>
        <w:spacing w:after="80"/>
        <w:ind w:left="720"/>
      </w:pPr>
      <w:r>
        <w:t xml:space="preserve">2. </w:t>
      </w:r>
      <w:r>
        <w:rPr>
          <w:b w:val="0"/>
          <w:i w:val="0"/>
        </w:rPr>
        <w:t>CHƯƠNG 1: Truyền cảm hứng, thống nhất và sẵn sàng lên đường: Làm việc với đội ngũ lãnh đạo cấp cao</w:t>
      </w:r>
    </w:p>
    <w:p>
      <w:pPr>
        <w:spacing w:after="80"/>
        <w:ind w:left="1080"/>
      </w:pPr>
      <w:r>
        <w:t xml:space="preserve">1. </w:t>
      </w:r>
      <w:r>
        <w:rPr>
          <w:b w:val="0"/>
          <w:i w:val="0"/>
        </w:rPr>
        <w:t>Xây dựng đội ngũ lãnh đạo cấp cao am hiểu công nghệ</w:t>
      </w:r>
    </w:p>
    <w:p>
      <w:pPr>
        <w:spacing w:after="80"/>
        <w:ind w:left="1080"/>
      </w:pPr>
      <w:r>
        <w:t xml:space="preserve">2. </w:t>
      </w:r>
      <w:r>
        <w:rPr>
          <w:b w:val="0"/>
          <w:i w:val="0"/>
        </w:rPr>
        <w:t>Thống nhất về tầm nhìn</w:t>
      </w:r>
    </w:p>
    <w:p>
      <w:pPr>
        <w:spacing w:after="80"/>
        <w:ind w:left="1080"/>
      </w:pPr>
      <w:r>
        <w:t xml:space="preserve">3. </w:t>
      </w:r>
      <w:r>
        <w:rPr>
          <w:b w:val="0"/>
          <w:i w:val="0"/>
        </w:rPr>
        <w:t>Cam kết dẫn dắt theo cách khác biệt</w:t>
      </w:r>
    </w:p>
    <w:p>
      <w:pPr>
        <w:spacing w:after="80"/>
        <w:ind w:left="1080"/>
      </w:pPr>
      <w:r>
        <w:t xml:space="preserve">4. </w:t>
      </w:r>
      <w:r>
        <w:rPr>
          <w:b w:val="0"/>
          <w:i w:val="0"/>
        </w:rPr>
        <w:t>Những gì cần có để dẫn dắt một tổ chức được tái cấu trúc</w:t>
      </w:r>
    </w:p>
    <w:p>
      <w:pPr>
        <w:spacing w:after="80"/>
        <w:ind w:left="1080"/>
      </w:pPr>
      <w:r>
        <w:t xml:space="preserve">5. </w:t>
      </w:r>
      <w:r>
        <w:rPr>
          <w:b w:val="0"/>
          <w:i w:val="0"/>
        </w:rPr>
        <w:t>Lưu ý</w:t>
      </w:r>
    </w:p>
    <w:p>
      <w:pPr>
        <w:spacing w:after="80"/>
        <w:ind w:left="720"/>
      </w:pPr>
      <w:r>
        <w:t xml:space="preserve">3. </w:t>
      </w:r>
      <w:r>
        <w:rPr>
          <w:b w:val="0"/>
          <w:i w:val="0"/>
        </w:rPr>
        <w:t>CHƯƠNG 2: Kinh tế học của các chuyển đổi Công nghệ &amp; AI</w:t>
      </w:r>
    </w:p>
    <w:p>
      <w:pPr>
        <w:spacing w:after="80"/>
        <w:ind w:left="1080"/>
      </w:pPr>
      <w:r>
        <w:t xml:space="preserve">1. </w:t>
      </w:r>
      <w:r>
        <w:rPr>
          <w:b w:val="0"/>
          <w:i w:val="0"/>
        </w:rPr>
        <w:t>Liệu một chuyển đổi Công nghệ &amp; AI có thể cải thiện đáng kể lợi nhuận của tôi không?</w:t>
      </w:r>
    </w:p>
    <w:p>
      <w:pPr>
        <w:spacing w:after="80"/>
        <w:ind w:left="1080"/>
      </w:pPr>
      <w:r>
        <w:t xml:space="preserve">2. </w:t>
      </w:r>
      <w:r>
        <w:rPr>
          <w:b w:val="0"/>
          <w:i w:val="0"/>
        </w:rPr>
        <w:t>Thành phần của những lợi ích này là gì?</w:t>
      </w:r>
    </w:p>
    <w:p>
      <w:pPr>
        <w:spacing w:after="80"/>
        <w:ind w:left="1080"/>
      </w:pPr>
      <w:r>
        <w:t xml:space="preserve">3. </w:t>
      </w:r>
      <w:r>
        <w:rPr>
          <w:b w:val="0"/>
          <w:i w:val="0"/>
        </w:rPr>
        <w:t>Mất bao lâu để có dòng tiền gia tăng?</w:t>
      </w:r>
    </w:p>
    <w:p>
      <w:pPr>
        <w:spacing w:after="80"/>
        <w:ind w:left="1080"/>
      </w:pPr>
      <w:r>
        <w:t xml:space="preserve">4. </w:t>
      </w:r>
      <w:r>
        <w:rPr>
          <w:b w:val="0"/>
          <w:i w:val="0"/>
        </w:rPr>
        <w:t>Lợi tức đầu tư là bao nhiêu?</w:t>
      </w:r>
    </w:p>
    <w:p>
      <w:pPr>
        <w:spacing w:after="80"/>
        <w:ind w:left="1080"/>
      </w:pPr>
      <w:r>
        <w:t xml:space="preserve">5. </w:t>
      </w:r>
      <w:r>
        <w:rPr>
          <w:b w:val="0"/>
          <w:i w:val="0"/>
        </w:rPr>
        <w:t>Quá trình chuyển đổi sẽ mất bao lâu?</w:t>
      </w:r>
    </w:p>
    <w:p>
      <w:pPr>
        <w:spacing w:after="80"/>
        <w:ind w:left="1080"/>
      </w:pPr>
      <w:r>
        <w:t xml:space="preserve">6. </w:t>
      </w:r>
      <w:r>
        <w:rPr>
          <w:b w:val="0"/>
          <w:i w:val="0"/>
        </w:rPr>
        <w:t>Liệu các nhà lãnh đạo Công nghệ &amp; AI có vượt trội hơn các đối thủ cùng ngành không?</w:t>
      </w:r>
    </w:p>
    <w:p>
      <w:pPr>
        <w:spacing w:after="80"/>
        <w:ind w:left="1080"/>
      </w:pPr>
      <w:r>
        <w:t xml:space="preserve">7. </w:t>
      </w:r>
      <w:r>
        <w:rPr>
          <w:b w:val="0"/>
          <w:i w:val="0"/>
        </w:rPr>
        <w:t>Ghi chú</w:t>
      </w:r>
    </w:p>
    <w:p>
      <w:pPr>
        <w:spacing w:after="80"/>
        <w:ind w:left="720"/>
      </w:pPr>
      <w:r>
        <w:t xml:space="preserve">4. </w:t>
      </w:r>
      <w:r>
        <w:rPr>
          <w:b w:val="0"/>
          <w:i w:val="0"/>
        </w:rPr>
        <w:t>CHƯƠNG 3: Tập trung vào các lĩnh vực kinh doanh, không phải các trường hợp sử dụng</w:t>
      </w:r>
    </w:p>
    <w:p>
      <w:pPr>
        <w:spacing w:after="80"/>
        <w:ind w:left="1080"/>
      </w:pPr>
      <w:r>
        <w:t xml:space="preserve">1. </w:t>
      </w:r>
      <w:r>
        <w:rPr>
          <w:b w:val="0"/>
          <w:i w:val="0"/>
        </w:rPr>
        <w:t>Giá trị của phương pháp tiếp cận dựa trên lĩnh vực</w:t>
      </w:r>
    </w:p>
    <w:p>
      <w:pPr>
        <w:spacing w:after="80"/>
        <w:ind w:left="1080"/>
      </w:pPr>
      <w:r>
        <w:t xml:space="preserve">2. </w:t>
      </w:r>
      <w:r>
        <w:rPr>
          <w:b w:val="0"/>
          <w:i w:val="0"/>
        </w:rPr>
        <w:t>Các yếu tố của một chuyển đổi lĩnh vực</w:t>
      </w:r>
    </w:p>
    <w:p>
      <w:pPr>
        <w:spacing w:after="80"/>
        <w:ind w:left="1080"/>
      </w:pPr>
      <w:r>
        <w:t xml:space="preserve">3. </w:t>
      </w:r>
      <w:r>
        <w:rPr>
          <w:b w:val="0"/>
          <w:i w:val="0"/>
        </w:rPr>
        <w:t>Ưu tiên hóa các lĩnh vực</w:t>
      </w:r>
    </w:p>
    <w:p>
      <w:pPr>
        <w:spacing w:after="80"/>
        <w:ind w:left="1080"/>
      </w:pPr>
      <w:r>
        <w:t xml:space="preserve">4. </w:t>
      </w:r>
      <w:r>
        <w:rPr>
          <w:b w:val="0"/>
          <w:i w:val="0"/>
        </w:rPr>
        <w:t>Xây dựng doanh nghiệp mới: Một lớp lĩnh vực kinh doanh đặc biệt</w:t>
      </w:r>
    </w:p>
    <w:p>
      <w:pPr>
        <w:spacing w:after="80"/>
        <w:ind w:left="1080"/>
      </w:pPr>
      <w:r>
        <w:t xml:space="preserve">5. </w:t>
      </w:r>
      <w:r>
        <w:rPr>
          <w:b w:val="0"/>
          <w:i w:val="0"/>
        </w:rPr>
        <w:t>Lưu ý</w:t>
      </w:r>
    </w:p>
    <w:p>
      <w:pPr>
        <w:spacing w:after="80"/>
        <w:ind w:left="720"/>
      </w:pPr>
      <w:r>
        <w:t xml:space="preserve">5. </w:t>
      </w:r>
      <w:r>
        <w:rPr>
          <w:b w:val="0"/>
          <w:i w:val="0"/>
        </w:rPr>
        <w:t>CHƯƠNG 4: Để các nhà lãnh đạo doanh nghiệp dẫn dắt việc tái tưởng tượng lĩnh vực của họ</w:t>
      </w:r>
    </w:p>
    <w:p>
      <w:pPr>
        <w:spacing w:after="80"/>
        <w:ind w:left="1080"/>
      </w:pPr>
      <w:r>
        <w:t xml:space="preserve">1. </w:t>
      </w:r>
      <w:r>
        <w:rPr>
          <w:b w:val="0"/>
          <w:i w:val="0"/>
        </w:rPr>
        <w:t>Cẩm nang triển khai từ lĩnh vực đến giá trị của bạn</w:t>
      </w:r>
    </w:p>
    <w:p>
      <w:pPr>
        <w:spacing w:after="80"/>
        <w:ind w:left="1080"/>
      </w:pPr>
      <w:r>
        <w:t xml:space="preserve">2. </w:t>
      </w:r>
      <w:r>
        <w:rPr>
          <w:b w:val="0"/>
          <w:i w:val="0"/>
        </w:rPr>
        <w:t>Quy trình tái tưởng tượng một lĩnh vực</w:t>
      </w:r>
    </w:p>
    <w:p>
      <w:pPr>
        <w:spacing w:after="80"/>
        <w:ind w:left="1080"/>
      </w:pPr>
      <w:r>
        <w:t xml:space="preserve">3. </w:t>
      </w:r>
      <w:r>
        <w:rPr>
          <w:b w:val="0"/>
          <w:i w:val="0"/>
        </w:rPr>
        <w:t>Lưu ý</w:t>
      </w:r>
    </w:p>
    <w:p>
      <w:pPr>
        <w:spacing w:after="80"/>
        <w:ind w:left="720"/>
      </w:pPr>
      <w:r>
        <w:t xml:space="preserve">6. </w:t>
      </w:r>
      <w:r>
        <w:rPr>
          <w:b w:val="0"/>
          <w:i w:val="0"/>
        </w:rPr>
        <w:t>CHƯƠNG 5: Tái tưởng tượng quy trình làm việc với AI tác tử</w:t>
      </w:r>
    </w:p>
    <w:p>
      <w:pPr>
        <w:spacing w:after="80"/>
        <w:ind w:left="1080"/>
      </w:pPr>
      <w:r>
        <w:t xml:space="preserve">1. </w:t>
      </w:r>
      <w:r>
        <w:rPr>
          <w:b w:val="0"/>
          <w:i w:val="0"/>
        </w:rPr>
        <w:t>Các loại tự động hóa tác tử khác nhau</w:t>
      </w:r>
    </w:p>
    <w:p>
      <w:pPr>
        <w:spacing w:after="80"/>
        <w:ind w:left="1080"/>
      </w:pPr>
      <w:r>
        <w:t xml:space="preserve">2. </w:t>
      </w:r>
      <w:r>
        <w:rPr>
          <w:b w:val="0"/>
          <w:i w:val="0"/>
        </w:rPr>
        <w:t>Nhìn sâu vào bên trong một quy trình làm việc tác tử</w:t>
      </w:r>
    </w:p>
    <w:p>
      <w:pPr>
        <w:spacing w:after="80"/>
        <w:ind w:left="1080"/>
      </w:pPr>
      <w:r>
        <w:t xml:space="preserve">3. </w:t>
      </w:r>
      <w:r>
        <w:rPr>
          <w:b w:val="0"/>
          <w:i w:val="0"/>
        </w:rPr>
        <w:t>Chọn ra những quy trình làm việc hứa hẹn nhất</w:t>
      </w:r>
    </w:p>
    <w:p>
      <w:pPr>
        <w:spacing w:after="80"/>
        <w:ind w:left="1080"/>
      </w:pPr>
      <w:r>
        <w:t xml:space="preserve">4. </w:t>
      </w:r>
      <w:r>
        <w:rPr>
          <w:b w:val="0"/>
          <w:i w:val="0"/>
        </w:rPr>
        <w:t>Bài học từ những người xây dựng hệ thống tác tử</w:t>
      </w:r>
    </w:p>
    <w:p>
      <w:pPr>
        <w:spacing w:after="80"/>
        <w:ind w:left="1080"/>
      </w:pPr>
      <w:r>
        <w:t xml:space="preserve">5. </w:t>
      </w:r>
      <w:r>
        <w:rPr>
          <w:b w:val="0"/>
          <w:i w:val="0"/>
        </w:rPr>
        <w:t>Ghi chú</w:t>
      </w:r>
    </w:p>
    <w:p>
      <w:pPr>
        <w:spacing w:after="80"/>
        <w:ind w:left="720"/>
      </w:pPr>
      <w:r>
        <w:t xml:space="preserve">7. </w:t>
      </w:r>
      <w:r>
        <w:rPr>
          <w:b w:val="0"/>
          <w:i w:val="0"/>
        </w:rPr>
        <w:t>CHƯƠNG 6: Bạn chỉ giỏi bằng những năng lực mà bạn xây dựng</w:t>
      </w:r>
    </w:p>
    <w:p>
      <w:pPr>
        <w:spacing w:after="80"/>
        <w:ind w:left="1080"/>
      </w:pPr>
      <w:r>
        <w:t xml:space="preserve">1. </w:t>
      </w:r>
      <w:r>
        <w:rPr>
          <w:b w:val="0"/>
          <w:i w:val="0"/>
        </w:rPr>
        <w:t>Những năng lực cần xây dựng</w:t>
      </w:r>
    </w:p>
    <w:p>
      <w:pPr>
        <w:spacing w:after="80"/>
        <w:ind w:left="1080"/>
      </w:pPr>
      <w:r>
        <w:t xml:space="preserve">2. </w:t>
      </w:r>
      <w:r>
        <w:rPr>
          <w:b w:val="0"/>
          <w:i w:val="0"/>
        </w:rPr>
        <w:t>Nhân tài: Nội bộ so với thuê ngoài</w:t>
      </w:r>
    </w:p>
    <w:p>
      <w:pPr>
        <w:spacing w:after="80"/>
        <w:ind w:left="1080"/>
      </w:pPr>
      <w:r>
        <w:t xml:space="preserve">3. </w:t>
      </w:r>
      <w:r>
        <w:rPr>
          <w:b w:val="0"/>
          <w:i w:val="0"/>
        </w:rPr>
        <w:t>Công nghệ: Tự xây dựng so với mua</w:t>
      </w:r>
    </w:p>
    <w:p>
      <w:pPr>
        <w:spacing w:after="80"/>
        <w:ind w:left="1080"/>
      </w:pPr>
      <w:r>
        <w:t xml:space="preserve">4. </w:t>
      </w:r>
      <w:r>
        <w:rPr>
          <w:b w:val="0"/>
          <w:i w:val="0"/>
        </w:rPr>
        <w:t>Hợp tác để đẩy nhanh việc xây dựng năng lực</w:t>
      </w:r>
    </w:p>
    <w:p>
      <w:pPr>
        <w:spacing w:after="80"/>
        <w:ind w:left="1080"/>
      </w:pPr>
      <w:r>
        <w:t xml:space="preserve">5. </w:t>
      </w:r>
      <w:r>
        <w:rPr>
          <w:b w:val="0"/>
          <w:i w:val="0"/>
        </w:rPr>
        <w:t>Ghi chú</w:t>
      </w:r>
    </w:p>
    <w:p>
      <w:pPr>
        <w:spacing w:after="80"/>
        <w:ind w:left="720"/>
      </w:pPr>
      <w:r>
        <w:t xml:space="preserve">8. </w:t>
      </w:r>
      <w:r>
        <w:rPr>
          <w:b w:val="0"/>
          <w:i w:val="0"/>
        </w:rPr>
        <w:t>CHƯƠNG 7: Môn thể thao đồng đội tối thượng của doanh nghiệp</w:t>
      </w:r>
    </w:p>
    <w:p>
      <w:pPr>
        <w:spacing w:after="80"/>
        <w:ind w:left="1080"/>
      </w:pPr>
      <w:r>
        <w:t xml:space="preserve">1. </w:t>
      </w:r>
      <w:r>
        <w:rPr>
          <w:b w:val="0"/>
          <w:i w:val="0"/>
        </w:rPr>
        <w:t>CEO</w:t>
      </w:r>
    </w:p>
    <w:p>
      <w:pPr>
        <w:spacing w:after="80"/>
        <w:ind w:left="1080"/>
      </w:pPr>
      <w:r>
        <w:t xml:space="preserve">2. </w:t>
      </w:r>
      <w:r>
        <w:rPr>
          <w:b w:val="0"/>
          <w:i w:val="0"/>
        </w:rPr>
        <w:t>Giám đốc chuyển đổi (chief transformation officer)</w:t>
      </w:r>
    </w:p>
    <w:p>
      <w:pPr>
        <w:spacing w:after="80"/>
        <w:ind w:left="1080"/>
      </w:pPr>
      <w:r>
        <w:t xml:space="preserve">3. </w:t>
      </w:r>
      <w:r>
        <w:rPr>
          <w:b w:val="0"/>
          <w:i w:val="0"/>
        </w:rPr>
        <w:t>Lãnh đạo các mảng kinh doanh và các chức năng kinh doanh</w:t>
      </w:r>
    </w:p>
    <w:p>
      <w:pPr>
        <w:spacing w:after="80"/>
        <w:ind w:left="1080"/>
      </w:pPr>
      <w:r>
        <w:t xml:space="preserve">4. </w:t>
      </w:r>
      <w:r>
        <w:rPr>
          <w:b w:val="0"/>
          <w:i w:val="0"/>
        </w:rPr>
        <w:t>CIO, CTO và CDO</w:t>
      </w:r>
    </w:p>
    <w:p>
      <w:pPr>
        <w:spacing w:after="80"/>
        <w:ind w:left="1080"/>
      </w:pPr>
      <w:r>
        <w:t xml:space="preserve">5. </w:t>
      </w:r>
      <w:r>
        <w:rPr>
          <w:b w:val="0"/>
          <w:i w:val="0"/>
        </w:rPr>
        <w:t>Giám đốc dữ liệu (chief data officer)</w:t>
      </w:r>
    </w:p>
    <w:p>
      <w:pPr>
        <w:spacing w:after="80"/>
        <w:ind w:left="1080"/>
      </w:pPr>
      <w:r>
        <w:t xml:space="preserve">6. </w:t>
      </w:r>
      <w:r>
        <w:rPr>
          <w:b w:val="0"/>
          <w:i w:val="0"/>
        </w:rPr>
        <w:t>CHRO</w:t>
      </w:r>
    </w:p>
    <w:p>
      <w:pPr>
        <w:spacing w:after="80"/>
        <w:ind w:left="1080"/>
      </w:pPr>
      <w:r>
        <w:t xml:space="preserve">7. </w:t>
      </w:r>
      <w:r>
        <w:rPr>
          <w:b w:val="0"/>
          <w:i w:val="0"/>
        </w:rPr>
        <w:t>CFO</w:t>
      </w:r>
    </w:p>
    <w:p>
      <w:pPr>
        <w:spacing w:after="80"/>
        <w:ind w:left="1080"/>
      </w:pPr>
      <w:r>
        <w:t xml:space="preserve">8. </w:t>
      </w:r>
      <w:r>
        <w:rPr>
          <w:b w:val="0"/>
          <w:i w:val="0"/>
        </w:rPr>
        <w:t>CRO</w:t>
      </w:r>
    </w:p>
    <w:p>
      <w:pPr>
        <w:spacing w:after="80"/>
        <w:ind w:left="1080"/>
      </w:pPr>
      <w:r>
        <w:t xml:space="preserve">9. </w:t>
      </w:r>
      <w:r>
        <w:rPr>
          <w:b w:val="0"/>
          <w:i w:val="0"/>
        </w:rPr>
        <w:t>Hội đồng quản trị</w:t>
      </w:r>
    </w:p>
    <w:p>
      <w:pPr>
        <w:spacing w:after="80"/>
        <w:ind w:left="1080"/>
      </w:pPr>
      <w:r>
        <w:t xml:space="preserve">10. </w:t>
      </w:r>
      <w:r>
        <w:rPr>
          <w:b w:val="0"/>
          <w:i w:val="0"/>
        </w:rPr>
        <w:t>Ghi chú</w:t>
      </w:r>
    </w:p>
    <w:p>
      <w:pPr>
        <w:spacing w:after="80"/>
        <w:ind w:left="360"/>
      </w:pPr>
      <w:r>
        <w:t xml:space="preserve">9. </w:t>
      </w:r>
      <w:r>
        <w:rPr>
          <w:b w:val="0"/>
          <w:i w:val="0"/>
        </w:rPr>
        <w:t>PHẦN HAI: Xây dựng đội ngũ nhân tài của bạn</w:t>
      </w:r>
    </w:p>
    <w:p>
      <w:pPr>
        <w:spacing w:after="80"/>
        <w:ind w:left="720"/>
      </w:pPr>
      <w:r>
        <w:t xml:space="preserve">1. </w:t>
      </w:r>
      <w:r>
        <w:rPr>
          <w:b w:val="0"/>
          <w:i w:val="0"/>
        </w:rPr>
        <w:t>Ghi chú</w:t>
      </w:r>
    </w:p>
    <w:p>
      <w:pPr>
        <w:spacing w:after="80"/>
        <w:ind w:left="720"/>
      </w:pPr>
      <w:r>
        <w:t xml:space="preserve">2. </w:t>
      </w:r>
      <w:r>
        <w:rPr>
          <w:b w:val="0"/>
          <w:i w:val="0"/>
        </w:rPr>
        <w:t>CHƯƠNG 8: Xây dựng cơ bắp công nghệ cho các nhà lãnh đạo doanh nghiệp của bạn</w:t>
      </w:r>
    </w:p>
    <w:p>
      <w:pPr>
        <w:spacing w:after="80"/>
        <w:ind w:left="1080"/>
      </w:pPr>
      <w:r>
        <w:t xml:space="preserve">1. </w:t>
      </w:r>
      <w:r>
        <w:rPr>
          <w:b w:val="0"/>
          <w:i w:val="0"/>
        </w:rPr>
        <w:t>Cách bạn xây dựng một cơ bắp công nghệ</w:t>
      </w:r>
    </w:p>
    <w:p>
      <w:pPr>
        <w:spacing w:after="80"/>
        <w:ind w:left="1080"/>
      </w:pPr>
      <w:r>
        <w:t xml:space="preserve">2. </w:t>
      </w:r>
      <w:r>
        <w:rPr>
          <w:b w:val="0"/>
          <w:i w:val="0"/>
        </w:rPr>
        <w:t>Ban lãnh đạo cấp cao có thể phát triển những nhà lãnh đạo kinh doanh giỏi công nghệ hơn như thế nào</w:t>
      </w:r>
    </w:p>
    <w:p>
      <w:pPr>
        <w:spacing w:after="80"/>
        <w:ind w:left="1080"/>
      </w:pPr>
      <w:r>
        <w:t xml:space="preserve">3. </w:t>
      </w:r>
      <w:r>
        <w:rPr>
          <w:b w:val="0"/>
          <w:i w:val="0"/>
        </w:rPr>
        <w:t>Ghi chú</w:t>
      </w:r>
    </w:p>
    <w:p>
      <w:pPr>
        <w:spacing w:after="80"/>
        <w:ind w:left="720"/>
      </w:pPr>
      <w:r>
        <w:t xml:space="preserve">3. </w:t>
      </w:r>
      <w:r>
        <w:rPr>
          <w:b w:val="0"/>
          <w:i w:val="0"/>
        </w:rPr>
        <w:t>CHƯƠNG 9: Cuộc ‘đại phẫu’ nhân tài IT</w:t>
      </w:r>
    </w:p>
    <w:p>
      <w:pPr>
        <w:spacing w:after="80"/>
        <w:ind w:left="1080"/>
      </w:pPr>
      <w:r>
        <w:t xml:space="preserve">1. </w:t>
      </w:r>
      <w:r>
        <w:rPr>
          <w:b w:val="0"/>
          <w:i w:val="0"/>
        </w:rPr>
        <w:t>Sự trỗi dậy của đội nhóm một chiếc pizza</w:t>
      </w:r>
    </w:p>
    <w:p>
      <w:pPr>
        <w:spacing w:after="80"/>
        <w:ind w:left="1080"/>
      </w:pPr>
      <w:r>
        <w:t xml:space="preserve">2. </w:t>
      </w:r>
      <w:r>
        <w:rPr>
          <w:b w:val="0"/>
          <w:i w:val="0"/>
        </w:rPr>
        <w:t>Hiểu rõ nhân tài bạn đang có và nhân tài bạn cần</w:t>
      </w:r>
    </w:p>
    <w:p>
      <w:pPr>
        <w:spacing w:after="80"/>
        <w:ind w:left="1080"/>
      </w:pPr>
      <w:r>
        <w:t xml:space="preserve">3. </w:t>
      </w:r>
      <w:r>
        <w:rPr>
          <w:b w:val="0"/>
          <w:i w:val="0"/>
        </w:rPr>
        <w:t>Thiết kế chiến lược địa điểm của bạn vì tốc độ, không chỉ vì chi phí</w:t>
      </w:r>
    </w:p>
    <w:p>
      <w:pPr>
        <w:spacing w:after="80"/>
        <w:ind w:left="1080"/>
      </w:pPr>
      <w:r>
        <w:t xml:space="preserve">4. </w:t>
      </w:r>
      <w:r>
        <w:rPr>
          <w:b w:val="0"/>
          <w:i w:val="0"/>
        </w:rPr>
        <w:t>Ghi chú</w:t>
      </w:r>
    </w:p>
    <w:p>
      <w:pPr>
        <w:spacing w:after="80"/>
        <w:ind w:left="720"/>
      </w:pPr>
      <w:r>
        <w:t xml:space="preserve">4. </w:t>
      </w:r>
      <w:r>
        <w:rPr>
          <w:b w:val="0"/>
          <w:i w:val="0"/>
        </w:rPr>
        <w:t>CHƯƠNG 10: Tạo môi trường để nhân tài công nghệ phát triển</w:t>
      </w:r>
    </w:p>
    <w:p>
      <w:pPr>
        <w:spacing w:after="80"/>
        <w:ind w:left="1080"/>
      </w:pPr>
      <w:r>
        <w:t xml:space="preserve">1. </w:t>
      </w:r>
      <w:r>
        <w:rPr>
          <w:b w:val="0"/>
          <w:i w:val="0"/>
        </w:rPr>
        <w:t>Tuyển dụng nhân tài công nghệ khi chính họ đang phỏng vấn bạn</w:t>
      </w:r>
    </w:p>
    <w:p>
      <w:pPr>
        <w:spacing w:after="80"/>
        <w:ind w:left="1080"/>
      </w:pPr>
      <w:r>
        <w:t xml:space="preserve">2. </w:t>
      </w:r>
      <w:r>
        <w:rPr>
          <w:b w:val="0"/>
          <w:i w:val="0"/>
        </w:rPr>
        <w:t>Nhận diện những chuyên gia công nghệ đặc biệt</w:t>
      </w:r>
    </w:p>
    <w:p>
      <w:pPr>
        <w:spacing w:after="80"/>
        <w:ind w:left="1080"/>
      </w:pPr>
      <w:r>
        <w:t xml:space="preserve">3. </w:t>
      </w:r>
      <w:r>
        <w:rPr>
          <w:b w:val="0"/>
          <w:i w:val="0"/>
        </w:rPr>
        <w:t>Nuôi dưỡng sự xuất sắc trong tay nghề</w:t>
      </w:r>
    </w:p>
    <w:p>
      <w:pPr>
        <w:spacing w:after="80"/>
        <w:ind w:left="1080"/>
      </w:pPr>
      <w:r>
        <w:t xml:space="preserve">4. </w:t>
      </w:r>
      <w:r>
        <w:rPr>
          <w:b w:val="0"/>
          <w:i w:val="0"/>
        </w:rPr>
        <w:t>Vai trò của CHRO</w:t>
      </w:r>
    </w:p>
    <w:p>
      <w:pPr>
        <w:spacing w:after="80"/>
        <w:ind w:left="1080"/>
      </w:pPr>
      <w:r>
        <w:t xml:space="preserve">5. </w:t>
      </w:r>
      <w:r>
        <w:rPr>
          <w:b w:val="0"/>
          <w:i w:val="0"/>
        </w:rPr>
        <w:t>Ghi chú</w:t>
      </w:r>
    </w:p>
    <w:p>
      <w:pPr>
        <w:spacing w:after="80"/>
        <w:ind w:left="720"/>
      </w:pPr>
      <w:r>
        <w:t xml:space="preserve">5. </w:t>
      </w:r>
      <w:r>
        <w:rPr>
          <w:b w:val="0"/>
          <w:i w:val="0"/>
        </w:rPr>
        <w:t>CHƯƠNG 11: Suy nghĩ lại về mô hình nhân tài của bạn cho một thế giới tác tử</w:t>
      </w:r>
    </w:p>
    <w:p>
      <w:pPr>
        <w:spacing w:after="80"/>
        <w:ind w:left="1080"/>
      </w:pPr>
      <w:r>
        <w:t xml:space="preserve">1. </w:t>
      </w:r>
      <w:r>
        <w:rPr>
          <w:b w:val="0"/>
          <w:i w:val="0"/>
        </w:rPr>
        <w:t>Những vai trò mới, những kỹ năng mới cho thời đại tác tử</w:t>
      </w:r>
    </w:p>
    <w:p>
      <w:pPr>
        <w:spacing w:after="80"/>
        <w:ind w:left="1080"/>
      </w:pPr>
      <w:r>
        <w:t xml:space="preserve">2. </w:t>
      </w:r>
      <w:r>
        <w:rPr>
          <w:b w:val="0"/>
          <w:i w:val="0"/>
        </w:rPr>
        <w:t>Các mô hình tổ chức có thể tiến hóa như thế nào</w:t>
      </w:r>
    </w:p>
    <w:p>
      <w:pPr>
        <w:spacing w:after="80"/>
        <w:ind w:left="1080"/>
      </w:pPr>
      <w:r>
        <w:t xml:space="preserve">3. </w:t>
      </w:r>
      <w:r>
        <w:rPr>
          <w:b w:val="0"/>
          <w:i w:val="0"/>
        </w:rPr>
        <w:t>Lời khuyên nhân sự thực tế cho một tương lai agentic đầy bất định</w:t>
      </w:r>
    </w:p>
    <w:p>
      <w:pPr>
        <w:spacing w:after="80"/>
        <w:ind w:left="1080"/>
      </w:pPr>
      <w:r>
        <w:t xml:space="preserve">4. </w:t>
      </w:r>
      <w:r>
        <w:rPr>
          <w:b w:val="0"/>
          <w:i w:val="0"/>
        </w:rPr>
        <w:t>Ghi chú</w:t>
      </w:r>
    </w:p>
    <w:p>
      <w:pPr>
        <w:spacing w:after="80"/>
        <w:ind w:left="360"/>
      </w:pPr>
      <w:r>
        <w:t xml:space="preserve">10. </w:t>
      </w:r>
      <w:r>
        <w:rPr>
          <w:b w:val="0"/>
          <w:i w:val="0"/>
        </w:rPr>
        <w:t>PHẦN BA: Một mô hình vận hành vượt trội so với đối thủ</w:t>
      </w:r>
    </w:p>
    <w:p>
      <w:pPr>
        <w:spacing w:after="80"/>
        <w:ind w:left="720"/>
      </w:pPr>
      <w:r>
        <w:t xml:space="preserve">1. </w:t>
      </w:r>
      <w:r>
        <w:rPr>
          <w:b w:val="0"/>
          <w:i w:val="0"/>
        </w:rPr>
        <w:t>Ghi chú</w:t>
      </w:r>
    </w:p>
    <w:p>
      <w:pPr>
        <w:spacing w:after="80"/>
        <w:ind w:left="720"/>
      </w:pPr>
      <w:r>
        <w:t xml:space="preserve">2. </w:t>
      </w:r>
      <w:r>
        <w:rPr>
          <w:b w:val="0"/>
          <w:i w:val="0"/>
        </w:rPr>
        <w:t>CHƯƠNG 12: Tiến lên đội ơi! Nền tảng của mô hình vận hành</w:t>
      </w:r>
    </w:p>
    <w:p>
      <w:pPr>
        <w:spacing w:after="80"/>
        <w:ind w:left="1080"/>
      </w:pPr>
      <w:r>
        <w:t xml:space="preserve">1. </w:t>
      </w:r>
      <w:r>
        <w:rPr>
          <w:b w:val="0"/>
          <w:i w:val="0"/>
        </w:rPr>
        <w:t>Hiểu về vòng đời phát triển phần mềm</w:t>
      </w:r>
    </w:p>
    <w:p>
      <w:pPr>
        <w:spacing w:after="80"/>
        <w:ind w:left="1080"/>
      </w:pPr>
      <w:r>
        <w:t xml:space="preserve">2. </w:t>
      </w:r>
      <w:r>
        <w:rPr>
          <w:b w:val="0"/>
          <w:i w:val="0"/>
        </w:rPr>
        <w:t>Chọn đúng người vào đội của bạn</w:t>
      </w:r>
    </w:p>
    <w:p>
      <w:pPr>
        <w:spacing w:after="80"/>
        <w:ind w:left="1080"/>
      </w:pPr>
      <w:r>
        <w:t xml:space="preserve">3. </w:t>
      </w:r>
      <w:r>
        <w:rPr>
          <w:b w:val="0"/>
          <w:i w:val="0"/>
        </w:rPr>
        <w:t>Điều gì thực sự 'agile' trong phát triển phần mềm agile</w:t>
      </w:r>
    </w:p>
    <w:p>
      <w:pPr>
        <w:spacing w:after="80"/>
        <w:ind w:left="1080"/>
      </w:pPr>
      <w:r>
        <w:t xml:space="preserve">4. </w:t>
      </w:r>
      <w:r>
        <w:rPr>
          <w:b w:val="0"/>
          <w:i w:val="0"/>
        </w:rPr>
        <w:t>Ghi chú</w:t>
      </w:r>
    </w:p>
    <w:p>
      <w:pPr>
        <w:spacing w:after="80"/>
        <w:ind w:left="720"/>
      </w:pPr>
      <w:r>
        <w:t xml:space="preserve">3. </w:t>
      </w:r>
      <w:r>
        <w:rPr>
          <w:b w:val="0"/>
          <w:i w:val="0"/>
        </w:rPr>
        <w:t>CHƯƠNG 13: Ý tưởng mang tính cách mạng: Đưa nhân tài kỹ thuật vào trong hoạt động kinh doanh</w:t>
      </w:r>
    </w:p>
    <w:p>
      <w:pPr>
        <w:spacing w:after="80"/>
        <w:ind w:left="1080"/>
      </w:pPr>
      <w:r>
        <w:t xml:space="preserve">1. </w:t>
      </w:r>
      <w:r>
        <w:rPr>
          <w:b w:val="0"/>
          <w:i w:val="0"/>
        </w:rPr>
        <w:t>Mô hình vận hành truyền thống so với mô hình phân tán</w:t>
      </w:r>
    </w:p>
    <w:p>
      <w:pPr>
        <w:spacing w:after="80"/>
        <w:ind w:left="1080"/>
      </w:pPr>
      <w:r>
        <w:t xml:space="preserve">2. </w:t>
      </w:r>
      <w:r>
        <w:rPr>
          <w:b w:val="0"/>
          <w:i w:val="0"/>
        </w:rPr>
        <w:t>Giải phẫu một mô hình phân tán và giá trị của nó</w:t>
      </w:r>
    </w:p>
    <w:p>
      <w:pPr>
        <w:spacing w:after="80"/>
        <w:ind w:left="1080"/>
      </w:pPr>
      <w:r>
        <w:t xml:space="preserve">3. </w:t>
      </w:r>
      <w:r>
        <w:rPr>
          <w:b w:val="0"/>
          <w:i w:val="0"/>
        </w:rPr>
        <w:t>Loại mô hình vận hành phân tán nào phù hợp nhất với doanh nghiệp của bạn?</w:t>
      </w:r>
    </w:p>
    <w:p>
      <w:pPr>
        <w:spacing w:after="80"/>
        <w:ind w:left="1080"/>
      </w:pPr>
      <w:r>
        <w:t xml:space="preserve">4. </w:t>
      </w:r>
      <w:r>
        <w:rPr>
          <w:b w:val="0"/>
          <w:i w:val="0"/>
        </w:rPr>
        <w:t>Ghi chú</w:t>
      </w:r>
    </w:p>
    <w:p>
      <w:pPr>
        <w:spacing w:after="80"/>
        <w:ind w:left="720"/>
      </w:pPr>
      <w:r>
        <w:t xml:space="preserve">4. </w:t>
      </w:r>
      <w:r>
        <w:rPr>
          <w:b w:val="0"/>
          <w:i w:val="0"/>
        </w:rPr>
        <w:t>CHƯƠNG 14: Bản thiết kế cho một doanh nghiệp nhanh nhẹn hơn</w:t>
      </w:r>
    </w:p>
    <w:p>
      <w:pPr>
        <w:spacing w:after="80"/>
        <w:ind w:left="1080"/>
      </w:pPr>
      <w:r>
        <w:t xml:space="preserve">1. </w:t>
      </w:r>
      <w:r>
        <w:rPr>
          <w:b w:val="0"/>
          <w:i w:val="0"/>
        </w:rPr>
        <w:t>Bắt đầu với “Tại sao”</w:t>
      </w:r>
    </w:p>
    <w:p>
      <w:pPr>
        <w:spacing w:after="80"/>
        <w:ind w:left="1080"/>
      </w:pPr>
      <w:r>
        <w:t xml:space="preserve">2. </w:t>
      </w:r>
      <w:r>
        <w:rPr>
          <w:b w:val="0"/>
          <w:i w:val="0"/>
        </w:rPr>
        <w:t>Phạm vi và thiết kế đơn vị</w:t>
      </w:r>
    </w:p>
    <w:p>
      <w:pPr>
        <w:spacing w:after="80"/>
        <w:ind w:left="1080"/>
      </w:pPr>
      <w:r>
        <w:t xml:space="preserve">3. </w:t>
      </w:r>
      <w:r>
        <w:rPr>
          <w:b w:val="0"/>
          <w:i w:val="0"/>
        </w:rPr>
        <w:t>Hệ thống quản lý</w:t>
      </w:r>
    </w:p>
    <w:p>
      <w:pPr>
        <w:spacing w:after="80"/>
        <w:ind w:left="1080"/>
      </w:pPr>
      <w:r>
        <w:t xml:space="preserve">4. </w:t>
      </w:r>
      <w:r>
        <w:rPr>
          <w:b w:val="0"/>
          <w:i w:val="0"/>
        </w:rPr>
        <w:t>Cách thức làm việc</w:t>
      </w:r>
    </w:p>
    <w:p>
      <w:pPr>
        <w:spacing w:after="80"/>
        <w:ind w:left="1080"/>
      </w:pPr>
      <w:r>
        <w:t xml:space="preserve">5. </w:t>
      </w:r>
      <w:r>
        <w:rPr>
          <w:b w:val="0"/>
          <w:i w:val="0"/>
        </w:rPr>
        <w:t>Con người và văn hóa</w:t>
      </w:r>
    </w:p>
    <w:p>
      <w:pPr>
        <w:spacing w:after="80"/>
        <w:ind w:left="1080"/>
      </w:pPr>
      <w:r>
        <w:t xml:space="preserve">6. </w:t>
      </w:r>
      <w:r>
        <w:rPr>
          <w:b w:val="0"/>
          <w:i w:val="0"/>
        </w:rPr>
        <w:t>Công cụ</w:t>
      </w:r>
    </w:p>
    <w:p>
      <w:pPr>
        <w:spacing w:after="80"/>
        <w:ind w:left="1080"/>
      </w:pPr>
      <w:r>
        <w:t xml:space="preserve">7. </w:t>
      </w:r>
      <w:r>
        <w:rPr>
          <w:b w:val="0"/>
          <w:i w:val="0"/>
        </w:rPr>
        <w:t>Lưu ý</w:t>
      </w:r>
    </w:p>
    <w:p>
      <w:pPr>
        <w:spacing w:after="80"/>
        <w:ind w:left="720"/>
      </w:pPr>
      <w:r>
        <w:t xml:space="preserve">5. </w:t>
      </w:r>
      <w:r>
        <w:rPr>
          <w:b w:val="0"/>
          <w:i w:val="0"/>
        </w:rPr>
        <w:t>CHƯƠNG 15: Thực hiện chuyển đổi theo cách có kiểm soát</w:t>
      </w:r>
    </w:p>
    <w:p>
      <w:pPr>
        <w:spacing w:after="80"/>
        <w:ind w:left="1080"/>
      </w:pPr>
      <w:r>
        <w:t xml:space="preserve">1. </w:t>
      </w:r>
      <w:r>
        <w:rPr>
          <w:b w:val="0"/>
          <w:i w:val="0"/>
        </w:rPr>
        <w:t>Lãnh đạo quá trình chuyển đổi và kiến trúc chuyển đổi</w:t>
      </w:r>
    </w:p>
    <w:p>
      <w:pPr>
        <w:spacing w:after="80"/>
        <w:ind w:left="1080"/>
      </w:pPr>
      <w:r>
        <w:t xml:space="preserve">2. </w:t>
      </w:r>
      <w:r>
        <w:rPr>
          <w:b w:val="0"/>
          <w:i w:val="0"/>
        </w:rPr>
        <w:t>Tạo đà từng đợt một</w:t>
      </w:r>
    </w:p>
    <w:p>
      <w:pPr>
        <w:spacing w:after="80"/>
        <w:ind w:left="1080"/>
      </w:pPr>
      <w:r>
        <w:t xml:space="preserve">3. </w:t>
      </w:r>
      <w:r>
        <w:rPr>
          <w:b w:val="0"/>
          <w:i w:val="0"/>
        </w:rPr>
        <w:t>Một quy trình có thể lặp lại để thiết lập các miền và nền tảng</w:t>
      </w:r>
    </w:p>
    <w:p>
      <w:pPr>
        <w:spacing w:after="80"/>
        <w:ind w:left="1080"/>
      </w:pPr>
      <w:r>
        <w:t xml:space="preserve">4. </w:t>
      </w:r>
      <w:r>
        <w:rPr>
          <w:b w:val="0"/>
          <w:i w:val="0"/>
        </w:rPr>
        <w:t>Những anh hùng thầm lặng: Các Chương</w:t>
      </w:r>
    </w:p>
    <w:p>
      <w:pPr>
        <w:spacing w:after="80"/>
        <w:ind w:left="720"/>
      </w:pPr>
      <w:r>
        <w:t xml:space="preserve">6. </w:t>
      </w:r>
      <w:r>
        <w:rPr>
          <w:b w:val="0"/>
          <w:i w:val="0"/>
        </w:rPr>
        <w:t>CHƯƠNG 16: Xây dựng một doanh nghiệp mới? Có một mô hình vận hành cho việc đó</w:t>
      </w:r>
    </w:p>
    <w:p>
      <w:pPr>
        <w:spacing w:after="80"/>
        <w:ind w:left="1080"/>
      </w:pPr>
      <w:r>
        <w:t xml:space="preserve">1. </w:t>
      </w:r>
      <w:r>
        <w:rPr>
          <w:b w:val="0"/>
          <w:i w:val="0"/>
        </w:rPr>
        <w:t>Ba đặc điểm chính của một mô hình vận hành cho doanh nghiệp mới</w:t>
      </w:r>
    </w:p>
    <w:p>
      <w:pPr>
        <w:spacing w:after="80"/>
        <w:ind w:left="1080"/>
      </w:pPr>
      <w:r>
        <w:t xml:space="preserve">2. </w:t>
      </w:r>
      <w:r>
        <w:rPr>
          <w:b w:val="0"/>
          <w:i w:val="0"/>
        </w:rPr>
        <w:t>Lưu ý</w:t>
      </w:r>
    </w:p>
    <w:p>
      <w:pPr>
        <w:spacing w:after="80"/>
        <w:ind w:left="360"/>
      </w:pPr>
      <w:r>
        <w:t xml:space="preserve">11. </w:t>
      </w:r>
      <w:r>
        <w:rPr>
          <w:b w:val="0"/>
          <w:i w:val="0"/>
        </w:rPr>
        <w:t>PHẦN BỐN: Công nghệ cho Tốc độ và Đổi mới Phân tán</w:t>
      </w:r>
    </w:p>
    <w:p>
      <w:pPr>
        <w:spacing w:after="80"/>
        <w:ind w:left="720"/>
      </w:pPr>
      <w:r>
        <w:t xml:space="preserve">1. </w:t>
      </w:r>
      <w:r>
        <w:rPr>
          <w:b w:val="0"/>
          <w:i w:val="0"/>
        </w:rPr>
        <w:t>Ghi chú</w:t>
      </w:r>
    </w:p>
    <w:p>
      <w:pPr>
        <w:spacing w:after="80"/>
        <w:ind w:left="720"/>
      </w:pPr>
      <w:r>
        <w:t xml:space="preserve">2. </w:t>
      </w:r>
      <w:r>
        <w:rPr>
          <w:b w:val="0"/>
          <w:i w:val="0"/>
        </w:rPr>
        <w:t>CHƯƠNG 17: Những nền tảng vận hành doanh nghiệp</w:t>
      </w:r>
    </w:p>
    <w:p>
      <w:pPr>
        <w:spacing w:after="80"/>
        <w:ind w:left="1080"/>
      </w:pPr>
      <w:r>
        <w:t xml:space="preserve">1. </w:t>
      </w:r>
      <w:r>
        <w:rPr>
          <w:b w:val="0"/>
          <w:i w:val="0"/>
        </w:rPr>
        <w:t>Vậy nền tảng (platform) rốt cuộc là gì và tại sao chúng lại quan trọng?</w:t>
      </w:r>
    </w:p>
    <w:p>
      <w:pPr>
        <w:spacing w:after="80"/>
        <w:ind w:left="1080"/>
      </w:pPr>
      <w:r>
        <w:t xml:space="preserve">2. </w:t>
      </w:r>
      <w:r>
        <w:rPr>
          <w:b w:val="0"/>
          <w:i w:val="0"/>
        </w:rPr>
        <w:t>Hiểu cách các giải pháp được xây dựng và vai trò của nền tảng</w:t>
      </w:r>
    </w:p>
    <w:p>
      <w:pPr>
        <w:spacing w:after="80"/>
        <w:ind w:left="1080"/>
      </w:pPr>
      <w:r>
        <w:t xml:space="preserve">3. </w:t>
      </w:r>
      <w:r>
        <w:rPr>
          <w:b w:val="0"/>
          <w:i w:val="0"/>
        </w:rPr>
        <w:t>Ghi chú</w:t>
      </w:r>
    </w:p>
    <w:p>
      <w:pPr>
        <w:spacing w:after="80"/>
        <w:ind w:left="720"/>
      </w:pPr>
      <w:r>
        <w:t xml:space="preserve">3. </w:t>
      </w:r>
      <w:r>
        <w:rPr>
          <w:b w:val="0"/>
          <w:i w:val="0"/>
        </w:rPr>
        <w:t>CHƯƠNG 18: Hãy làm cho công nghệ của bạn linh hoạt và dễ mở rộng—xin chào API!</w:t>
      </w:r>
    </w:p>
    <w:p>
      <w:pPr>
        <w:spacing w:after="80"/>
        <w:ind w:left="1080"/>
      </w:pPr>
      <w:r>
        <w:t xml:space="preserve">1. </w:t>
      </w:r>
      <w:r>
        <w:rPr>
          <w:b w:val="0"/>
          <w:i w:val="0"/>
        </w:rPr>
        <w:t>Hãy áp dụng API, nhưng quản lý sự bùng nổ của chúng bằng một nền tảng</w:t>
      </w:r>
    </w:p>
    <w:p>
      <w:pPr>
        <w:spacing w:after="80"/>
        <w:ind w:left="1080"/>
      </w:pPr>
      <w:r>
        <w:t xml:space="preserve">2. </w:t>
      </w:r>
      <w:r>
        <w:rPr>
          <w:b w:val="0"/>
          <w:i w:val="0"/>
        </w:rPr>
        <w:t>Gặp gỡ người bạn thân mới của bạn: Kiến trúc sư doanh nghiệp (enterprise architect)</w:t>
      </w:r>
    </w:p>
    <w:p>
      <w:pPr>
        <w:spacing w:after="80"/>
        <w:ind w:left="1080"/>
      </w:pPr>
      <w:r>
        <w:t xml:space="preserve">3. </w:t>
      </w:r>
      <w:r>
        <w:rPr>
          <w:b w:val="0"/>
          <w:i w:val="0"/>
        </w:rPr>
        <w:t>Ghi chú</w:t>
      </w:r>
    </w:p>
    <w:p>
      <w:pPr>
        <w:spacing w:after="80"/>
        <w:ind w:left="720"/>
      </w:pPr>
      <w:r>
        <w:t xml:space="preserve">4. </w:t>
      </w:r>
      <w:r>
        <w:rPr>
          <w:b w:val="0"/>
          <w:i w:val="0"/>
        </w:rPr>
        <w:t>CHƯƠNG 19: Các thực hành kỹ thuật (engineering practices) để đạt tốc độ và chất lượng</w:t>
      </w:r>
    </w:p>
    <w:p>
      <w:pPr>
        <w:spacing w:after="80"/>
        <w:ind w:left="1080"/>
      </w:pPr>
      <w:r>
        <w:t xml:space="preserve">1. </w:t>
      </w:r>
      <w:r>
        <w:rPr>
          <w:b w:val="0"/>
          <w:i w:val="0"/>
        </w:rPr>
        <w:t>Hành trình đến sự xuất sắc trong kỹ thuật phần mềm</w:t>
      </w:r>
    </w:p>
    <w:p>
      <w:pPr>
        <w:spacing w:after="80"/>
        <w:ind w:left="1080"/>
      </w:pPr>
      <w:r>
        <w:t xml:space="preserve">2. </w:t>
      </w:r>
      <w:r>
        <w:rPr>
          <w:b w:val="0"/>
          <w:i w:val="0"/>
        </w:rPr>
        <w:t>Xây dựng một nền tảng kỹ thuật</w:t>
      </w:r>
    </w:p>
    <w:p>
      <w:pPr>
        <w:spacing w:after="80"/>
        <w:ind w:left="1080"/>
      </w:pPr>
      <w:r>
        <w:t xml:space="preserve">3. </w:t>
      </w:r>
      <w:r>
        <w:rPr>
          <w:b w:val="0"/>
          <w:i w:val="0"/>
        </w:rPr>
        <w:t>Cung cấp các giải pháp số đạt chuẩn sản xuất (production-grade)</w:t>
      </w:r>
    </w:p>
    <w:p>
      <w:pPr>
        <w:spacing w:after="80"/>
        <w:ind w:left="1080"/>
      </w:pPr>
      <w:r>
        <w:t xml:space="preserve">4. </w:t>
      </w:r>
      <w:r>
        <w:rPr>
          <w:b w:val="0"/>
          <w:i w:val="0"/>
        </w:rPr>
        <w:t>Tích hợp tự động hóa bảo mật ngay từ đầu</w:t>
      </w:r>
    </w:p>
    <w:p>
      <w:pPr>
        <w:spacing w:after="80"/>
        <w:ind w:left="1080"/>
      </w:pPr>
      <w:r>
        <w:t xml:space="preserve">5. </w:t>
      </w:r>
      <w:r>
        <w:rPr>
          <w:b w:val="0"/>
          <w:i w:val="0"/>
        </w:rPr>
        <w:t>Ghi chú</w:t>
      </w:r>
    </w:p>
    <w:p>
      <w:pPr>
        <w:spacing w:after="80"/>
        <w:ind w:left="720"/>
      </w:pPr>
      <w:r>
        <w:t xml:space="preserve">5. </w:t>
      </w:r>
      <w:r>
        <w:rPr>
          <w:b w:val="0"/>
          <w:i w:val="0"/>
        </w:rPr>
        <w:t>CHƯƠNG 20: Cuộc cách mạng AI trong phát triển phần mềm</w:t>
      </w:r>
    </w:p>
    <w:p>
      <w:pPr>
        <w:spacing w:after="80"/>
        <w:ind w:left="1080"/>
      </w:pPr>
      <w:r>
        <w:t xml:space="preserve">1. </w:t>
      </w:r>
      <w:r>
        <w:rPr>
          <w:b w:val="0"/>
          <w:i w:val="0"/>
        </w:rPr>
        <w:t>Thực hành tốt nhất khi ứng dụng AI vào phát triển phần mềm</w:t>
      </w:r>
    </w:p>
    <w:p>
      <w:pPr>
        <w:spacing w:after="80"/>
        <w:ind w:left="1080"/>
      </w:pPr>
      <w:r>
        <w:t xml:space="preserve">2. </w:t>
      </w:r>
      <w:r>
        <w:rPr>
          <w:b w:val="0"/>
          <w:i w:val="0"/>
        </w:rPr>
        <w:t>Một nhà máy gồm các AI agent: Hoạt động như thế nào?</w:t>
      </w:r>
    </w:p>
    <w:p>
      <w:pPr>
        <w:spacing w:after="80"/>
        <w:ind w:left="1080"/>
      </w:pPr>
      <w:r>
        <w:t xml:space="preserve">3. </w:t>
      </w:r>
      <w:r>
        <w:rPr>
          <w:b w:val="0"/>
          <w:i w:val="0"/>
        </w:rPr>
        <w:t>Ghi chú</w:t>
      </w:r>
    </w:p>
    <w:p>
      <w:pPr>
        <w:spacing w:after="80"/>
        <w:ind w:left="720"/>
      </w:pPr>
      <w:r>
        <w:t xml:space="preserve">6. </w:t>
      </w:r>
      <w:r>
        <w:rPr>
          <w:b w:val="0"/>
          <w:i w:val="0"/>
        </w:rPr>
        <w:t>CHƯƠNG 21: Nền tảng AI giúp tăng tốc phát triển mô hình</w:t>
      </w:r>
    </w:p>
    <w:p>
      <w:pPr>
        <w:spacing w:after="80"/>
        <w:ind w:left="1080"/>
      </w:pPr>
      <w:r>
        <w:t xml:space="preserve">1. </w:t>
      </w:r>
      <w:r>
        <w:rPr>
          <w:b w:val="0"/>
          <w:i w:val="0"/>
        </w:rPr>
        <w:t>Kiến trúc của các nền tảng AI</w:t>
      </w:r>
    </w:p>
    <w:p>
      <w:pPr>
        <w:spacing w:after="80"/>
        <w:ind w:left="1080"/>
      </w:pPr>
      <w:r>
        <w:t xml:space="preserve">2. </w:t>
      </w:r>
      <w:r>
        <w:rPr>
          <w:b w:val="0"/>
          <w:i w:val="0"/>
        </w:rPr>
        <w:t>Bạn nên tự xây dựng hay mua nền tảng AI của mình?</w:t>
      </w:r>
    </w:p>
    <w:p>
      <w:pPr>
        <w:spacing w:after="80"/>
        <w:ind w:left="1080"/>
      </w:pPr>
      <w:r>
        <w:t xml:space="preserve">3. </w:t>
      </w:r>
      <w:r>
        <w:rPr>
          <w:b w:val="0"/>
          <w:i w:val="0"/>
        </w:rPr>
        <w:t>Thực hành tốt nhất khi xây dựng nền tảng AI</w:t>
      </w:r>
    </w:p>
    <w:p>
      <w:pPr>
        <w:spacing w:after="80"/>
        <w:ind w:left="1080"/>
      </w:pPr>
      <w:r>
        <w:t xml:space="preserve">4. </w:t>
      </w:r>
      <w:r>
        <w:rPr>
          <w:b w:val="0"/>
          <w:i w:val="0"/>
        </w:rPr>
        <w:t>Ghi chú</w:t>
      </w:r>
    </w:p>
    <w:p>
      <w:pPr>
        <w:spacing w:after="80"/>
        <w:ind w:left="720"/>
      </w:pPr>
      <w:r>
        <w:t xml:space="preserve">7. </w:t>
      </w:r>
      <w:r>
        <w:rPr>
          <w:b w:val="0"/>
          <w:i w:val="0"/>
        </w:rPr>
        <w:t>CHƯƠNG 22: Nghệ thuật phát triển các giải pháp AI dạng agent</w:t>
      </w:r>
    </w:p>
    <w:p>
      <w:pPr>
        <w:spacing w:after="80"/>
        <w:ind w:left="1080"/>
      </w:pPr>
      <w:r>
        <w:t xml:space="preserve">1. </w:t>
      </w:r>
      <w:r>
        <w:rPr>
          <w:b w:val="0"/>
          <w:i w:val="0"/>
        </w:rPr>
        <w:t>Những gì agent có thể làm (và chưa thể làm)</w:t>
      </w:r>
    </w:p>
    <w:p>
      <w:pPr>
        <w:spacing w:after="80"/>
        <w:ind w:left="1080"/>
      </w:pPr>
      <w:r>
        <w:t xml:space="preserve">2. </w:t>
      </w:r>
      <w:r>
        <w:rPr>
          <w:b w:val="0"/>
          <w:i w:val="0"/>
        </w:rPr>
        <w:t>Thiết kế quy trình làm việc với các agent "bị giới hạn"</w:t>
      </w:r>
    </w:p>
    <w:p>
      <w:pPr>
        <w:spacing w:after="80"/>
        <w:ind w:left="1080"/>
      </w:pPr>
      <w:r>
        <w:t xml:space="preserve">3. </w:t>
      </w:r>
      <w:r>
        <w:rPr>
          <w:b w:val="0"/>
          <w:i w:val="0"/>
        </w:rPr>
        <w:t>Thông minh hơn với đầu vào để có đầu ra tốt hơn</w:t>
      </w:r>
    </w:p>
    <w:p>
      <w:pPr>
        <w:spacing w:after="80"/>
        <w:ind w:left="1080"/>
      </w:pPr>
      <w:r>
        <w:t xml:space="preserve">4. </w:t>
      </w:r>
      <w:r>
        <w:rPr>
          <w:b w:val="0"/>
          <w:i w:val="0"/>
        </w:rPr>
        <w:t>Kiểm thử sớm và thường xuyên</w:t>
      </w:r>
    </w:p>
    <w:p>
      <w:pPr>
        <w:spacing w:after="80"/>
        <w:ind w:left="1080"/>
      </w:pPr>
      <w:r>
        <w:t xml:space="preserve">5. </w:t>
      </w:r>
      <w:r>
        <w:rPr>
          <w:b w:val="0"/>
          <w:i w:val="0"/>
        </w:rPr>
        <w:t>Hiểu rõ sự đánh đổi giữa mua và tự xây dựng với các AI agent</w:t>
      </w:r>
    </w:p>
    <w:p>
      <w:pPr>
        <w:spacing w:after="80"/>
        <w:ind w:left="1080"/>
      </w:pPr>
      <w:r>
        <w:t xml:space="preserve">6. </w:t>
      </w:r>
      <w:r>
        <w:rPr>
          <w:b w:val="0"/>
          <w:i w:val="0"/>
        </w:rPr>
        <w:t>Một kiến trúc có thể hỗ trợ nhiều nền tảng agent</w:t>
      </w:r>
    </w:p>
    <w:p>
      <w:pPr>
        <w:spacing w:after="80"/>
        <w:ind w:left="1080"/>
      </w:pPr>
      <w:r>
        <w:t xml:space="preserve">7. </w:t>
      </w:r>
      <w:r>
        <w:rPr>
          <w:b w:val="0"/>
          <w:i w:val="0"/>
        </w:rPr>
        <w:t>Ghi chú</w:t>
      </w:r>
    </w:p>
    <w:p>
      <w:pPr>
        <w:spacing w:after="80"/>
        <w:ind w:left="720"/>
      </w:pPr>
      <w:r>
        <w:t xml:space="preserve">8. </w:t>
      </w:r>
      <w:r>
        <w:rPr>
          <w:b w:val="0"/>
          <w:i w:val="0"/>
        </w:rPr>
        <w:t>CHƯƠNG 23: Một cách tiếp cận "phẫu thuật" hơn để hiện đại hóa các hệ thống cốt lõi</w:t>
      </w:r>
    </w:p>
    <w:p>
      <w:pPr>
        <w:spacing w:after="80"/>
        <w:ind w:left="1080"/>
      </w:pPr>
      <w:r>
        <w:t xml:space="preserve">1. </w:t>
      </w:r>
      <w:r>
        <w:rPr>
          <w:b w:val="0"/>
          <w:i w:val="0"/>
        </w:rPr>
        <w:t>Lựa chọn sai lầm: Hiện đại hóa trước hay đổi mới nhanh</w:t>
      </w:r>
    </w:p>
    <w:p>
      <w:pPr>
        <w:spacing w:after="80"/>
        <w:ind w:left="1080"/>
      </w:pPr>
      <w:r>
        <w:t xml:space="preserve">2. </w:t>
      </w:r>
      <w:r>
        <w:rPr>
          <w:b w:val="0"/>
          <w:i w:val="0"/>
        </w:rPr>
        <w:t>Lộ trình hiện đại hóa IT để hỗ trợ chuyển đổi Công nghệ &amp; AI</w:t>
      </w:r>
    </w:p>
    <w:p>
      <w:pPr>
        <w:spacing w:after="80"/>
        <w:ind w:left="1080"/>
      </w:pPr>
      <w:r>
        <w:t xml:space="preserve">3. </w:t>
      </w:r>
      <w:r>
        <w:rPr>
          <w:b w:val="0"/>
          <w:i w:val="0"/>
        </w:rPr>
        <w:t>Khả năng phục hồi: Khi hệ thống cốt lõi hỏng, doanh nghiệp dừng lại</w:t>
      </w:r>
    </w:p>
    <w:p>
      <w:pPr>
        <w:spacing w:after="80"/>
        <w:ind w:left="1080"/>
      </w:pPr>
      <w:r>
        <w:t xml:space="preserve">4. </w:t>
      </w:r>
      <w:r>
        <w:rPr>
          <w:b w:val="0"/>
          <w:i w:val="0"/>
        </w:rPr>
        <w:t>Trả tiền cho những gì bạn cần: Kiểm soát chi phí cloud</w:t>
      </w:r>
    </w:p>
    <w:p>
      <w:pPr>
        <w:spacing w:after="80"/>
        <w:ind w:left="1080"/>
      </w:pPr>
      <w:r>
        <w:t xml:space="preserve">5. </w:t>
      </w:r>
      <w:r>
        <w:rPr>
          <w:b w:val="0"/>
          <w:i w:val="0"/>
        </w:rPr>
        <w:t>Ghi chú</w:t>
      </w:r>
    </w:p>
    <w:p>
      <w:pPr>
        <w:spacing w:after="80"/>
        <w:ind w:left="360"/>
      </w:pPr>
      <w:r>
        <w:t xml:space="preserve">12. </w:t>
      </w:r>
      <w:r>
        <w:rPr>
          <w:b w:val="0"/>
          <w:i w:val="0"/>
        </w:rPr>
        <w:t>PHẦN NĂM: Nhúng dữ liệu vào mọi nơi</w:t>
      </w:r>
    </w:p>
    <w:p>
      <w:pPr>
        <w:spacing w:after="80"/>
        <w:ind w:left="720"/>
      </w:pPr>
      <w:r>
        <w:t xml:space="preserve">1. </w:t>
      </w:r>
      <w:r>
        <w:rPr>
          <w:b w:val="0"/>
          <w:i w:val="0"/>
        </w:rPr>
        <w:t>Ghi chú</w:t>
      </w:r>
    </w:p>
    <w:p>
      <w:pPr>
        <w:spacing w:after="80"/>
        <w:ind w:left="720"/>
      </w:pPr>
      <w:r>
        <w:t xml:space="preserve">2. </w:t>
      </w:r>
      <w:r>
        <w:rPr>
          <w:b w:val="0"/>
          <w:i w:val="0"/>
        </w:rPr>
        <w:t>CHƯƠNG 24: Bắt đầu từ giá trị, rồi mới đến dữ liệu</w:t>
      </w:r>
    </w:p>
    <w:p>
      <w:pPr>
        <w:spacing w:after="80"/>
        <w:ind w:left="1080"/>
      </w:pPr>
      <w:r>
        <w:t xml:space="preserve">1. </w:t>
      </w:r>
      <w:r>
        <w:rPr>
          <w:b w:val="0"/>
          <w:i w:val="0"/>
        </w:rPr>
        <w:t>Xác định và ưu tiên dữ liệu</w:t>
      </w:r>
    </w:p>
    <w:p>
      <w:pPr>
        <w:spacing w:after="80"/>
        <w:ind w:left="1080"/>
      </w:pPr>
      <w:r>
        <w:t xml:space="preserve">2. </w:t>
      </w:r>
      <w:r>
        <w:rPr>
          <w:b w:val="0"/>
          <w:i w:val="0"/>
        </w:rPr>
        <w:t>Đánh giá mức độ sẵn sàng của dữ liệu</w:t>
      </w:r>
    </w:p>
    <w:p>
      <w:pPr>
        <w:spacing w:after="80"/>
        <w:ind w:left="1080"/>
      </w:pPr>
      <w:r>
        <w:t xml:space="preserve">3. </w:t>
      </w:r>
      <w:r>
        <w:rPr>
          <w:b w:val="0"/>
          <w:i w:val="0"/>
        </w:rPr>
        <w:t>Tích hợp dữ liệu phi cấu trúc</w:t>
      </w:r>
    </w:p>
    <w:p>
      <w:pPr>
        <w:spacing w:after="80"/>
        <w:ind w:left="1080"/>
      </w:pPr>
      <w:r>
        <w:t xml:space="preserve">4. </w:t>
      </w:r>
      <w:r>
        <w:rPr>
          <w:b w:val="0"/>
          <w:i w:val="0"/>
        </w:rPr>
        <w:t>Tự động hóa làm sạch dữ liệu với GenAI</w:t>
      </w:r>
    </w:p>
    <w:p>
      <w:pPr>
        <w:spacing w:after="80"/>
        <w:ind w:left="1080"/>
      </w:pPr>
      <w:r>
        <w:t xml:space="preserve">5. </w:t>
      </w:r>
      <w:r>
        <w:rPr>
          <w:b w:val="0"/>
          <w:i w:val="0"/>
        </w:rPr>
        <w:t>Ghi chú</w:t>
      </w:r>
    </w:p>
    <w:p>
      <w:pPr>
        <w:spacing w:after="80"/>
        <w:ind w:left="720"/>
      </w:pPr>
      <w:r>
        <w:t xml:space="preserve">3. </w:t>
      </w:r>
      <w:r>
        <w:rPr>
          <w:b w:val="0"/>
          <w:i w:val="0"/>
        </w:rPr>
        <w:t>CHƯƠNG 25: Không có kiến trúc dữ liệu, không có lợi thế AI</w:t>
      </w:r>
    </w:p>
    <w:p>
      <w:pPr>
        <w:spacing w:after="80"/>
        <w:ind w:left="1080"/>
      </w:pPr>
      <w:r>
        <w:t xml:space="preserve">1. </w:t>
      </w:r>
      <w:r>
        <w:rPr>
          <w:b w:val="0"/>
          <w:i w:val="0"/>
        </w:rPr>
        <w:t>Một kiến trúc dữ liệu hiện đại</w:t>
      </w:r>
    </w:p>
    <w:p>
      <w:pPr>
        <w:spacing w:after="80"/>
        <w:ind w:left="1080"/>
      </w:pPr>
      <w:r>
        <w:t xml:space="preserve">2. </w:t>
      </w:r>
      <w:r>
        <w:rPr>
          <w:b w:val="0"/>
          <w:i w:val="0"/>
        </w:rPr>
        <w:t>Xây dựng kiến trúc dữ liệu của bạn</w:t>
      </w:r>
    </w:p>
    <w:p>
      <w:pPr>
        <w:spacing w:after="80"/>
        <w:ind w:left="1080"/>
      </w:pPr>
      <w:r>
        <w:t xml:space="preserve">3. </w:t>
      </w:r>
      <w:r>
        <w:rPr>
          <w:b w:val="0"/>
          <w:i w:val="0"/>
        </w:rPr>
        <w:t>Chuẩn bị kiến trúc dữ liệu của bạn cho GenAI</w:t>
      </w:r>
    </w:p>
    <w:p>
      <w:pPr>
        <w:spacing w:after="80"/>
        <w:ind w:left="1080"/>
      </w:pPr>
      <w:r>
        <w:t xml:space="preserve">4. </w:t>
      </w:r>
      <w:r>
        <w:rPr>
          <w:b w:val="0"/>
          <w:i w:val="0"/>
        </w:rPr>
        <w:t>Kích hoạt lớp ngữ nghĩa</w:t>
      </w:r>
    </w:p>
    <w:p>
      <w:pPr>
        <w:spacing w:after="80"/>
        <w:ind w:left="720"/>
      </w:pPr>
      <w:r>
        <w:t xml:space="preserve">4. </w:t>
      </w:r>
      <w:r>
        <w:rPr>
          <w:b w:val="0"/>
          <w:i w:val="0"/>
        </w:rPr>
        <w:t>CHƯƠNG 26: Sản phẩm dữ liệu: Những khối xây dựng có thể tái sử dụng để mở rộng quy mô</w:t>
      </w:r>
    </w:p>
    <w:p>
      <w:pPr>
        <w:spacing w:after="80"/>
        <w:ind w:left="1080"/>
      </w:pPr>
      <w:r>
        <w:t xml:space="preserve">1. </w:t>
      </w:r>
      <w:r>
        <w:rPr>
          <w:b w:val="0"/>
          <w:i w:val="0"/>
        </w:rPr>
        <w:t>Cho tôi thấy giá trị: Sản phẩm dữ liệu với ROI thực sự</w:t>
      </w:r>
    </w:p>
    <w:p>
      <w:pPr>
        <w:spacing w:after="80"/>
        <w:ind w:left="1080"/>
      </w:pPr>
      <w:r>
        <w:t xml:space="preserve">2. </w:t>
      </w:r>
      <w:r>
        <w:rPr>
          <w:b w:val="0"/>
          <w:i w:val="0"/>
        </w:rPr>
        <w:t>Xây dựng sản phẩm dữ liệu</w:t>
      </w:r>
    </w:p>
    <w:p>
      <w:pPr>
        <w:spacing w:after="80"/>
        <w:ind w:left="1080"/>
      </w:pPr>
      <w:r>
        <w:t xml:space="preserve">3. </w:t>
      </w:r>
      <w:r>
        <w:rPr>
          <w:b w:val="0"/>
          <w:i w:val="0"/>
        </w:rPr>
        <w:t>Ghi chú</w:t>
      </w:r>
    </w:p>
    <w:p>
      <w:pPr>
        <w:spacing w:after="80"/>
        <w:ind w:left="720"/>
      </w:pPr>
      <w:r>
        <w:t xml:space="preserve">5. </w:t>
      </w:r>
      <w:r>
        <w:rPr>
          <w:b w:val="0"/>
          <w:i w:val="0"/>
        </w:rPr>
        <w:t>CHƯƠNG 27: Tổ chức để tận dụng tối đa dữ liệu của bạn</w:t>
      </w:r>
    </w:p>
    <w:p>
      <w:pPr>
        <w:spacing w:after="80"/>
        <w:ind w:left="1080"/>
      </w:pPr>
      <w:r>
        <w:t xml:space="preserve">1. </w:t>
      </w:r>
      <w:r>
        <w:rPr>
          <w:b w:val="0"/>
          <w:i w:val="0"/>
        </w:rPr>
        <w:t>Mô hình tổ chức dữ liệu tập trung hay liên bang?</w:t>
      </w:r>
    </w:p>
    <w:p>
      <w:pPr>
        <w:spacing w:after="80"/>
        <w:ind w:left="1080"/>
      </w:pPr>
      <w:r>
        <w:t xml:space="preserve">2. </w:t>
      </w:r>
      <w:r>
        <w:rPr>
          <w:b w:val="0"/>
          <w:i w:val="0"/>
        </w:rPr>
        <w:t>Làm đúng quản trị dữ liệu</w:t>
      </w:r>
    </w:p>
    <w:p>
      <w:pPr>
        <w:spacing w:after="80"/>
        <w:ind w:left="720"/>
      </w:pPr>
      <w:r>
        <w:t xml:space="preserve">6. </w:t>
      </w:r>
      <w:r>
        <w:rPr>
          <w:b w:val="0"/>
          <w:i w:val="0"/>
        </w:rPr>
        <w:t>CHƯƠNG 28: Bảo vệ dữ liệu trong thế giới LLM</w:t>
      </w:r>
    </w:p>
    <w:p>
      <w:pPr>
        <w:spacing w:after="80"/>
        <w:ind w:left="1080"/>
      </w:pPr>
      <w:r>
        <w:t xml:space="preserve">1. </w:t>
      </w:r>
      <w:r>
        <w:rPr>
          <w:b w:val="0"/>
          <w:i w:val="0"/>
        </w:rPr>
        <w:t>Rủi ro thực sự: Không phải bên ngoài tường lửa, mà là bên trong</w:t>
      </w:r>
    </w:p>
    <w:p>
      <w:pPr>
        <w:spacing w:after="80"/>
        <w:ind w:left="1080"/>
      </w:pPr>
      <w:r>
        <w:t xml:space="preserve">2. </w:t>
      </w:r>
      <w:r>
        <w:rPr>
          <w:b w:val="0"/>
          <w:i w:val="0"/>
        </w:rPr>
        <w:t>Một thế giới nơi danh tính thuộc về máy móc</w:t>
      </w:r>
    </w:p>
    <w:p>
      <w:pPr>
        <w:spacing w:after="80"/>
        <w:ind w:left="1080"/>
      </w:pPr>
      <w:r>
        <w:t xml:space="preserve">3. </w:t>
      </w:r>
      <w:r>
        <w:rPr>
          <w:b w:val="0"/>
          <w:i w:val="0"/>
        </w:rPr>
        <w:t>Suy luận: Khi các mô hình tiết lộ nhiều hơn những gì chúng nhận được</w:t>
      </w:r>
    </w:p>
    <w:p>
      <w:pPr>
        <w:spacing w:after="80"/>
        <w:ind w:left="1080"/>
      </w:pPr>
      <w:r>
        <w:t xml:space="preserve">4. </w:t>
      </w:r>
      <w:r>
        <w:rPr>
          <w:b w:val="0"/>
          <w:i w:val="0"/>
        </w:rPr>
        <w:t>Sự chuyển dịch sang bảo vệ dữ liệu đang được sử dụng</w:t>
      </w:r>
    </w:p>
    <w:p>
      <w:pPr>
        <w:spacing w:after="80"/>
        <w:ind w:left="1080"/>
      </w:pPr>
      <w:r>
        <w:t xml:space="preserve">5. </w:t>
      </w:r>
      <w:r>
        <w:rPr>
          <w:b w:val="0"/>
          <w:i w:val="0"/>
        </w:rPr>
        <w:t>Hệ thống hóa quyền và sự đồng thuận trong hợp tác kinh doanh</w:t>
      </w:r>
    </w:p>
    <w:p>
      <w:pPr>
        <w:spacing w:after="80"/>
        <w:ind w:left="1080"/>
      </w:pPr>
      <w:r>
        <w:t xml:space="preserve">6. </w:t>
      </w:r>
      <w:r>
        <w:rPr>
          <w:b w:val="0"/>
          <w:i w:val="0"/>
        </w:rPr>
        <w:t>Xây dựng niềm tin bằng bằng chứng</w:t>
      </w:r>
    </w:p>
    <w:p>
      <w:pPr>
        <w:spacing w:after="80"/>
        <w:ind w:left="1080"/>
      </w:pPr>
      <w:r>
        <w:t xml:space="preserve">7. </w:t>
      </w:r>
      <w:r>
        <w:rPr>
          <w:b w:val="0"/>
          <w:i w:val="0"/>
        </w:rPr>
        <w:t>Ghi chú</w:t>
      </w:r>
    </w:p>
    <w:p>
      <w:pPr>
        <w:spacing w:after="80"/>
        <w:ind w:left="720"/>
      </w:pPr>
      <w:r>
        <w:t xml:space="preserve">7. </w:t>
      </w:r>
      <w:r>
        <w:rPr>
          <w:b w:val="0"/>
          <w:i w:val="0"/>
        </w:rPr>
        <w:t>CHƯƠNG 29: Nhiệm vụ chiến lược tiếp theo của bạn: Tạo lợi thế dữ liệu độc quyền</w:t>
      </w:r>
    </w:p>
    <w:p>
      <w:pPr>
        <w:spacing w:after="80"/>
        <w:ind w:left="1080"/>
      </w:pPr>
      <w:r>
        <w:t xml:space="preserve">1. </w:t>
      </w:r>
      <w:r>
        <w:rPr>
          <w:b w:val="0"/>
          <w:i w:val="0"/>
        </w:rPr>
        <w:t>Cách xác định nơi dữ liệu độc quyền có thể tạo ra khác biệt lớn nhất</w:t>
      </w:r>
    </w:p>
    <w:p>
      <w:pPr>
        <w:spacing w:after="80"/>
        <w:ind w:left="1080"/>
      </w:pPr>
      <w:r>
        <w:t xml:space="preserve">2. </w:t>
      </w:r>
      <w:r>
        <w:rPr>
          <w:b w:val="0"/>
          <w:i w:val="0"/>
        </w:rPr>
        <w:t>Tự động hóa việc thu thập dữ liệu</w:t>
      </w:r>
    </w:p>
    <w:p>
      <w:pPr>
        <w:spacing w:after="80"/>
        <w:ind w:left="1080"/>
      </w:pPr>
      <w:r>
        <w:t xml:space="preserve">3. </w:t>
      </w:r>
      <w:r>
        <w:rPr>
          <w:b w:val="0"/>
          <w:i w:val="0"/>
        </w:rPr>
        <w:t>Làm giàu dữ liệu bằng cách sử dụng nó</w:t>
      </w:r>
    </w:p>
    <w:p>
      <w:pPr>
        <w:spacing w:after="80"/>
        <w:ind w:left="1080"/>
      </w:pPr>
      <w:r>
        <w:t xml:space="preserve">4. </w:t>
      </w:r>
      <w:r>
        <w:rPr>
          <w:b w:val="0"/>
          <w:i w:val="0"/>
        </w:rPr>
        <w:t>Dữ liệu như một loại tài sản được quản lý một cách rõ ràng</w:t>
      </w:r>
    </w:p>
    <w:p>
      <w:pPr>
        <w:spacing w:after="80"/>
        <w:ind w:left="360"/>
      </w:pPr>
      <w:r>
        <w:t xml:space="preserve">13. </w:t>
      </w:r>
      <w:r>
        <w:rPr>
          <w:b w:val="0"/>
          <w:i w:val="0"/>
        </w:rPr>
        <w:t>MỤC SÁU: Chấp nhận và Mở rộng: Những đòn bẩy sức mạnh của bạn</w:t>
      </w:r>
    </w:p>
    <w:p>
      <w:pPr>
        <w:spacing w:after="80"/>
        <w:ind w:left="720"/>
      </w:pPr>
      <w:r>
        <w:t xml:space="preserve">1. </w:t>
      </w:r>
      <w:r>
        <w:rPr>
          <w:b w:val="0"/>
          <w:i w:val="0"/>
        </w:rPr>
        <w:t>Ghi chú</w:t>
      </w:r>
    </w:p>
    <w:p>
      <w:pPr>
        <w:spacing w:after="80"/>
        <w:ind w:left="720"/>
      </w:pPr>
      <w:r>
        <w:t xml:space="preserve">2. </w:t>
      </w:r>
      <w:r>
        <w:rPr>
          <w:b w:val="0"/>
          <w:i w:val="0"/>
        </w:rPr>
        <w:t>CHƯƠNG 30: Làm cho việc chấp nhận trở nên bền vững</w:t>
      </w:r>
    </w:p>
    <w:p>
      <w:pPr>
        <w:spacing w:after="80"/>
        <w:ind w:left="1080"/>
      </w:pPr>
      <w:r>
        <w:t xml:space="preserve">1. </w:t>
      </w:r>
      <w:r>
        <w:rPr>
          <w:b w:val="0"/>
          <w:i w:val="0"/>
        </w:rPr>
        <w:t>Biến người dùng cuối thành 'copilot' trong quá trình phát triển</w:t>
      </w:r>
    </w:p>
    <w:p>
      <w:pPr>
        <w:spacing w:after="80"/>
        <w:ind w:left="1080"/>
      </w:pPr>
      <w:r>
        <w:t xml:space="preserve">2. </w:t>
      </w:r>
      <w:r>
        <w:rPr>
          <w:b w:val="0"/>
          <w:i w:val="0"/>
        </w:rPr>
        <w:t>Gây ảnh hưởng đến người dùng cuối của bạn</w:t>
      </w:r>
    </w:p>
    <w:p>
      <w:pPr>
        <w:spacing w:after="80"/>
        <w:ind w:left="1080"/>
      </w:pPr>
      <w:r>
        <w:t xml:space="preserve">3. </w:t>
      </w:r>
      <w:r>
        <w:rPr>
          <w:b w:val="0"/>
          <w:i w:val="0"/>
        </w:rPr>
        <w:t>Thích ứng mô hình kinh doanh</w:t>
      </w:r>
    </w:p>
    <w:p>
      <w:pPr>
        <w:spacing w:after="80"/>
        <w:ind w:left="1080"/>
      </w:pPr>
      <w:r>
        <w:t xml:space="preserve">4. </w:t>
      </w:r>
      <w:r>
        <w:rPr>
          <w:b w:val="0"/>
          <w:i w:val="0"/>
        </w:rPr>
        <w:t>Cân nhắc hai cách tiếp cận chấp nhận khác nhau cho các giải pháp GenAI</w:t>
      </w:r>
    </w:p>
    <w:p>
      <w:pPr>
        <w:spacing w:after="80"/>
        <w:ind w:left="1080"/>
      </w:pPr>
      <w:r>
        <w:t xml:space="preserve">5. </w:t>
      </w:r>
      <w:r>
        <w:rPr>
          <w:b w:val="0"/>
          <w:i w:val="0"/>
        </w:rPr>
        <w:t>Ghi chú</w:t>
      </w:r>
    </w:p>
    <w:p>
      <w:pPr>
        <w:spacing w:after="80"/>
        <w:ind w:left="720"/>
      </w:pPr>
      <w:r>
        <w:t xml:space="preserve">3. </w:t>
      </w:r>
      <w:r>
        <w:rPr>
          <w:b w:val="0"/>
          <w:i w:val="0"/>
        </w:rPr>
        <w:t>CHƯƠNG 31: Thiết kế giải pháp để mở rộng và tái sử dụng</w:t>
      </w:r>
    </w:p>
    <w:p>
      <w:pPr>
        <w:spacing w:after="80"/>
        <w:ind w:left="1080"/>
      </w:pPr>
      <w:r>
        <w:t xml:space="preserve">1. </w:t>
      </w:r>
      <w:r>
        <w:rPr>
          <w:b w:val="0"/>
          <w:i w:val="0"/>
        </w:rPr>
        <w:t>Xác định ‘đơn vị’ của bạn để mở rộng quy mô</w:t>
      </w:r>
    </w:p>
    <w:p>
      <w:pPr>
        <w:spacing w:after="80"/>
        <w:ind w:left="1080"/>
      </w:pPr>
      <w:r>
        <w:t xml:space="preserve">2. </w:t>
      </w:r>
      <w:r>
        <w:rPr>
          <w:b w:val="0"/>
          <w:i w:val="0"/>
        </w:rPr>
        <w:t>Tài sản hóa: Phương pháp tái sử dụng giải pháp của bạn</w:t>
      </w:r>
    </w:p>
    <w:p>
      <w:pPr>
        <w:spacing w:after="80"/>
        <w:ind w:left="720"/>
      </w:pPr>
      <w:r>
        <w:t xml:space="preserve">4. </w:t>
      </w:r>
      <w:r>
        <w:rPr>
          <w:b w:val="0"/>
          <w:i w:val="0"/>
        </w:rPr>
        <w:t>CHƯƠNG 32: Đảm bảo tác động bằng cách theo dõi những gì quan trọng</w:t>
      </w:r>
    </w:p>
    <w:p>
      <w:pPr>
        <w:spacing w:after="80"/>
        <w:ind w:left="1080"/>
      </w:pPr>
      <w:r>
        <w:t xml:space="preserve">1. </w:t>
      </w:r>
      <w:r>
        <w:rPr>
          <w:b w:val="0"/>
          <w:i w:val="0"/>
        </w:rPr>
        <w:t>Đảm bảo nắm bắt giá trị với các KPI hiệu suất</w:t>
      </w:r>
    </w:p>
    <w:p>
      <w:pPr>
        <w:spacing w:after="80"/>
        <w:ind w:left="1080"/>
      </w:pPr>
      <w:r>
        <w:t xml:space="preserve">2. </w:t>
      </w:r>
      <w:r>
        <w:rPr>
          <w:b w:val="0"/>
          <w:i w:val="0"/>
        </w:rPr>
        <w:t>Theo dõi tiến độ</w:t>
      </w:r>
    </w:p>
    <w:p>
      <w:pPr>
        <w:spacing w:after="80"/>
        <w:ind w:left="1080"/>
      </w:pPr>
      <w:r>
        <w:t xml:space="preserve">3. </w:t>
      </w:r>
      <w:r>
        <w:rPr>
          <w:b w:val="0"/>
          <w:i w:val="0"/>
        </w:rPr>
        <w:t>Quản trị quá trình chuyển đổi</w:t>
      </w:r>
    </w:p>
    <w:p>
      <w:pPr>
        <w:spacing w:after="80"/>
        <w:ind w:left="1080"/>
      </w:pPr>
      <w:r>
        <w:t xml:space="preserve">4. </w:t>
      </w:r>
      <w:r>
        <w:rPr>
          <w:b w:val="0"/>
          <w:i w:val="0"/>
        </w:rPr>
        <w:t>Ghi chú</w:t>
      </w:r>
    </w:p>
    <w:p>
      <w:pPr>
        <w:spacing w:after="80"/>
        <w:ind w:left="720"/>
      </w:pPr>
      <w:r>
        <w:t xml:space="preserve">5. </w:t>
      </w:r>
      <w:r>
        <w:rPr>
          <w:b w:val="0"/>
          <w:i w:val="0"/>
        </w:rPr>
        <w:t>CHƯƠNG 33: Lập kế hoạch cho các điều chỉnh giữa dòng</w:t>
      </w:r>
    </w:p>
    <w:p>
      <w:pPr>
        <w:spacing w:after="80"/>
        <w:ind w:left="1080"/>
      </w:pPr>
      <w:r>
        <w:t xml:space="preserve">1. </w:t>
      </w:r>
      <w:r>
        <w:rPr>
          <w:b w:val="0"/>
          <w:i w:val="0"/>
        </w:rPr>
        <w:t>Thách thức về lộ trình và giá trị</w:t>
      </w:r>
    </w:p>
    <w:p>
      <w:pPr>
        <w:spacing w:after="80"/>
        <w:ind w:left="1080"/>
      </w:pPr>
      <w:r>
        <w:t xml:space="preserve">2. </w:t>
      </w:r>
      <w:r>
        <w:rPr>
          <w:b w:val="0"/>
          <w:i w:val="0"/>
        </w:rPr>
        <w:t>Thách thức về nhân tài</w:t>
      </w:r>
    </w:p>
    <w:p>
      <w:pPr>
        <w:spacing w:after="80"/>
        <w:ind w:left="1080"/>
      </w:pPr>
      <w:r>
        <w:t xml:space="preserve">3. </w:t>
      </w:r>
      <w:r>
        <w:rPr>
          <w:b w:val="0"/>
          <w:i w:val="0"/>
        </w:rPr>
        <w:t>Thách thức về mô hình vận hành</w:t>
      </w:r>
    </w:p>
    <w:p>
      <w:pPr>
        <w:spacing w:after="80"/>
        <w:ind w:left="1080"/>
      </w:pPr>
      <w:r>
        <w:t xml:space="preserve">4. </w:t>
      </w:r>
      <w:r>
        <w:rPr>
          <w:b w:val="0"/>
          <w:i w:val="0"/>
        </w:rPr>
        <w:t>Thách thức về dữ liệu</w:t>
      </w:r>
    </w:p>
    <w:p>
      <w:pPr>
        <w:spacing w:after="80"/>
        <w:ind w:left="1080"/>
      </w:pPr>
      <w:r>
        <w:t xml:space="preserve">5. </w:t>
      </w:r>
      <w:r>
        <w:rPr>
          <w:b w:val="0"/>
          <w:i w:val="0"/>
        </w:rPr>
        <w:t>Thách thức về công nghệ</w:t>
      </w:r>
    </w:p>
    <w:p>
      <w:pPr>
        <w:spacing w:after="80"/>
        <w:ind w:left="1080"/>
      </w:pPr>
      <w:r>
        <w:t xml:space="preserve">6. </w:t>
      </w:r>
      <w:r>
        <w:rPr>
          <w:b w:val="0"/>
          <w:i w:val="0"/>
        </w:rPr>
        <w:t>Thách thức về quản lý thay đổi</w:t>
      </w:r>
    </w:p>
    <w:p>
      <w:pPr>
        <w:spacing w:after="80"/>
        <w:ind w:left="720"/>
      </w:pPr>
      <w:r>
        <w:t xml:space="preserve">6. </w:t>
      </w:r>
      <w:r>
        <w:rPr>
          <w:b w:val="0"/>
          <w:i w:val="0"/>
        </w:rPr>
        <w:t>CHƯƠNG 34: Rủi ro, niềm tin và quyền triển khai AI</w:t>
      </w:r>
    </w:p>
    <w:p>
      <w:pPr>
        <w:spacing w:after="80"/>
        <w:ind w:left="1080"/>
      </w:pPr>
      <w:r>
        <w:t xml:space="preserve">1. </w:t>
      </w:r>
      <w:r>
        <w:rPr>
          <w:b w:val="0"/>
          <w:i w:val="0"/>
        </w:rPr>
        <w:t>Phân loại rủi ro</w:t>
      </w:r>
    </w:p>
    <w:p>
      <w:pPr>
        <w:spacing w:after="80"/>
        <w:ind w:left="1080"/>
      </w:pPr>
      <w:r>
        <w:t xml:space="preserve">2. </w:t>
      </w:r>
      <w:r>
        <w:rPr>
          <w:b w:val="0"/>
          <w:i w:val="0"/>
        </w:rPr>
        <w:t>Xem xét các chính sách</w:t>
      </w:r>
    </w:p>
    <w:p>
      <w:pPr>
        <w:spacing w:after="80"/>
        <w:ind w:left="1080"/>
      </w:pPr>
      <w:r>
        <w:t xml:space="preserve">3. </w:t>
      </w:r>
      <w:r>
        <w:rPr>
          <w:b w:val="0"/>
          <w:i w:val="0"/>
        </w:rPr>
        <w:t>Cụ thể hóa các chính sách rủi ro của bạn</w:t>
      </w:r>
    </w:p>
    <w:p>
      <w:pPr>
        <w:spacing w:after="80"/>
        <w:ind w:left="1080"/>
      </w:pPr>
      <w:r>
        <w:t xml:space="preserve">4. </w:t>
      </w:r>
      <w:r>
        <w:rPr>
          <w:b w:val="0"/>
          <w:i w:val="0"/>
        </w:rPr>
        <w:t>Nâng cao nhận thức và khả năng nhận diện mô hình</w:t>
      </w:r>
    </w:p>
    <w:p>
      <w:pPr>
        <w:spacing w:after="80"/>
        <w:ind w:left="1080"/>
      </w:pPr>
      <w:r>
        <w:t xml:space="preserve">5. </w:t>
      </w:r>
      <w:r>
        <w:rPr>
          <w:b w:val="0"/>
          <w:i w:val="0"/>
        </w:rPr>
        <w:t>Ghi chú</w:t>
      </w:r>
    </w:p>
    <w:p>
      <w:pPr>
        <w:spacing w:after="80"/>
        <w:ind w:left="720"/>
      </w:pPr>
      <w:r>
        <w:t xml:space="preserve">7. </w:t>
      </w:r>
      <w:r>
        <w:rPr>
          <w:b w:val="0"/>
          <w:i w:val="0"/>
        </w:rPr>
        <w:t>CHƯƠNG 35: Vậy còn văn hóa thì sao?</w:t>
      </w:r>
    </w:p>
    <w:p>
      <w:pPr>
        <w:spacing w:after="80"/>
        <w:ind w:left="1080"/>
      </w:pPr>
      <w:r>
        <w:t xml:space="preserve">1. </w:t>
      </w:r>
      <w:r>
        <w:rPr>
          <w:b w:val="0"/>
          <w:i w:val="0"/>
        </w:rPr>
        <w:t>Sự chuyển dịch văn hóa này trông như thế nào</w:t>
      </w:r>
    </w:p>
    <w:p>
      <w:pPr>
        <w:spacing w:after="80"/>
        <w:ind w:left="1080"/>
      </w:pPr>
      <w:r>
        <w:t xml:space="preserve">2. </w:t>
      </w:r>
      <w:r>
        <w:rPr>
          <w:b w:val="0"/>
          <w:i w:val="0"/>
        </w:rPr>
        <w:t>Ghi chú</w:t>
      </w:r>
    </w:p>
    <w:p>
      <w:pPr>
        <w:spacing w:after="80"/>
        <w:ind w:left="360"/>
      </w:pPr>
      <w:r>
        <w:t xml:space="preserve">14. </w:t>
      </w:r>
      <w:r>
        <w:rPr>
          <w:b w:val="0"/>
          <w:i w:val="0"/>
        </w:rPr>
        <w:t>PHẦN BẢY: Những câu chuyện về hành trình chuyển đổi</w:t>
      </w:r>
    </w:p>
    <w:p>
      <w:pPr>
        <w:spacing w:after="80"/>
        <w:ind w:left="720"/>
      </w:pPr>
      <w:r>
        <w:t xml:space="preserve">1. </w:t>
      </w:r>
      <w:r>
        <w:rPr>
          <w:b w:val="0"/>
          <w:i w:val="0"/>
        </w:rPr>
        <w:t>CHƯƠNG 36: LATAM Airlines: Tạo ra một ‘hãng hàng không trong túi bạn’</w:t>
      </w:r>
    </w:p>
    <w:p>
      <w:pPr>
        <w:spacing w:after="80"/>
        <w:ind w:left="1080"/>
      </w:pPr>
      <w:r>
        <w:t xml:space="preserve">1. </w:t>
      </w:r>
      <w:r>
        <w:rPr>
          <w:b w:val="0"/>
          <w:i w:val="0"/>
        </w:rPr>
        <w:t>Đặt tham vọng cao và học hỏi từ quá khứ</w:t>
      </w:r>
    </w:p>
    <w:p>
      <w:pPr>
        <w:spacing w:after="80"/>
        <w:ind w:left="1080"/>
      </w:pPr>
      <w:r>
        <w:t xml:space="preserve">2. </w:t>
      </w:r>
      <w:r>
        <w:rPr>
          <w:b w:val="0"/>
          <w:i w:val="0"/>
        </w:rPr>
        <w:t>Tạo ra một tổ chức kỹ thuật số riêng để tăng tốc thay đổi</w:t>
      </w:r>
    </w:p>
    <w:p>
      <w:pPr>
        <w:spacing w:after="80"/>
        <w:ind w:left="1080"/>
      </w:pPr>
      <w:r>
        <w:t xml:space="preserve">3. </w:t>
      </w:r>
      <w:r>
        <w:rPr>
          <w:b w:val="0"/>
          <w:i w:val="0"/>
        </w:rPr>
        <w:t>Đầu tư vào nền tảng công nghệ tiên tiến để mở rộng quy mô và tái sử dụng</w:t>
      </w:r>
    </w:p>
    <w:p>
      <w:pPr>
        <w:spacing w:after="80"/>
        <w:ind w:left="1080"/>
      </w:pPr>
      <w:r>
        <w:t xml:space="preserve">4. </w:t>
      </w:r>
      <w:r>
        <w:rPr>
          <w:b w:val="0"/>
          <w:i w:val="0"/>
        </w:rPr>
        <w:t>Mở rộng chương trình thí điểm thành công sang các thị trường khác</w:t>
      </w:r>
    </w:p>
    <w:p>
      <w:pPr>
        <w:spacing w:after="80"/>
        <w:ind w:left="1080"/>
      </w:pPr>
      <w:r>
        <w:t xml:space="preserve">5. </w:t>
      </w:r>
      <w:r>
        <w:rPr>
          <w:b w:val="0"/>
          <w:i w:val="0"/>
        </w:rPr>
        <w:t>Tìm thêm sức mạnh phân tích cho giai đoạn tiếp theo của quá trình chuyển đổi</w:t>
      </w:r>
    </w:p>
    <w:p>
      <w:pPr>
        <w:spacing w:after="80"/>
        <w:ind w:left="1080"/>
      </w:pPr>
      <w:r>
        <w:t xml:space="preserve">6. </w:t>
      </w:r>
      <w:r>
        <w:rPr>
          <w:b w:val="0"/>
          <w:i w:val="0"/>
        </w:rPr>
        <w:t>Suy nghĩ lại về công việc xoay quanh con người và các tác nhân AI</w:t>
      </w:r>
    </w:p>
    <w:p>
      <w:pPr>
        <w:spacing w:after="80"/>
        <w:ind w:left="720"/>
      </w:pPr>
      <w:r>
        <w:t xml:space="preserve">2. </w:t>
      </w:r>
      <w:r>
        <w:rPr>
          <w:b w:val="0"/>
          <w:i w:val="0"/>
        </w:rPr>
        <w:t xml:space="preserve">CHƯƠNG 37: Toyota: Từ những cải tiến </w:t>
      </w:r>
      <w:r>
        <w:rPr>
          <w:b w:val="0"/>
          <w:i/>
        </w:rPr>
        <w:t>kaizen</w:t>
      </w:r>
      <w:r>
        <w:rPr>
          <w:b w:val="0"/>
          <w:i w:val="0"/>
        </w:rPr>
        <w:t xml:space="preserve"> đến những bước nhảy vọt về giá trị</w:t>
      </w:r>
    </w:p>
    <w:p>
      <w:pPr>
        <w:spacing w:after="80"/>
        <w:ind w:left="1080"/>
      </w:pPr>
      <w:r>
        <w:t xml:space="preserve">1. </w:t>
      </w:r>
      <w:r>
        <w:rPr>
          <w:b w:val="0"/>
          <w:i w:val="0"/>
        </w:rPr>
        <w:t>Từ cải tiến liên tục đến tham vọng táo bạo</w:t>
      </w:r>
    </w:p>
    <w:p>
      <w:pPr>
        <w:spacing w:after="80"/>
        <w:ind w:left="1080"/>
      </w:pPr>
      <w:r>
        <w:t xml:space="preserve">2. </w:t>
      </w:r>
      <w:r>
        <w:rPr>
          <w:b w:val="0"/>
          <w:i w:val="0"/>
        </w:rPr>
        <w:t>Đặt doanh nghiệp làm trung tâm chỉ đạo và khách hàng làm trọng tâm</w:t>
      </w:r>
    </w:p>
    <w:p>
      <w:pPr>
        <w:spacing w:after="80"/>
        <w:ind w:left="1080"/>
      </w:pPr>
      <w:r>
        <w:t xml:space="preserve">3. </w:t>
      </w:r>
      <w:r>
        <w:rPr>
          <w:b w:val="0"/>
          <w:i w:val="0"/>
        </w:rPr>
        <w:t>Xây dựng một nền tảng gồm các công nghệ liên kết và mở rộng</w:t>
      </w:r>
    </w:p>
    <w:p>
      <w:pPr>
        <w:spacing w:after="80"/>
        <w:ind w:left="1080"/>
      </w:pPr>
      <w:r>
        <w:t xml:space="preserve">4. </w:t>
      </w:r>
      <w:r>
        <w:rPr>
          <w:b w:val="0"/>
          <w:i w:val="0"/>
        </w:rPr>
        <w:t>Làm cho dữ liệu vận hành để các mô hình có thể hoạt động</w:t>
      </w:r>
    </w:p>
    <w:p>
      <w:pPr>
        <w:spacing w:after="80"/>
        <w:ind w:left="1080"/>
      </w:pPr>
      <w:r>
        <w:t xml:space="preserve">5. </w:t>
      </w:r>
      <w:r>
        <w:rPr>
          <w:b w:val="0"/>
          <w:i w:val="0"/>
        </w:rPr>
        <w:t>Một lớp điều phối (orchestration layer) để vận hành tất cả</w:t>
      </w:r>
    </w:p>
    <w:p>
      <w:pPr>
        <w:spacing w:after="80"/>
        <w:ind w:left="1080"/>
      </w:pPr>
      <w:r>
        <w:t xml:space="preserve">6. </w:t>
      </w:r>
      <w:r>
        <w:rPr>
          <w:b w:val="0"/>
          <w:i w:val="0"/>
        </w:rPr>
        <w:t>Đưa các chuyên gia vào quy trình để xây dựng niềm tin và đảm bảo việc áp dụng</w:t>
      </w:r>
    </w:p>
    <w:p>
      <w:pPr>
        <w:spacing w:after="80"/>
        <w:ind w:left="1080"/>
      </w:pPr>
      <w:r>
        <w:t xml:space="preserve">7. </w:t>
      </w:r>
      <w:r>
        <w:rPr>
          <w:b w:val="0"/>
          <w:i w:val="0"/>
        </w:rPr>
        <w:t>Giá trị của việc nâng cao kỹ năng</w:t>
      </w:r>
    </w:p>
    <w:p>
      <w:pPr>
        <w:spacing w:after="80"/>
        <w:ind w:left="720"/>
      </w:pPr>
      <w:r>
        <w:t xml:space="preserve">3. </w:t>
      </w:r>
      <w:r>
        <w:rPr>
          <w:b w:val="0"/>
          <w:i w:val="0"/>
        </w:rPr>
        <w:t>CHƯƠNG 38: Freeport-McMoRan: Khai thác công nghệ &amp; AI cho đổi mới trong ngành khai khoáng</w:t>
      </w:r>
    </w:p>
    <w:p>
      <w:pPr>
        <w:spacing w:after="80"/>
        <w:ind w:left="1080"/>
      </w:pPr>
      <w:r>
        <w:t xml:space="preserve">1. </w:t>
      </w:r>
      <w:r>
        <w:rPr>
          <w:b w:val="0"/>
          <w:i w:val="0"/>
        </w:rPr>
        <w:t>Xác định giá trị để tạo dựng niềm tin</w:t>
      </w:r>
    </w:p>
    <w:p>
      <w:pPr>
        <w:spacing w:after="80"/>
        <w:ind w:left="1080"/>
      </w:pPr>
      <w:r>
        <w:t xml:space="preserve">2. </w:t>
      </w:r>
      <w:r>
        <w:rPr>
          <w:b w:val="0"/>
          <w:i w:val="0"/>
        </w:rPr>
        <w:t>Xây dựng đội ngũ 'Leach to the Last Drop'</w:t>
      </w:r>
    </w:p>
    <w:p>
      <w:pPr>
        <w:spacing w:after="80"/>
        <w:ind w:left="1080"/>
      </w:pPr>
      <w:r>
        <w:t xml:space="preserve">3. </w:t>
      </w:r>
      <w:r>
        <w:rPr>
          <w:b w:val="0"/>
          <w:i w:val="0"/>
        </w:rPr>
        <w:t>Khai thác dữ liệu để tiếp sức cho AI</w:t>
      </w:r>
    </w:p>
    <w:p>
      <w:pPr>
        <w:spacing w:after="80"/>
        <w:ind w:left="1080"/>
      </w:pPr>
      <w:r>
        <w:t xml:space="preserve">4. </w:t>
      </w:r>
      <w:r>
        <w:rPr>
          <w:b w:val="0"/>
          <w:i w:val="0"/>
        </w:rPr>
        <w:t>Bản sao số (digital twin) tại trung tâm hoạt động của bãi chứa quặng</w:t>
      </w:r>
    </w:p>
    <w:p>
      <w:pPr>
        <w:spacing w:after="80"/>
        <w:ind w:left="1080"/>
      </w:pPr>
      <w:r>
        <w:t xml:space="preserve">5. </w:t>
      </w:r>
      <w:r>
        <w:rPr>
          <w:b w:val="0"/>
          <w:i w:val="0"/>
        </w:rPr>
        <w:t>Một nền tảng cho phân tích và cộng tác</w:t>
      </w:r>
    </w:p>
    <w:p>
      <w:pPr>
        <w:spacing w:after="80"/>
        <w:ind w:left="1080"/>
      </w:pPr>
      <w:r>
        <w:t xml:space="preserve">6. </w:t>
      </w:r>
      <w:r>
        <w:rPr>
          <w:b w:val="0"/>
          <w:i w:val="0"/>
        </w:rPr>
        <w:t>Xây dựng văn hóa khởi nghiệp</w:t>
      </w:r>
    </w:p>
    <w:p>
      <w:pPr>
        <w:spacing w:after="80"/>
        <w:ind w:left="1080"/>
      </w:pPr>
      <w:r>
        <w:t xml:space="preserve">7. </w:t>
      </w:r>
      <w:r>
        <w:rPr>
          <w:b w:val="0"/>
          <w:i w:val="0"/>
        </w:rPr>
        <w:t>Ghi chú</w:t>
      </w:r>
    </w:p>
    <w:p>
      <w:pPr>
        <w:spacing w:after="80"/>
        <w:ind w:left="720"/>
      </w:pPr>
      <w:r>
        <w:t xml:space="preserve">4. </w:t>
      </w:r>
      <w:r>
        <w:rPr>
          <w:b w:val="0"/>
          <w:i w:val="0"/>
        </w:rPr>
        <w:t>CHƯƠNG 39: DBS Bank: Một ngân hàng đa quốc gia dốc toàn lực vào AI</w:t>
      </w:r>
    </w:p>
    <w:p>
      <w:pPr>
        <w:spacing w:after="80"/>
        <w:ind w:left="1080"/>
      </w:pPr>
      <w:r>
        <w:t xml:space="preserve">1. </w:t>
      </w:r>
      <w:r>
        <w:rPr>
          <w:b w:val="0"/>
          <w:i w:val="0"/>
        </w:rPr>
        <w:t>Cân bằng giữa việc xây dựng năng lực dài hạn với việc tạo ra giá trị trước mắt</w:t>
      </w:r>
    </w:p>
    <w:p>
      <w:pPr>
        <w:spacing w:after="80"/>
        <w:ind w:left="1080"/>
      </w:pPr>
      <w:r>
        <w:t xml:space="preserve">2. </w:t>
      </w:r>
      <w:r>
        <w:rPr>
          <w:b w:val="0"/>
          <w:i w:val="0"/>
        </w:rPr>
        <w:t>Làm chủ dữ liệu trong thời đại AI</w:t>
      </w:r>
    </w:p>
    <w:p>
      <w:pPr>
        <w:spacing w:after="80"/>
        <w:ind w:left="1080"/>
      </w:pPr>
      <w:r>
        <w:t xml:space="preserve">3. </w:t>
      </w:r>
      <w:r>
        <w:rPr>
          <w:b w:val="0"/>
          <w:i w:val="0"/>
        </w:rPr>
        <w:t>Nền tảng và sản phẩm: Chuẩn bị dữ liệu sẵn sàng để sử dụng</w:t>
      </w:r>
    </w:p>
    <w:p>
      <w:pPr>
        <w:spacing w:after="80"/>
        <w:ind w:left="1080"/>
      </w:pPr>
      <w:r>
        <w:t xml:space="preserve">4. </w:t>
      </w:r>
      <w:r>
        <w:rPr>
          <w:b w:val="0"/>
          <w:i w:val="0"/>
        </w:rPr>
        <w:t>Rút ngắn thời gian tạo ra giá trị nhờ nền tảng AI</w:t>
      </w:r>
    </w:p>
    <w:p>
      <w:pPr>
        <w:spacing w:after="80"/>
        <w:ind w:left="1080"/>
      </w:pPr>
      <w:r>
        <w:t xml:space="preserve">5. </w:t>
      </w:r>
      <w:r>
        <w:rPr>
          <w:b w:val="0"/>
          <w:i w:val="0"/>
        </w:rPr>
        <w:t>Cách tiếp cận toàn diện để xây dựng kỹ năng AI</w:t>
      </w:r>
    </w:p>
    <w:p>
      <w:pPr>
        <w:spacing w:after="80"/>
        <w:ind w:left="1080"/>
      </w:pPr>
      <w:r>
        <w:t xml:space="preserve">6. </w:t>
      </w:r>
      <w:r>
        <w:rPr>
          <w:b w:val="0"/>
          <w:i w:val="0"/>
        </w:rPr>
        <w:t>Đưa AI vào hành trình của khách hàng và người dùng</w:t>
      </w:r>
    </w:p>
    <w:p>
      <w:pPr>
        <w:spacing w:after="80"/>
        <w:ind w:left="1080"/>
      </w:pPr>
      <w:r>
        <w:t xml:space="preserve">7. </w:t>
      </w:r>
      <w:r>
        <w:rPr>
          <w:b w:val="0"/>
          <w:i w:val="0"/>
        </w:rPr>
        <w:t>Bước vào GenAI nhờ nền tảng vững chắc</w:t>
      </w:r>
    </w:p>
    <w:p>
      <w:pPr>
        <w:spacing w:after="80"/>
        <w:ind w:left="1080"/>
      </w:pPr>
      <w:r>
        <w:t xml:space="preserve">8. </w:t>
      </w:r>
      <w:r>
        <w:rPr>
          <w:b w:val="0"/>
          <w:i w:val="0"/>
        </w:rPr>
        <w:t>Ghi chú</w:t>
      </w:r>
    </w:p>
    <w:p>
      <w:pPr>
        <w:spacing w:after="80"/>
        <w:ind w:left="360"/>
      </w:pPr>
      <w:r>
        <w:t xml:space="preserve">15. </w:t>
      </w:r>
      <w:r>
        <w:rPr>
          <w:b w:val="0"/>
          <w:i w:val="0"/>
        </w:rPr>
        <w:t>Lời cảm ơn</w:t>
      </w:r>
    </w:p>
    <w:p>
      <w:pPr>
        <w:spacing w:after="80"/>
        <w:ind w:left="720"/>
      </w:pPr>
      <w:r>
        <w:t xml:space="preserve">1. </w:t>
      </w:r>
      <w:r>
        <w:rPr>
          <w:b w:val="0"/>
          <w:i w:val="0"/>
        </w:rPr>
        <w:t>Từ chúng tôi</w:t>
      </w:r>
    </w:p>
    <w:p>
      <w:pPr>
        <w:spacing w:after="80"/>
        <w:ind w:left="720"/>
      </w:pPr>
      <w:r>
        <w:t xml:space="preserve">2. </w:t>
      </w:r>
      <w:r>
        <w:rPr>
          <w:b w:val="0"/>
          <w:i w:val="0"/>
        </w:rPr>
        <w:t>Từ Eric</w:t>
      </w:r>
    </w:p>
    <w:p>
      <w:pPr>
        <w:spacing w:after="80"/>
        <w:ind w:left="720"/>
      </w:pPr>
      <w:r>
        <w:t xml:space="preserve">3. </w:t>
      </w:r>
      <w:r>
        <w:rPr>
          <w:b w:val="0"/>
          <w:i w:val="0"/>
        </w:rPr>
        <w:t>Từ Kate</w:t>
      </w:r>
    </w:p>
    <w:p>
      <w:pPr>
        <w:spacing w:after="80"/>
        <w:ind w:left="720"/>
      </w:pPr>
      <w:r>
        <w:t xml:space="preserve">4. </w:t>
      </w:r>
      <w:r>
        <w:rPr>
          <w:b w:val="0"/>
          <w:i w:val="0"/>
        </w:rPr>
        <w:t>Từ Rob</w:t>
      </w:r>
    </w:p>
    <w:p>
      <w:pPr>
        <w:spacing w:after="80"/>
        <w:ind w:left="720"/>
      </w:pPr>
      <w:r>
        <w:t xml:space="preserve">5. </w:t>
      </w:r>
      <w:r>
        <w:rPr>
          <w:b w:val="0"/>
          <w:i w:val="0"/>
        </w:rPr>
        <w:t>Từ Alex</w:t>
      </w:r>
    </w:p>
    <w:p>
      <w:pPr>
        <w:spacing w:after="80"/>
        <w:ind w:left="720"/>
      </w:pPr>
      <w:r>
        <w:t xml:space="preserve">6. </w:t>
      </w:r>
      <w:r>
        <w:rPr>
          <w:b w:val="0"/>
          <w:i w:val="0"/>
        </w:rPr>
        <w:t>Từ Alexander</w:t>
      </w:r>
    </w:p>
    <w:p>
      <w:pPr>
        <w:spacing w:after="80"/>
        <w:ind w:left="720"/>
      </w:pPr>
      <w:r>
        <w:t xml:space="preserve">7. </w:t>
      </w:r>
      <w:r>
        <w:rPr>
          <w:b w:val="0"/>
          <w:i w:val="0"/>
        </w:rPr>
        <w:t>Những nhà lãnh đạo đóng góp</w:t>
      </w:r>
    </w:p>
    <w:p>
      <w:pPr>
        <w:spacing w:after="80"/>
        <w:ind w:left="720"/>
      </w:pPr>
      <w:r>
        <w:t xml:space="preserve">8. </w:t>
      </w:r>
      <w:r>
        <w:rPr>
          <w:b w:val="0"/>
          <w:i w:val="0"/>
        </w:rPr>
        <w:t>Ngoài ra, chúng tôi cũng xin cảm ơn những người đóng góp sau đây cho nỗ lực này:</w:t>
      </w:r>
    </w:p>
    <w:p>
      <w:pPr>
        <w:spacing w:after="80"/>
        <w:ind w:left="360"/>
      </w:pPr>
      <w:r>
        <w:t xml:space="preserve">16. </w:t>
      </w:r>
      <w:r>
        <w:rPr>
          <w:b w:val="0"/>
          <w:i w:val="0"/>
        </w:rPr>
        <w:t>Mục lục</w:t>
      </w:r>
    </w:p>
    <w:p>
      <w:pPr>
        <w:spacing w:after="80"/>
        <w:ind w:left="360"/>
      </w:pPr>
      <w:r>
        <w:t xml:space="preserve">17. </w:t>
      </w:r>
      <w:r>
        <w:rPr>
          <w:b w:val="0"/>
          <w:i w:val="0"/>
        </w:rPr>
        <w:t>Thỏa thuận Cấp phép Người dùng Cuối</w:t>
      </w:r>
    </w:p>
    <w:p>
      <w:pPr>
        <w:pStyle w:val="Heading2"/>
      </w:pPr>
      <w:r>
        <w:rPr>
          <w:rFonts w:ascii="Calibri" w:hAnsi="Calibri"/>
          <w:b/>
          <w:i w:val="0"/>
          <w:sz w:val="32"/>
        </w:rPr>
        <w:t>Danh sách Hình minh họa</w:t>
      </w:r>
    </w:p>
    <w:p>
      <w:pPr>
        <w:spacing w:after="80"/>
        <w:ind w:left="360"/>
      </w:pPr>
      <w:r>
        <w:t xml:space="preserve">1. </w:t>
      </w:r>
      <w:r>
        <w:rPr>
          <w:b w:val="0"/>
          <w:i w:val="0"/>
        </w:rPr>
        <w:t>Giới thiệu</w:t>
      </w:r>
    </w:p>
    <w:p>
      <w:pPr>
        <w:spacing w:after="80"/>
        <w:ind w:left="720"/>
      </w:pPr>
      <w:r>
        <w:t xml:space="preserve">1. </w:t>
      </w:r>
      <w:r>
        <w:rPr>
          <w:b w:val="0"/>
          <w:i/>
        </w:rPr>
        <w:t>HÌNH I.1</w:t>
      </w:r>
    </w:p>
    <w:p>
      <w:pPr>
        <w:spacing w:after="80"/>
        <w:ind w:left="720"/>
      </w:pPr>
      <w:r>
        <w:t xml:space="preserve">2. </w:t>
      </w:r>
      <w:r>
        <w:rPr>
          <w:b w:val="0"/>
          <w:i/>
        </w:rPr>
        <w:t>HÌNH I.2</w:t>
      </w:r>
    </w:p>
    <w:p>
      <w:pPr>
        <w:spacing w:after="80"/>
        <w:ind w:left="360"/>
      </w:pPr>
      <w:r>
        <w:t xml:space="preserve">2. </w:t>
      </w:r>
      <w:r>
        <w:rPr>
          <w:b w:val="0"/>
          <w:i w:val="0"/>
        </w:rPr>
        <w:t>Chương 1</w:t>
      </w:r>
    </w:p>
    <w:p>
      <w:pPr>
        <w:spacing w:after="80"/>
        <w:ind w:left="720"/>
      </w:pPr>
      <w:r>
        <w:t xml:space="preserve">1. </w:t>
      </w:r>
      <w:r>
        <w:rPr>
          <w:b w:val="0"/>
          <w:i/>
        </w:rPr>
        <w:t>HÌNH 1.1</w:t>
      </w:r>
    </w:p>
    <w:p>
      <w:pPr>
        <w:spacing w:after="80"/>
        <w:ind w:left="720"/>
      </w:pPr>
      <w:r>
        <w:t xml:space="preserve">2. </w:t>
      </w:r>
      <w:r>
        <w:rPr>
          <w:b w:val="0"/>
          <w:i/>
        </w:rPr>
        <w:t>HÌNH 1.2</w:t>
      </w:r>
    </w:p>
    <w:p>
      <w:pPr>
        <w:spacing w:after="80"/>
        <w:ind w:left="720"/>
      </w:pPr>
      <w:r>
        <w:t xml:space="preserve">3. </w:t>
      </w:r>
      <w:r>
        <w:rPr>
          <w:b w:val="0"/>
          <w:i/>
        </w:rPr>
        <w:t>HÌNH 1.3</w:t>
      </w:r>
    </w:p>
    <w:p>
      <w:pPr>
        <w:spacing w:after="80"/>
        <w:ind w:left="360"/>
      </w:pPr>
      <w:r>
        <w:t xml:space="preserve">3. </w:t>
      </w:r>
      <w:r>
        <w:rPr>
          <w:b w:val="0"/>
          <w:i w:val="0"/>
        </w:rPr>
        <w:t>Chương 2</w:t>
      </w:r>
    </w:p>
    <w:p>
      <w:pPr>
        <w:spacing w:after="80"/>
        <w:ind w:left="720"/>
      </w:pPr>
      <w:r>
        <w:t xml:space="preserve">1. </w:t>
      </w:r>
      <w:r>
        <w:rPr>
          <w:b w:val="0"/>
          <w:i/>
        </w:rPr>
        <w:t>HÌNH 2.1</w:t>
      </w:r>
    </w:p>
    <w:p>
      <w:pPr>
        <w:spacing w:after="80"/>
        <w:ind w:left="720"/>
      </w:pPr>
      <w:r>
        <w:t xml:space="preserve">2. </w:t>
      </w:r>
      <w:r>
        <w:rPr>
          <w:b w:val="0"/>
          <w:i/>
        </w:rPr>
        <w:t>HÌNH 2.2</w:t>
      </w:r>
    </w:p>
    <w:p>
      <w:pPr>
        <w:spacing w:after="80"/>
        <w:ind w:left="360"/>
      </w:pPr>
      <w:r>
        <w:t xml:space="preserve">4. </w:t>
      </w:r>
      <w:r>
        <w:rPr>
          <w:b w:val="0"/>
          <w:i w:val="0"/>
        </w:rPr>
        <w:t>Chương 3</w:t>
      </w:r>
    </w:p>
    <w:p>
      <w:pPr>
        <w:spacing w:after="80"/>
        <w:ind w:left="720"/>
      </w:pPr>
      <w:r>
        <w:t xml:space="preserve">1. </w:t>
      </w:r>
      <w:r>
        <w:rPr>
          <w:b w:val="0"/>
          <w:i/>
        </w:rPr>
        <w:t>HÌNH 3.1</w:t>
      </w:r>
    </w:p>
    <w:p>
      <w:pPr>
        <w:spacing w:after="80"/>
        <w:ind w:left="720"/>
      </w:pPr>
      <w:r>
        <w:t xml:space="preserve">2. </w:t>
      </w:r>
      <w:r>
        <w:rPr>
          <w:b w:val="0"/>
          <w:i/>
        </w:rPr>
        <w:t>PHỤ LỤC 3.2</w:t>
      </w:r>
    </w:p>
    <w:p>
      <w:pPr>
        <w:spacing w:after="80"/>
        <w:ind w:left="720"/>
      </w:pPr>
      <w:r>
        <w:t xml:space="preserve">3. </w:t>
      </w:r>
      <w:r>
        <w:rPr>
          <w:b w:val="0"/>
          <w:i/>
        </w:rPr>
        <w:t>PHỤ LỤC 3.3</w:t>
      </w:r>
    </w:p>
    <w:p>
      <w:pPr>
        <w:spacing w:after="80"/>
        <w:ind w:left="720"/>
      </w:pPr>
      <w:r>
        <w:t xml:space="preserve">4. </w:t>
      </w:r>
      <w:r>
        <w:rPr>
          <w:b w:val="0"/>
          <w:i/>
        </w:rPr>
        <w:t>PHỤ LỤC 3.4</w:t>
      </w:r>
    </w:p>
    <w:p>
      <w:pPr>
        <w:spacing w:after="80"/>
        <w:ind w:left="720"/>
      </w:pPr>
      <w:r>
        <w:t xml:space="preserve">5. </w:t>
      </w:r>
      <w:r>
        <w:rPr>
          <w:b w:val="0"/>
          <w:i/>
        </w:rPr>
        <w:t>PHỤ LỤC 3.5</w:t>
      </w:r>
    </w:p>
    <w:p>
      <w:pPr>
        <w:spacing w:after="80"/>
        <w:ind w:left="360"/>
      </w:pPr>
      <w:r>
        <w:t xml:space="preserve">5. </w:t>
      </w:r>
      <w:r>
        <w:rPr>
          <w:b w:val="0"/>
          <w:i w:val="0"/>
        </w:rPr>
        <w:t>Chương 4</w:t>
      </w:r>
    </w:p>
    <w:p>
      <w:pPr>
        <w:spacing w:after="80"/>
        <w:ind w:left="720"/>
      </w:pPr>
      <w:r>
        <w:t xml:space="preserve">1. </w:t>
      </w:r>
      <w:r>
        <w:rPr>
          <w:b w:val="0"/>
          <w:i/>
        </w:rPr>
        <w:t>PHỤ LỤC 4.1</w:t>
      </w:r>
    </w:p>
    <w:p>
      <w:pPr>
        <w:spacing w:after="80"/>
        <w:ind w:left="720"/>
      </w:pPr>
      <w:r>
        <w:t xml:space="preserve">2. </w:t>
      </w:r>
      <w:r>
        <w:rPr>
          <w:b w:val="0"/>
          <w:i/>
        </w:rPr>
        <w:t>PHỤ LỤC 4.2</w:t>
      </w:r>
    </w:p>
    <w:p>
      <w:pPr>
        <w:spacing w:after="80"/>
        <w:ind w:left="720"/>
      </w:pPr>
      <w:r>
        <w:t xml:space="preserve">3. </w:t>
      </w:r>
      <w:r>
        <w:rPr>
          <w:b w:val="0"/>
          <w:i/>
        </w:rPr>
        <w:t>PHỤ LỤC 4.3</w:t>
      </w:r>
    </w:p>
    <w:p>
      <w:pPr>
        <w:spacing w:after="80"/>
        <w:ind w:left="720"/>
      </w:pPr>
      <w:r>
        <w:t xml:space="preserve">4. </w:t>
      </w:r>
      <w:r>
        <w:rPr>
          <w:b w:val="0"/>
          <w:i/>
        </w:rPr>
        <w:t>PHỤ LỤC 4.4</w:t>
      </w:r>
    </w:p>
    <w:p>
      <w:pPr>
        <w:spacing w:after="80"/>
        <w:ind w:left="720"/>
      </w:pPr>
      <w:r>
        <w:t xml:space="preserve">5. </w:t>
      </w:r>
      <w:r>
        <w:rPr>
          <w:b w:val="0"/>
          <w:i/>
        </w:rPr>
        <w:t>PHỤ LỤC 4.5</w:t>
      </w:r>
    </w:p>
    <w:p>
      <w:pPr>
        <w:spacing w:after="80"/>
        <w:ind w:left="360"/>
      </w:pPr>
      <w:r>
        <w:t xml:space="preserve">6. </w:t>
      </w:r>
      <w:r>
        <w:rPr>
          <w:b w:val="0"/>
          <w:i w:val="0"/>
        </w:rPr>
        <w:t>Chương 5</w:t>
      </w:r>
    </w:p>
    <w:p>
      <w:pPr>
        <w:spacing w:after="80"/>
        <w:ind w:left="720"/>
      </w:pPr>
      <w:r>
        <w:t xml:space="preserve">1. </w:t>
      </w:r>
      <w:r>
        <w:rPr>
          <w:b w:val="0"/>
          <w:i/>
        </w:rPr>
        <w:t>PHỤ LỤC 5.1</w:t>
      </w:r>
    </w:p>
    <w:p>
      <w:pPr>
        <w:spacing w:after="80"/>
        <w:ind w:left="720"/>
      </w:pPr>
      <w:r>
        <w:t xml:space="preserve">2. </w:t>
      </w:r>
      <w:r>
        <w:rPr>
          <w:b w:val="0"/>
          <w:i/>
        </w:rPr>
        <w:t>PHỤ LỤC 5.2</w:t>
      </w:r>
    </w:p>
    <w:p>
      <w:pPr>
        <w:spacing w:after="80"/>
        <w:ind w:left="720"/>
      </w:pPr>
      <w:r>
        <w:t xml:space="preserve">3. </w:t>
      </w:r>
      <w:r>
        <w:rPr>
          <w:b w:val="0"/>
          <w:i/>
        </w:rPr>
        <w:t>PHỤ LỤC 5.3</w:t>
      </w:r>
    </w:p>
    <w:p>
      <w:pPr>
        <w:spacing w:after="80"/>
        <w:ind w:left="360"/>
      </w:pPr>
      <w:r>
        <w:t xml:space="preserve">7. </w:t>
      </w:r>
      <w:r>
        <w:rPr>
          <w:b w:val="0"/>
          <w:i w:val="0"/>
        </w:rPr>
        <w:t>Chương 6</w:t>
      </w:r>
    </w:p>
    <w:p>
      <w:pPr>
        <w:spacing w:after="80"/>
        <w:ind w:left="720"/>
      </w:pPr>
      <w:r>
        <w:t xml:space="preserve">1. </w:t>
      </w:r>
      <w:r>
        <w:rPr>
          <w:b w:val="0"/>
          <w:i/>
        </w:rPr>
        <w:t>PHỤ LỤC 6.1</w:t>
      </w:r>
    </w:p>
    <w:p>
      <w:pPr>
        <w:spacing w:after="80"/>
        <w:ind w:left="720"/>
      </w:pPr>
      <w:r>
        <w:t xml:space="preserve">2. </w:t>
      </w:r>
      <w:r>
        <w:rPr>
          <w:b w:val="0"/>
          <w:i/>
        </w:rPr>
        <w:t>PHỤ LỤC 6.2</w:t>
      </w:r>
    </w:p>
    <w:p>
      <w:pPr>
        <w:spacing w:after="80"/>
        <w:ind w:left="720"/>
      </w:pPr>
      <w:r>
        <w:t xml:space="preserve">3. </w:t>
      </w:r>
      <w:r>
        <w:rPr>
          <w:b w:val="0"/>
          <w:i/>
        </w:rPr>
        <w:t>PHỤ LỤC 6.3</w:t>
      </w:r>
    </w:p>
    <w:p>
      <w:pPr>
        <w:spacing w:after="80"/>
        <w:ind w:left="360"/>
      </w:pPr>
      <w:r>
        <w:t xml:space="preserve">8. </w:t>
      </w:r>
      <w:r>
        <w:rPr>
          <w:b w:val="0"/>
          <w:i w:val="0"/>
        </w:rPr>
        <w:t>Chương 7</w:t>
      </w:r>
    </w:p>
    <w:p>
      <w:pPr>
        <w:spacing w:after="80"/>
        <w:ind w:left="720"/>
      </w:pPr>
      <w:r>
        <w:t xml:space="preserve">1. </w:t>
      </w:r>
      <w:r>
        <w:rPr>
          <w:b w:val="0"/>
          <w:i/>
        </w:rPr>
        <w:t>PHỤ LỤC 7.1</w:t>
      </w:r>
    </w:p>
    <w:p>
      <w:pPr>
        <w:spacing w:after="80"/>
        <w:ind w:left="360"/>
      </w:pPr>
      <w:r>
        <w:t xml:space="preserve">9. </w:t>
      </w:r>
      <w:r>
        <w:rPr>
          <w:b w:val="0"/>
          <w:i w:val="0"/>
        </w:rPr>
        <w:t>Chương 8</w:t>
      </w:r>
    </w:p>
    <w:p>
      <w:pPr>
        <w:spacing w:after="80"/>
        <w:ind w:left="720"/>
      </w:pPr>
      <w:r>
        <w:t xml:space="preserve">1. </w:t>
      </w:r>
      <w:r>
        <w:rPr>
          <w:b w:val="0"/>
          <w:i/>
        </w:rPr>
        <w:t>PHỤ LỤC 8.1</w:t>
      </w:r>
    </w:p>
    <w:p>
      <w:pPr>
        <w:spacing w:after="80"/>
        <w:ind w:left="720"/>
      </w:pPr>
      <w:r>
        <w:t xml:space="preserve">2. </w:t>
      </w:r>
      <w:r>
        <w:rPr>
          <w:b w:val="0"/>
          <w:i/>
        </w:rPr>
        <w:t>PHỤ LỤC 8.2</w:t>
      </w:r>
    </w:p>
    <w:p>
      <w:pPr>
        <w:spacing w:after="80"/>
        <w:ind w:left="360"/>
      </w:pPr>
      <w:r>
        <w:t xml:space="preserve">10. </w:t>
      </w:r>
      <w:r>
        <w:rPr>
          <w:b w:val="0"/>
          <w:i w:val="0"/>
        </w:rPr>
        <w:t>Chương 9</w:t>
      </w:r>
    </w:p>
    <w:p>
      <w:pPr>
        <w:spacing w:after="80"/>
        <w:ind w:left="720"/>
      </w:pPr>
      <w:r>
        <w:t xml:space="preserve">1. </w:t>
      </w:r>
      <w:r>
        <w:rPr>
          <w:b w:val="0"/>
          <w:i/>
        </w:rPr>
        <w:t>PHỤ LỤC 9.1</w:t>
      </w:r>
    </w:p>
    <w:p>
      <w:pPr>
        <w:spacing w:after="80"/>
        <w:ind w:left="720"/>
      </w:pPr>
      <w:r>
        <w:t xml:space="preserve">2. </w:t>
      </w:r>
      <w:r>
        <w:rPr>
          <w:b w:val="0"/>
          <w:i/>
        </w:rPr>
        <w:t>PHỤ LỤC 9.2</w:t>
      </w:r>
    </w:p>
    <w:p>
      <w:pPr>
        <w:spacing w:after="80"/>
        <w:ind w:left="720"/>
      </w:pPr>
      <w:r>
        <w:t xml:space="preserve">3. </w:t>
      </w:r>
      <w:r>
        <w:rPr>
          <w:b w:val="0"/>
          <w:i/>
        </w:rPr>
        <w:t>PHỤ LỤC 9.3</w:t>
      </w:r>
    </w:p>
    <w:p>
      <w:pPr>
        <w:spacing w:after="80"/>
        <w:ind w:left="720"/>
      </w:pPr>
      <w:r>
        <w:t xml:space="preserve">4. </w:t>
      </w:r>
      <w:r>
        <w:rPr>
          <w:b w:val="0"/>
          <w:i/>
        </w:rPr>
        <w:t>PHỤ LỤC 9.4</w:t>
      </w:r>
    </w:p>
    <w:p>
      <w:pPr>
        <w:spacing w:after="80"/>
        <w:ind w:left="720"/>
      </w:pPr>
      <w:r>
        <w:t xml:space="preserve">5. </w:t>
      </w:r>
      <w:r>
        <w:rPr>
          <w:b w:val="0"/>
          <w:i/>
        </w:rPr>
        <w:t>PHỤ LỤC 9.5</w:t>
      </w:r>
    </w:p>
    <w:p>
      <w:pPr>
        <w:spacing w:after="80"/>
        <w:ind w:left="360"/>
      </w:pPr>
      <w:r>
        <w:t xml:space="preserve">11. </w:t>
      </w:r>
      <w:r>
        <w:rPr>
          <w:b w:val="0"/>
          <w:i w:val="0"/>
        </w:rPr>
        <w:t>Chương 10</w:t>
      </w:r>
    </w:p>
    <w:p>
      <w:pPr>
        <w:spacing w:after="80"/>
        <w:ind w:left="720"/>
      </w:pPr>
      <w:r>
        <w:t xml:space="preserve">1. </w:t>
      </w:r>
      <w:r>
        <w:rPr>
          <w:b w:val="0"/>
          <w:i/>
        </w:rPr>
        <w:t>PHỤ LỤC 10.1</w:t>
      </w:r>
    </w:p>
    <w:p>
      <w:pPr>
        <w:spacing w:after="80"/>
        <w:ind w:left="720"/>
      </w:pPr>
      <w:r>
        <w:t xml:space="preserve">2. </w:t>
      </w:r>
      <w:r>
        <w:rPr>
          <w:b w:val="0"/>
          <w:i/>
        </w:rPr>
        <w:t>PHỤ LỤC 10.2</w:t>
      </w:r>
    </w:p>
    <w:p>
      <w:pPr>
        <w:spacing w:after="80"/>
        <w:ind w:left="720"/>
      </w:pPr>
      <w:r>
        <w:t xml:space="preserve">3. </w:t>
      </w:r>
      <w:r>
        <w:rPr>
          <w:b w:val="0"/>
          <w:i/>
        </w:rPr>
        <w:t>PHỤ LỤC 10.3</w:t>
      </w:r>
    </w:p>
    <w:p>
      <w:pPr>
        <w:spacing w:after="80"/>
        <w:ind w:left="360"/>
      </w:pPr>
      <w:r>
        <w:t xml:space="preserve">12. </w:t>
      </w:r>
      <w:r>
        <w:rPr>
          <w:b w:val="0"/>
          <w:i w:val="0"/>
        </w:rPr>
        <w:t>Chương 11</w:t>
      </w:r>
    </w:p>
    <w:p>
      <w:pPr>
        <w:spacing w:after="80"/>
        <w:ind w:left="720"/>
      </w:pPr>
      <w:r>
        <w:t xml:space="preserve">1. </w:t>
      </w:r>
      <w:r>
        <w:rPr>
          <w:b w:val="0"/>
          <w:i/>
        </w:rPr>
        <w:t>PHỤ LỤC 11.1</w:t>
      </w:r>
    </w:p>
    <w:p>
      <w:pPr>
        <w:spacing w:after="80"/>
        <w:ind w:left="720"/>
      </w:pPr>
      <w:r>
        <w:t xml:space="preserve">2. </w:t>
      </w:r>
      <w:r>
        <w:rPr>
          <w:b w:val="0"/>
          <w:i/>
        </w:rPr>
        <w:t>PHỤ LỤC 11.2</w:t>
      </w:r>
    </w:p>
    <w:p>
      <w:pPr>
        <w:spacing w:after="80"/>
        <w:ind w:left="720"/>
      </w:pPr>
      <w:r>
        <w:t xml:space="preserve">3. </w:t>
      </w:r>
      <w:r>
        <w:rPr>
          <w:b w:val="0"/>
          <w:i/>
        </w:rPr>
        <w:t>PHỤ LỤC 11.3</w:t>
      </w:r>
    </w:p>
    <w:p>
      <w:pPr>
        <w:spacing w:after="80"/>
        <w:ind w:left="360"/>
      </w:pPr>
      <w:r>
        <w:t xml:space="preserve">13. </w:t>
      </w:r>
      <w:r>
        <w:rPr>
          <w:b w:val="0"/>
          <w:i w:val="0"/>
        </w:rPr>
        <w:t>Chương 12</w:t>
      </w:r>
    </w:p>
    <w:p>
      <w:pPr>
        <w:spacing w:after="80"/>
        <w:ind w:left="720"/>
      </w:pPr>
      <w:r>
        <w:t xml:space="preserve">1. </w:t>
      </w:r>
      <w:r>
        <w:rPr>
          <w:b w:val="0"/>
          <w:i/>
        </w:rPr>
        <w:t>PHỤ LỤC 12.1</w:t>
      </w:r>
    </w:p>
    <w:p>
      <w:pPr>
        <w:spacing w:after="80"/>
        <w:ind w:left="720"/>
      </w:pPr>
      <w:r>
        <w:t xml:space="preserve">2. </w:t>
      </w:r>
      <w:r>
        <w:rPr>
          <w:b w:val="0"/>
          <w:i/>
        </w:rPr>
        <w:t>PHỤ LỤC 12.2</w:t>
      </w:r>
    </w:p>
    <w:p>
      <w:pPr>
        <w:spacing w:after="80"/>
        <w:ind w:left="720"/>
      </w:pPr>
      <w:r>
        <w:t xml:space="preserve">3. </w:t>
      </w:r>
      <w:r>
        <w:rPr>
          <w:b w:val="0"/>
          <w:i/>
        </w:rPr>
        <w:t>PHỤ LỤC 12.3</w:t>
      </w:r>
    </w:p>
    <w:p>
      <w:pPr>
        <w:spacing w:after="80"/>
        <w:ind w:left="720"/>
      </w:pPr>
      <w:r>
        <w:t xml:space="preserve">4. </w:t>
      </w:r>
      <w:r>
        <w:rPr>
          <w:b w:val="0"/>
          <w:i/>
        </w:rPr>
        <w:t>PHỤ LỤC 12.4</w:t>
      </w:r>
    </w:p>
    <w:p>
      <w:pPr>
        <w:spacing w:after="80"/>
        <w:ind w:left="720"/>
      </w:pPr>
      <w:r>
        <w:t xml:space="preserve">5. </w:t>
      </w:r>
      <w:r>
        <w:rPr>
          <w:b w:val="0"/>
          <w:i/>
        </w:rPr>
        <w:t>PHỤ LỤC 12.5</w:t>
      </w:r>
    </w:p>
    <w:p>
      <w:pPr>
        <w:spacing w:after="80"/>
        <w:ind w:left="720"/>
      </w:pPr>
      <w:r>
        <w:t xml:space="preserve">6. </w:t>
      </w:r>
      <w:r>
        <w:rPr>
          <w:b w:val="0"/>
          <w:i/>
        </w:rPr>
        <w:t>PHỤ LỤC 12.6</w:t>
      </w:r>
    </w:p>
    <w:p>
      <w:pPr>
        <w:spacing w:after="80"/>
        <w:ind w:left="720"/>
      </w:pPr>
      <w:r>
        <w:t xml:space="preserve">7. </w:t>
      </w:r>
      <w:r>
        <w:rPr>
          <w:b w:val="0"/>
          <w:i/>
        </w:rPr>
        <w:t>PHỤ LỤC 12.7</w:t>
      </w:r>
    </w:p>
    <w:p>
      <w:pPr>
        <w:spacing w:after="80"/>
        <w:ind w:left="360"/>
      </w:pPr>
      <w:r>
        <w:t xml:space="preserve">14. </w:t>
      </w:r>
      <w:r>
        <w:rPr>
          <w:b w:val="0"/>
          <w:i w:val="0"/>
        </w:rPr>
        <w:t>Chương 13</w:t>
      </w:r>
    </w:p>
    <w:p>
      <w:pPr>
        <w:spacing w:after="80"/>
        <w:ind w:left="720"/>
      </w:pPr>
      <w:r>
        <w:t xml:space="preserve">1. </w:t>
      </w:r>
      <w:r>
        <w:rPr>
          <w:b w:val="0"/>
          <w:i/>
        </w:rPr>
        <w:t>PHỤ LỤC 13.1</w:t>
      </w:r>
    </w:p>
    <w:p>
      <w:pPr>
        <w:spacing w:after="80"/>
        <w:ind w:left="720"/>
      </w:pPr>
      <w:r>
        <w:t xml:space="preserve">2. </w:t>
      </w:r>
      <w:r>
        <w:rPr>
          <w:b w:val="0"/>
          <w:i/>
        </w:rPr>
        <w:t>PHỤ LỤC 13.2</w:t>
      </w:r>
    </w:p>
    <w:p>
      <w:pPr>
        <w:spacing w:after="80"/>
        <w:ind w:left="720"/>
      </w:pPr>
      <w:r>
        <w:t xml:space="preserve">3. </w:t>
      </w:r>
      <w:r>
        <w:rPr>
          <w:b w:val="0"/>
          <w:i/>
        </w:rPr>
        <w:t>PHỤ LỤC 13.3</w:t>
      </w:r>
    </w:p>
    <w:p>
      <w:pPr>
        <w:spacing w:after="80"/>
        <w:ind w:left="720"/>
      </w:pPr>
      <w:r>
        <w:t xml:space="preserve">4. </w:t>
      </w:r>
      <w:r>
        <w:rPr>
          <w:b w:val="0"/>
          <w:i/>
        </w:rPr>
        <w:t>PHỤ LỤC 13.4</w:t>
      </w:r>
    </w:p>
    <w:p>
      <w:pPr>
        <w:spacing w:after="80"/>
        <w:ind w:left="720"/>
      </w:pPr>
      <w:r>
        <w:t xml:space="preserve">5. </w:t>
      </w:r>
      <w:r>
        <w:rPr>
          <w:b w:val="0"/>
          <w:i/>
        </w:rPr>
        <w:t>PHỤ LỤC 13.5</w:t>
      </w:r>
    </w:p>
    <w:p>
      <w:pPr>
        <w:spacing w:after="80"/>
        <w:ind w:left="720"/>
      </w:pPr>
      <w:r>
        <w:t xml:space="preserve">6. </w:t>
      </w:r>
      <w:r>
        <w:rPr>
          <w:b w:val="0"/>
          <w:i/>
        </w:rPr>
        <w:t>PHỤ LỤC 13.6</w:t>
      </w:r>
    </w:p>
    <w:p>
      <w:pPr>
        <w:spacing w:after="80"/>
        <w:ind w:left="720"/>
      </w:pPr>
      <w:r>
        <w:t xml:space="preserve">7. </w:t>
      </w:r>
      <w:r>
        <w:rPr>
          <w:b w:val="0"/>
          <w:i/>
        </w:rPr>
        <w:t>PHỤ LỤC 13.7</w:t>
      </w:r>
    </w:p>
    <w:p>
      <w:pPr>
        <w:spacing w:after="80"/>
        <w:ind w:left="360"/>
      </w:pPr>
      <w:r>
        <w:t xml:space="preserve">15. </w:t>
      </w:r>
      <w:r>
        <w:rPr>
          <w:b w:val="0"/>
          <w:i w:val="0"/>
        </w:rPr>
        <w:t>Chương 14</w:t>
      </w:r>
    </w:p>
    <w:p>
      <w:pPr>
        <w:spacing w:after="80"/>
        <w:ind w:left="720"/>
      </w:pPr>
      <w:r>
        <w:t xml:space="preserve">1. </w:t>
      </w:r>
      <w:r>
        <w:rPr>
          <w:b w:val="0"/>
          <w:i/>
        </w:rPr>
        <w:t>PHỤ LỤC 14.1</w:t>
      </w:r>
    </w:p>
    <w:p>
      <w:pPr>
        <w:spacing w:after="80"/>
        <w:ind w:left="720"/>
      </w:pPr>
      <w:r>
        <w:t xml:space="preserve">2. </w:t>
      </w:r>
      <w:r>
        <w:rPr>
          <w:b w:val="0"/>
          <w:i/>
        </w:rPr>
        <w:t>PHỤ LỤC 14.2</w:t>
      </w:r>
    </w:p>
    <w:p>
      <w:pPr>
        <w:spacing w:after="80"/>
        <w:ind w:left="720"/>
      </w:pPr>
      <w:r>
        <w:t xml:space="preserve">3. </w:t>
      </w:r>
      <w:r>
        <w:rPr>
          <w:b w:val="0"/>
          <w:i/>
        </w:rPr>
        <w:t>PHỤ LỤC 14.3</w:t>
      </w:r>
    </w:p>
    <w:p>
      <w:pPr>
        <w:spacing w:after="80"/>
        <w:ind w:left="720"/>
      </w:pPr>
      <w:r>
        <w:t xml:space="preserve">4. </w:t>
      </w:r>
      <w:r>
        <w:rPr>
          <w:b w:val="0"/>
          <w:i/>
        </w:rPr>
        <w:t>PHỤ LỤC 14.4</w:t>
      </w:r>
    </w:p>
    <w:p>
      <w:pPr>
        <w:spacing w:after="80"/>
        <w:ind w:left="720"/>
      </w:pPr>
      <w:r>
        <w:t xml:space="preserve">5. </w:t>
      </w:r>
      <w:r>
        <w:rPr>
          <w:b w:val="0"/>
          <w:i/>
        </w:rPr>
        <w:t>PHỤ LỤC 14.5</w:t>
      </w:r>
    </w:p>
    <w:p>
      <w:pPr>
        <w:spacing w:after="80"/>
        <w:ind w:left="720"/>
      </w:pPr>
      <w:r>
        <w:t xml:space="preserve">6. </w:t>
      </w:r>
      <w:r>
        <w:rPr>
          <w:b w:val="0"/>
          <w:i/>
        </w:rPr>
        <w:t>PHỤ LỤC 14.6</w:t>
      </w:r>
    </w:p>
    <w:p>
      <w:pPr>
        <w:spacing w:after="80"/>
        <w:ind w:left="360"/>
      </w:pPr>
      <w:r>
        <w:t xml:space="preserve">16. </w:t>
      </w:r>
      <w:r>
        <w:rPr>
          <w:b w:val="0"/>
          <w:i w:val="0"/>
        </w:rPr>
        <w:t>Chương 15</w:t>
      </w:r>
    </w:p>
    <w:p>
      <w:pPr>
        <w:spacing w:after="80"/>
        <w:ind w:left="720"/>
      </w:pPr>
      <w:r>
        <w:t xml:space="preserve">1. </w:t>
      </w:r>
      <w:r>
        <w:rPr>
          <w:b w:val="0"/>
          <w:i/>
        </w:rPr>
        <w:t>PHỤ LỤC 15.1</w:t>
      </w:r>
    </w:p>
    <w:p>
      <w:pPr>
        <w:spacing w:after="80"/>
        <w:ind w:left="360"/>
      </w:pPr>
      <w:r>
        <w:t xml:space="preserve">17. </w:t>
      </w:r>
      <w:r>
        <w:rPr>
          <w:b w:val="0"/>
          <w:i w:val="0"/>
        </w:rPr>
        <w:t>Chương 16</w:t>
      </w:r>
    </w:p>
    <w:p>
      <w:pPr>
        <w:spacing w:after="80"/>
        <w:ind w:left="720"/>
      </w:pPr>
      <w:r>
        <w:t xml:space="preserve">1. </w:t>
      </w:r>
      <w:r>
        <w:rPr>
          <w:b w:val="0"/>
          <w:i/>
        </w:rPr>
        <w:t>PHỤ LỤC 16.1</w:t>
      </w:r>
    </w:p>
    <w:p>
      <w:pPr>
        <w:spacing w:after="80"/>
        <w:ind w:left="360"/>
      </w:pPr>
      <w:r>
        <w:t xml:space="preserve">18. </w:t>
      </w:r>
      <w:r>
        <w:rPr>
          <w:b w:val="0"/>
          <w:i w:val="0"/>
        </w:rPr>
        <w:t>Chương 17</w:t>
      </w:r>
    </w:p>
    <w:p>
      <w:pPr>
        <w:spacing w:after="80"/>
        <w:ind w:left="720"/>
      </w:pPr>
      <w:r>
        <w:t xml:space="preserve">1. </w:t>
      </w:r>
      <w:r>
        <w:rPr>
          <w:b w:val="0"/>
          <w:i/>
        </w:rPr>
        <w:t>PHỤ LỤC 17.1</w:t>
      </w:r>
    </w:p>
    <w:p>
      <w:pPr>
        <w:spacing w:after="80"/>
        <w:ind w:left="720"/>
      </w:pPr>
      <w:r>
        <w:t xml:space="preserve">2. </w:t>
      </w:r>
      <w:r>
        <w:rPr>
          <w:b w:val="0"/>
          <w:i/>
        </w:rPr>
        <w:t>PHỤ LỤC 17.2</w:t>
      </w:r>
    </w:p>
    <w:p>
      <w:pPr>
        <w:spacing w:after="80"/>
        <w:ind w:left="360"/>
      </w:pPr>
      <w:r>
        <w:t xml:space="preserve">19. </w:t>
      </w:r>
      <w:r>
        <w:rPr>
          <w:b w:val="0"/>
          <w:i w:val="0"/>
        </w:rPr>
        <w:t>Chương 19</w:t>
      </w:r>
    </w:p>
    <w:p>
      <w:pPr>
        <w:spacing w:after="80"/>
        <w:ind w:left="720"/>
      </w:pPr>
      <w:r>
        <w:t xml:space="preserve">1. </w:t>
      </w:r>
      <w:r>
        <w:rPr>
          <w:b w:val="0"/>
          <w:i/>
        </w:rPr>
        <w:t>PHỤ LỤC 19.1</w:t>
      </w:r>
    </w:p>
    <w:p>
      <w:pPr>
        <w:spacing w:after="80"/>
        <w:ind w:left="720"/>
      </w:pPr>
      <w:r>
        <w:t xml:space="preserve">2. </w:t>
      </w:r>
      <w:r>
        <w:rPr>
          <w:b w:val="0"/>
          <w:i/>
        </w:rPr>
        <w:t>PHỤ LỤC 19.2</w:t>
      </w:r>
    </w:p>
    <w:p>
      <w:pPr>
        <w:spacing w:after="80"/>
        <w:ind w:left="360"/>
      </w:pPr>
      <w:r>
        <w:t xml:space="preserve">20. </w:t>
      </w:r>
      <w:r>
        <w:rPr>
          <w:b w:val="0"/>
          <w:i w:val="0"/>
        </w:rPr>
        <w:t>Chương 20</w:t>
      </w:r>
    </w:p>
    <w:p>
      <w:pPr>
        <w:spacing w:after="80"/>
        <w:ind w:left="720"/>
      </w:pPr>
      <w:r>
        <w:t xml:space="preserve">1. </w:t>
      </w:r>
      <w:r>
        <w:rPr>
          <w:b w:val="0"/>
          <w:i/>
        </w:rPr>
        <w:t>PHỤ LỤC 20.1</w:t>
      </w:r>
    </w:p>
    <w:p>
      <w:pPr>
        <w:spacing w:after="80"/>
        <w:ind w:left="360"/>
      </w:pPr>
      <w:r>
        <w:t xml:space="preserve">21. </w:t>
      </w:r>
      <w:r>
        <w:rPr>
          <w:b w:val="0"/>
          <w:i w:val="0"/>
        </w:rPr>
        <w:t>Chương 21</w:t>
      </w:r>
    </w:p>
    <w:p>
      <w:pPr>
        <w:spacing w:after="80"/>
        <w:ind w:left="720"/>
      </w:pPr>
      <w:r>
        <w:t xml:space="preserve">1. </w:t>
      </w:r>
      <w:r>
        <w:rPr>
          <w:b w:val="0"/>
          <w:i/>
        </w:rPr>
        <w:t>PHỤ LỤC 21.1</w:t>
      </w:r>
    </w:p>
    <w:p>
      <w:pPr>
        <w:spacing w:after="80"/>
        <w:ind w:left="720"/>
      </w:pPr>
      <w:r>
        <w:t xml:space="preserve">2. </w:t>
      </w:r>
      <w:r>
        <w:rPr>
          <w:b w:val="0"/>
          <w:i/>
        </w:rPr>
        <w:t>PHỤ LỤC 21.2</w:t>
      </w:r>
    </w:p>
    <w:p>
      <w:pPr>
        <w:spacing w:after="80"/>
        <w:ind w:left="720"/>
      </w:pPr>
      <w:r>
        <w:t xml:space="preserve">3. </w:t>
      </w:r>
      <w:r>
        <w:rPr>
          <w:b w:val="0"/>
          <w:i/>
        </w:rPr>
        <w:t>PHỤ LỤC 21.3</w:t>
      </w:r>
    </w:p>
    <w:p>
      <w:pPr>
        <w:spacing w:after="80"/>
        <w:ind w:left="360"/>
      </w:pPr>
      <w:r>
        <w:t xml:space="preserve">22. </w:t>
      </w:r>
      <w:r>
        <w:rPr>
          <w:b w:val="0"/>
          <w:i w:val="0"/>
        </w:rPr>
        <w:t>Chương 22</w:t>
      </w:r>
    </w:p>
    <w:p>
      <w:pPr>
        <w:spacing w:after="80"/>
        <w:ind w:left="720"/>
      </w:pPr>
      <w:r>
        <w:t xml:space="preserve">1. </w:t>
      </w:r>
      <w:r>
        <w:rPr>
          <w:b w:val="0"/>
          <w:i/>
        </w:rPr>
        <w:t>PHỤ LỤC 22.1</w:t>
      </w:r>
    </w:p>
    <w:p>
      <w:pPr>
        <w:spacing w:after="80"/>
        <w:ind w:left="720"/>
      </w:pPr>
      <w:r>
        <w:t xml:space="preserve">2. </w:t>
      </w:r>
      <w:r>
        <w:rPr>
          <w:b w:val="0"/>
          <w:i/>
        </w:rPr>
        <w:t>PHỤ LỤC 22.2</w:t>
      </w:r>
    </w:p>
    <w:p>
      <w:pPr>
        <w:spacing w:after="80"/>
        <w:ind w:left="720"/>
      </w:pPr>
      <w:r>
        <w:t xml:space="preserve">3. </w:t>
      </w:r>
      <w:r>
        <w:rPr>
          <w:b w:val="0"/>
          <w:i/>
        </w:rPr>
        <w:t>PHỤ LỤC 22.3</w:t>
      </w:r>
    </w:p>
    <w:p>
      <w:pPr>
        <w:spacing w:after="80"/>
        <w:ind w:left="720"/>
      </w:pPr>
      <w:r>
        <w:t xml:space="preserve">4. </w:t>
      </w:r>
      <w:r>
        <w:rPr>
          <w:b w:val="0"/>
          <w:i/>
        </w:rPr>
        <w:t>PHỤ LỤC 22.4</w:t>
      </w:r>
    </w:p>
    <w:p>
      <w:pPr>
        <w:spacing w:after="80"/>
        <w:ind w:left="720"/>
      </w:pPr>
      <w:r>
        <w:t xml:space="preserve">5. </w:t>
      </w:r>
      <w:r>
        <w:rPr>
          <w:b w:val="0"/>
          <w:i/>
        </w:rPr>
        <w:t>PHỤ LỤC 22.5</w:t>
      </w:r>
    </w:p>
    <w:p>
      <w:pPr>
        <w:spacing w:after="80"/>
        <w:ind w:left="360"/>
      </w:pPr>
      <w:r>
        <w:t xml:space="preserve">23. </w:t>
      </w:r>
      <w:r>
        <w:rPr>
          <w:b w:val="0"/>
          <w:i w:val="0"/>
        </w:rPr>
        <w:t>Chương 24</w:t>
      </w:r>
    </w:p>
    <w:p>
      <w:pPr>
        <w:spacing w:after="80"/>
        <w:ind w:left="720"/>
      </w:pPr>
      <w:r>
        <w:t xml:space="preserve">1. </w:t>
      </w:r>
      <w:r>
        <w:rPr>
          <w:b w:val="0"/>
          <w:i/>
        </w:rPr>
        <w:t>PHỤ LỤC 24.1</w:t>
      </w:r>
    </w:p>
    <w:p>
      <w:pPr>
        <w:spacing w:after="80"/>
        <w:ind w:left="720"/>
      </w:pPr>
      <w:r>
        <w:t xml:space="preserve">2. </w:t>
      </w:r>
      <w:r>
        <w:rPr>
          <w:b w:val="0"/>
          <w:i/>
        </w:rPr>
        <w:t>PHỤ LỤC 24.2</w:t>
      </w:r>
    </w:p>
    <w:p>
      <w:pPr>
        <w:spacing w:after="80"/>
        <w:ind w:left="720"/>
      </w:pPr>
      <w:r>
        <w:t xml:space="preserve">3. </w:t>
      </w:r>
      <w:r>
        <w:rPr>
          <w:b w:val="0"/>
          <w:i/>
        </w:rPr>
        <w:t>PHỤ LỤC 24.3</w:t>
      </w:r>
    </w:p>
    <w:p>
      <w:pPr>
        <w:spacing w:after="80"/>
        <w:ind w:left="360"/>
      </w:pPr>
      <w:r>
        <w:t xml:space="preserve">24. </w:t>
      </w:r>
      <w:r>
        <w:rPr>
          <w:b w:val="0"/>
          <w:i w:val="0"/>
        </w:rPr>
        <w:t>Chương 25</w:t>
      </w:r>
    </w:p>
    <w:p>
      <w:pPr>
        <w:spacing w:after="80"/>
        <w:ind w:left="720"/>
      </w:pPr>
      <w:r>
        <w:t xml:space="preserve">1. </w:t>
      </w:r>
      <w:r>
        <w:rPr>
          <w:b w:val="0"/>
          <w:i/>
        </w:rPr>
        <w:t>PHỤ LỤC 25.1</w:t>
      </w:r>
    </w:p>
    <w:p>
      <w:pPr>
        <w:spacing w:after="80"/>
        <w:ind w:left="720"/>
      </w:pPr>
      <w:r>
        <w:t xml:space="preserve">2. </w:t>
      </w:r>
      <w:r>
        <w:rPr>
          <w:b w:val="0"/>
          <w:i/>
        </w:rPr>
        <w:t>PHỤ LỤC 25.2</w:t>
      </w:r>
    </w:p>
    <w:p>
      <w:pPr>
        <w:spacing w:after="80"/>
        <w:ind w:left="360"/>
      </w:pPr>
      <w:r>
        <w:t xml:space="preserve">25. </w:t>
      </w:r>
      <w:r>
        <w:rPr>
          <w:b w:val="0"/>
          <w:i w:val="0"/>
        </w:rPr>
        <w:t>Chương 26</w:t>
      </w:r>
    </w:p>
    <w:p>
      <w:pPr>
        <w:spacing w:after="80"/>
        <w:ind w:left="720"/>
      </w:pPr>
      <w:r>
        <w:t xml:space="preserve">1. </w:t>
      </w:r>
      <w:r>
        <w:rPr>
          <w:b w:val="0"/>
          <w:i/>
        </w:rPr>
        <w:t>PHỤ LỤC 26.1</w:t>
      </w:r>
    </w:p>
    <w:p>
      <w:pPr>
        <w:spacing w:after="80"/>
        <w:ind w:left="720"/>
      </w:pPr>
      <w:r>
        <w:t xml:space="preserve">2. </w:t>
      </w:r>
      <w:r>
        <w:rPr>
          <w:b w:val="0"/>
          <w:i/>
        </w:rPr>
        <w:t>PHỤ LỤC 26.2</w:t>
      </w:r>
    </w:p>
    <w:p>
      <w:pPr>
        <w:spacing w:after="80"/>
        <w:ind w:left="720"/>
      </w:pPr>
      <w:r>
        <w:t xml:space="preserve">3. </w:t>
      </w:r>
      <w:r>
        <w:rPr>
          <w:b w:val="0"/>
          <w:i/>
        </w:rPr>
        <w:t>PHỤ LỤC 26.3</w:t>
      </w:r>
    </w:p>
    <w:p>
      <w:pPr>
        <w:spacing w:after="80"/>
        <w:ind w:left="720"/>
      </w:pPr>
      <w:r>
        <w:t xml:space="preserve">4. </w:t>
      </w:r>
      <w:r>
        <w:rPr>
          <w:b w:val="0"/>
          <w:i/>
        </w:rPr>
        <w:t>PHỤ LỤC 26.4</w:t>
      </w:r>
    </w:p>
    <w:p>
      <w:pPr>
        <w:spacing w:after="80"/>
        <w:ind w:left="720"/>
      </w:pPr>
      <w:r>
        <w:t xml:space="preserve">5. </w:t>
      </w:r>
      <w:r>
        <w:rPr>
          <w:b w:val="0"/>
          <w:i/>
        </w:rPr>
        <w:t>PHỤ LỤC 26.5</w:t>
      </w:r>
    </w:p>
    <w:p>
      <w:pPr>
        <w:spacing w:after="80"/>
        <w:ind w:left="720"/>
      </w:pPr>
      <w:r>
        <w:t xml:space="preserve">6. </w:t>
      </w:r>
      <w:r>
        <w:rPr>
          <w:b w:val="0"/>
          <w:i/>
        </w:rPr>
        <w:t>PHỤ LỤC 26.6</w:t>
      </w:r>
    </w:p>
    <w:p>
      <w:pPr>
        <w:spacing w:after="80"/>
        <w:ind w:left="360"/>
      </w:pPr>
      <w:r>
        <w:t xml:space="preserve">26. </w:t>
      </w:r>
      <w:r>
        <w:rPr>
          <w:b w:val="0"/>
          <w:i w:val="0"/>
        </w:rPr>
        <w:t>Chương 27</w:t>
      </w:r>
    </w:p>
    <w:p>
      <w:pPr>
        <w:spacing w:after="80"/>
        <w:ind w:left="720"/>
      </w:pPr>
      <w:r>
        <w:t xml:space="preserve">1. </w:t>
      </w:r>
      <w:r>
        <w:rPr>
          <w:b w:val="0"/>
          <w:i/>
        </w:rPr>
        <w:t>PHỤ LỤC 27.1</w:t>
      </w:r>
    </w:p>
    <w:p>
      <w:pPr>
        <w:spacing w:after="80"/>
        <w:ind w:left="720"/>
      </w:pPr>
      <w:r>
        <w:t xml:space="preserve">2. </w:t>
      </w:r>
      <w:r>
        <w:rPr>
          <w:b w:val="0"/>
          <w:i/>
        </w:rPr>
        <w:t>PHỤ LỤC 27.2</w:t>
      </w:r>
    </w:p>
    <w:p>
      <w:pPr>
        <w:spacing w:after="80"/>
        <w:ind w:left="720"/>
      </w:pPr>
      <w:r>
        <w:t xml:space="preserve">3. </w:t>
      </w:r>
      <w:r>
        <w:rPr>
          <w:b w:val="0"/>
          <w:i/>
        </w:rPr>
        <w:t>PHỤ LỤC 27.3</w:t>
      </w:r>
    </w:p>
    <w:p>
      <w:pPr>
        <w:spacing w:after="80"/>
        <w:ind w:left="360"/>
      </w:pPr>
      <w:r>
        <w:t xml:space="preserve">27. </w:t>
      </w:r>
      <w:r>
        <w:rPr>
          <w:b w:val="0"/>
          <w:i w:val="0"/>
        </w:rPr>
        <w:t>Chương 30</w:t>
      </w:r>
    </w:p>
    <w:p>
      <w:pPr>
        <w:spacing w:after="80"/>
        <w:ind w:left="720"/>
      </w:pPr>
      <w:r>
        <w:t xml:space="preserve">1. </w:t>
      </w:r>
      <w:r>
        <w:rPr>
          <w:b w:val="0"/>
          <w:i/>
        </w:rPr>
        <w:t>PHỤ LỤC 30.1</w:t>
      </w:r>
    </w:p>
    <w:p>
      <w:pPr>
        <w:spacing w:after="80"/>
        <w:ind w:left="720"/>
      </w:pPr>
      <w:r>
        <w:t xml:space="preserve">2. </w:t>
      </w:r>
      <w:r>
        <w:rPr>
          <w:b w:val="0"/>
          <w:i/>
        </w:rPr>
        <w:t>PHỤ LỤC 30.2</w:t>
      </w:r>
    </w:p>
    <w:p>
      <w:pPr>
        <w:spacing w:after="80"/>
        <w:ind w:left="360"/>
      </w:pPr>
      <w:r>
        <w:t xml:space="preserve">28. </w:t>
      </w:r>
      <w:r>
        <w:rPr>
          <w:b w:val="0"/>
          <w:i w:val="0"/>
        </w:rPr>
        <w:t>Chương 31</w:t>
      </w:r>
    </w:p>
    <w:p>
      <w:pPr>
        <w:spacing w:after="80"/>
        <w:ind w:left="720"/>
      </w:pPr>
      <w:r>
        <w:t xml:space="preserve">1. </w:t>
      </w:r>
      <w:r>
        <w:rPr>
          <w:b w:val="0"/>
          <w:i/>
        </w:rPr>
        <w:t>PHỤ LỤC 31.1</w:t>
      </w:r>
    </w:p>
    <w:p>
      <w:pPr>
        <w:spacing w:after="80"/>
        <w:ind w:left="720"/>
      </w:pPr>
      <w:r>
        <w:t xml:space="preserve">2. </w:t>
      </w:r>
      <w:r>
        <w:rPr>
          <w:b w:val="0"/>
          <w:i/>
        </w:rPr>
        <w:t>PHỤ LỤC 31.2</w:t>
      </w:r>
    </w:p>
    <w:p>
      <w:pPr>
        <w:spacing w:after="80"/>
        <w:ind w:left="720"/>
      </w:pPr>
      <w:r>
        <w:t xml:space="preserve">3. </w:t>
      </w:r>
      <w:r>
        <w:rPr>
          <w:b w:val="0"/>
          <w:i/>
        </w:rPr>
        <w:t>PHỤ LỤC 31.3</w:t>
      </w:r>
    </w:p>
    <w:p>
      <w:pPr>
        <w:spacing w:after="80"/>
        <w:ind w:left="360"/>
      </w:pPr>
      <w:r>
        <w:t xml:space="preserve">29. </w:t>
      </w:r>
      <w:r>
        <w:rPr>
          <w:b w:val="0"/>
          <w:i w:val="0"/>
        </w:rPr>
        <w:t>Chương 32</w:t>
      </w:r>
    </w:p>
    <w:p>
      <w:pPr>
        <w:spacing w:after="80"/>
        <w:ind w:left="720"/>
      </w:pPr>
      <w:r>
        <w:t xml:space="preserve">1. </w:t>
      </w:r>
      <w:r>
        <w:rPr>
          <w:b w:val="0"/>
          <w:i/>
        </w:rPr>
        <w:t>PHỤ LỤC 32.1</w:t>
      </w:r>
    </w:p>
    <w:p>
      <w:pPr>
        <w:spacing w:after="80"/>
        <w:ind w:left="720"/>
      </w:pPr>
      <w:r>
        <w:t xml:space="preserve">2. </w:t>
      </w:r>
      <w:r>
        <w:rPr>
          <w:b w:val="0"/>
          <w:i/>
        </w:rPr>
        <w:t>PHỤ LỤC 32.2</w:t>
      </w:r>
    </w:p>
    <w:p>
      <w:pPr>
        <w:spacing w:after="80"/>
        <w:ind w:left="720"/>
      </w:pPr>
      <w:r>
        <w:t xml:space="preserve">3. </w:t>
      </w:r>
      <w:r>
        <w:rPr>
          <w:b w:val="0"/>
          <w:i/>
        </w:rPr>
        <w:t>PHỤ LỤC 32.3</w:t>
      </w:r>
    </w:p>
    <w:p>
      <w:pPr>
        <w:spacing w:after="80"/>
        <w:ind w:left="720"/>
      </w:pPr>
      <w:r>
        <w:t xml:space="preserve">4. </w:t>
      </w:r>
      <w:r>
        <w:rPr>
          <w:b w:val="0"/>
          <w:i/>
        </w:rPr>
        <w:t>PHỤ LỤC 32.4</w:t>
      </w:r>
    </w:p>
    <w:p>
      <w:pPr>
        <w:spacing w:after="80"/>
        <w:ind w:left="720"/>
      </w:pPr>
      <w:r>
        <w:t xml:space="preserve">5. </w:t>
      </w:r>
      <w:r>
        <w:rPr>
          <w:b w:val="0"/>
          <w:i/>
        </w:rPr>
        <w:t>PHỤ LỤC 32.5</w:t>
      </w:r>
    </w:p>
    <w:p>
      <w:pPr>
        <w:spacing w:after="80"/>
        <w:ind w:left="720"/>
      </w:pPr>
      <w:r>
        <w:t xml:space="preserve">6. </w:t>
      </w:r>
      <w:r>
        <w:rPr>
          <w:b w:val="0"/>
          <w:i/>
        </w:rPr>
        <w:t>PHỤ LỤC 32.6</w:t>
      </w:r>
    </w:p>
    <w:p>
      <w:pPr>
        <w:spacing w:after="80"/>
        <w:ind w:left="720"/>
      </w:pPr>
      <w:r>
        <w:t xml:space="preserve">7. </w:t>
      </w:r>
      <w:r>
        <w:rPr>
          <w:b w:val="0"/>
          <w:i/>
        </w:rPr>
        <w:t>PHỤ LỤC 32.7</w:t>
      </w:r>
    </w:p>
    <w:p>
      <w:pPr>
        <w:spacing w:after="80"/>
        <w:ind w:left="360"/>
      </w:pPr>
      <w:r>
        <w:t xml:space="preserve">30. </w:t>
      </w:r>
      <w:r>
        <w:rPr>
          <w:b w:val="0"/>
          <w:i w:val="0"/>
        </w:rPr>
        <w:t>Chương 34</w:t>
      </w:r>
    </w:p>
    <w:p>
      <w:pPr>
        <w:spacing w:after="80"/>
        <w:ind w:left="720"/>
      </w:pPr>
      <w:r>
        <w:t xml:space="preserve">1. </w:t>
      </w:r>
      <w:r>
        <w:rPr>
          <w:b w:val="0"/>
          <w:i/>
        </w:rPr>
        <w:t>PHỤ LỤC 34.1</w:t>
      </w:r>
    </w:p>
    <w:p>
      <w:pPr>
        <w:spacing w:after="80"/>
        <w:ind w:left="360"/>
      </w:pPr>
      <w:r>
        <w:t xml:space="preserve">31. </w:t>
      </w:r>
      <w:r>
        <w:rPr>
          <w:b w:val="0"/>
          <w:i w:val="0"/>
        </w:rPr>
        <w:t>Chương 35</w:t>
      </w:r>
    </w:p>
    <w:p>
      <w:pPr>
        <w:spacing w:after="80"/>
        <w:ind w:left="720"/>
      </w:pPr>
      <w:r>
        <w:t xml:space="preserve">1. </w:t>
      </w:r>
      <w:r>
        <w:rPr>
          <w:b w:val="0"/>
          <w:i/>
        </w:rPr>
        <w:t>PHỤ LỤC 35.1</w:t>
      </w:r>
    </w:p>
    <w:p>
      <w:pPr>
        <w:spacing w:after="80"/>
        <w:ind w:left="720"/>
      </w:pPr>
      <w:r>
        <w:t xml:space="preserve">2. </w:t>
      </w:r>
      <w:r>
        <w:rPr>
          <w:b w:val="0"/>
          <w:i/>
        </w:rPr>
        <w:t>PHỤ LỤC 35.2</w:t>
      </w:r>
    </w:p>
    <w:p>
      <w:pPr>
        <w:pStyle w:val="Heading2"/>
      </w:pPr>
      <w:r>
        <w:rPr>
          <w:rFonts w:ascii="Calibri" w:hAnsi="Calibri"/>
          <w:b/>
          <w:i w:val="0"/>
          <w:sz w:val="32"/>
        </w:rPr>
        <w:t>Hướng dẫn</w:t>
      </w:r>
    </w:p>
    <w:p>
      <w:pPr>
        <w:spacing w:after="80"/>
        <w:ind w:left="360"/>
      </w:pPr>
      <w:r>
        <w:t xml:space="preserve">1. </w:t>
      </w:r>
      <w:r>
        <w:rPr>
          <w:b w:val="0"/>
          <w:i w:val="0"/>
        </w:rPr>
        <w:t>Bìa</w:t>
      </w:r>
    </w:p>
    <w:p>
      <w:pPr>
        <w:spacing w:after="80"/>
        <w:ind w:left="360"/>
      </w:pPr>
      <w:r>
        <w:t xml:space="preserve">2. </w:t>
      </w:r>
      <w:r>
        <w:rPr>
          <w:b w:val="0"/>
          <w:i w:val="0"/>
        </w:rPr>
        <w:t>Mục lục</w:t>
      </w:r>
    </w:p>
    <w:p>
      <w:pPr>
        <w:spacing w:after="80"/>
        <w:ind w:left="360"/>
      </w:pPr>
      <w:r>
        <w:t xml:space="preserve">3. </w:t>
      </w:r>
      <w:r>
        <w:rPr>
          <w:b w:val="0"/>
          <w:i w:val="0"/>
        </w:rPr>
        <w:t>Trang tiêu đề</w:t>
      </w:r>
    </w:p>
    <w:p>
      <w:pPr>
        <w:spacing w:after="80"/>
        <w:ind w:left="360"/>
      </w:pPr>
      <w:r>
        <w:t xml:space="preserve">4. </w:t>
      </w:r>
      <w:r>
        <w:rPr>
          <w:b w:val="0"/>
          <w:i w:val="0"/>
        </w:rPr>
        <w:t>Bản quyền</w:t>
      </w:r>
    </w:p>
    <w:p>
      <w:pPr>
        <w:spacing w:after="80"/>
        <w:ind w:left="360"/>
      </w:pPr>
      <w:r>
        <w:t xml:space="preserve">5. </w:t>
      </w:r>
      <w:r>
        <w:rPr>
          <w:b w:val="0"/>
          <w:i w:val="0"/>
        </w:rPr>
        <w:t>Chúng tôi hiểu thế nào là chuyển đổi Công nghệ &amp; AI</w:t>
      </w:r>
    </w:p>
    <w:p>
      <w:pPr>
        <w:spacing w:after="80"/>
        <w:ind w:left="360"/>
      </w:pPr>
      <w:r>
        <w:t xml:space="preserve">6. </w:t>
      </w:r>
      <w:r>
        <w:rPr>
          <w:b w:val="0"/>
          <w:i w:val="0"/>
        </w:rPr>
        <w:t>Giới thiệu: Hướng dẫn của bạn về Rewired</w:t>
      </w:r>
    </w:p>
    <w:p>
      <w:pPr>
        <w:spacing w:after="80"/>
        <w:ind w:left="360"/>
      </w:pPr>
      <w:r>
        <w:t xml:space="preserve">7. </w:t>
      </w:r>
      <w:r>
        <w:rPr>
          <w:b w:val="0"/>
          <w:i w:val="0"/>
        </w:rPr>
        <w:t>Giới thiệu: Tuyên ngôn chuyển đổi của bạn</w:t>
      </w:r>
    </w:p>
    <w:p>
      <w:pPr>
        <w:spacing w:after="80"/>
        <w:ind w:left="360"/>
      </w:pPr>
      <w:r>
        <w:t xml:space="preserve">8. </w:t>
      </w:r>
      <w:r>
        <w:rPr>
          <w:b w:val="0"/>
          <w:i w:val="0"/>
        </w:rPr>
        <w:t>Bắt đầu đọc</w:t>
      </w:r>
    </w:p>
    <w:p>
      <w:pPr>
        <w:spacing w:after="80"/>
        <w:ind w:left="360"/>
      </w:pPr>
      <w:r>
        <w:t xml:space="preserve">9. </w:t>
      </w:r>
      <w:r>
        <w:rPr>
          <w:b w:val="0"/>
          <w:i w:val="0"/>
        </w:rPr>
        <w:t>Lời cảm ơn</w:t>
      </w:r>
    </w:p>
    <w:p>
      <w:pPr>
        <w:spacing w:after="80"/>
        <w:ind w:left="360"/>
      </w:pPr>
      <w:r>
        <w:t xml:space="preserve">10. </w:t>
      </w:r>
      <w:r>
        <w:rPr>
          <w:b w:val="0"/>
          <w:i w:val="0"/>
        </w:rPr>
        <w:t>Mục lục</w:t>
      </w:r>
    </w:p>
    <w:p>
      <w:pPr>
        <w:spacing w:after="80"/>
        <w:ind w:left="360"/>
      </w:pPr>
      <w:r>
        <w:t xml:space="preserve">11. </w:t>
      </w:r>
      <w:r>
        <w:rPr>
          <w:b w:val="0"/>
          <w:i w:val="0"/>
        </w:rPr>
        <w:t>Thỏa thuận cấp phép cho người dùng cuối</w:t>
      </w:r>
    </w:p>
    <w:p>
      <w:pPr>
        <w:pStyle w:val="Heading2"/>
      </w:pPr>
      <w:r>
        <w:rPr>
          <w:rFonts w:ascii="Calibri" w:hAnsi="Calibri"/>
          <w:b/>
          <w:i w:val="0"/>
          <w:sz w:val="32"/>
        </w:rPr>
        <w:t>Các trang</w:t>
      </w:r>
    </w:p>
    <w:p>
      <w:pPr>
        <w:spacing w:after="80"/>
        <w:ind w:left="360"/>
      </w:pPr>
      <w:r>
        <w:t xml:space="preserve">1. </w:t>
      </w:r>
      <w:r>
        <w:rPr>
          <w:b w:val="0"/>
          <w:i w:val="0"/>
        </w:rPr>
        <w:t>iii</w:t>
      </w:r>
    </w:p>
    <w:p>
      <w:pPr>
        <w:spacing w:after="80"/>
        <w:ind w:left="360"/>
      </w:pPr>
      <w:r>
        <w:t xml:space="preserve">2. </w:t>
      </w:r>
      <w:r>
        <w:rPr>
          <w:b w:val="0"/>
          <w:i w:val="0"/>
        </w:rPr>
        <w:t>iv</w:t>
      </w:r>
    </w:p>
    <w:p>
      <w:pPr>
        <w:spacing w:after="80"/>
        <w:ind w:left="360"/>
      </w:pPr>
      <w:r>
        <w:t xml:space="preserve">3. </w:t>
      </w:r>
      <w:r>
        <w:rPr>
          <w:b w:val="0"/>
          <w:i w:val="0"/>
        </w:rPr>
        <w:t>x</w:t>
      </w:r>
    </w:p>
    <w:p>
      <w:pPr>
        <w:spacing w:after="80"/>
        <w:ind w:left="360"/>
      </w:pPr>
      <w:r>
        <w:t xml:space="preserve">4. </w:t>
      </w:r>
      <w:r>
        <w:rPr>
          <w:b w:val="0"/>
          <w:i w:val="0"/>
        </w:rPr>
        <w:t>1</w:t>
      </w:r>
    </w:p>
    <w:p>
      <w:pPr>
        <w:spacing w:after="80"/>
        <w:ind w:left="360"/>
      </w:pPr>
      <w:r>
        <w:t xml:space="preserve">5. </w:t>
      </w:r>
      <w:r>
        <w:rPr>
          <w:b w:val="0"/>
          <w:i w:val="0"/>
        </w:rPr>
        <w:t>2</w:t>
      </w:r>
    </w:p>
    <w:p>
      <w:pPr>
        <w:spacing w:after="80"/>
        <w:ind w:left="360"/>
      </w:pPr>
      <w:r>
        <w:t xml:space="preserve">6. </w:t>
      </w:r>
      <w:r>
        <w:rPr>
          <w:b w:val="0"/>
          <w:i w:val="0"/>
        </w:rPr>
        <w:t>3</w:t>
      </w:r>
    </w:p>
    <w:p>
      <w:pPr>
        <w:spacing w:after="80"/>
        <w:ind w:left="360"/>
      </w:pPr>
      <w:r>
        <w:t xml:space="preserve">7. </w:t>
      </w:r>
      <w:r>
        <w:rPr>
          <w:b w:val="0"/>
          <w:i w:val="0"/>
        </w:rPr>
        <w:t>4</w:t>
      </w:r>
    </w:p>
    <w:p>
      <w:pPr>
        <w:spacing w:after="80"/>
        <w:ind w:left="360"/>
      </w:pPr>
      <w:r>
        <w:t xml:space="preserve">8. </w:t>
      </w:r>
      <w:r>
        <w:rPr>
          <w:b w:val="0"/>
          <w:i w:val="0"/>
        </w:rPr>
        <w:t>5</w:t>
      </w:r>
    </w:p>
    <w:p>
      <w:pPr>
        <w:spacing w:after="80"/>
        <w:ind w:left="360"/>
      </w:pPr>
      <w:r>
        <w:t xml:space="preserve">9. </w:t>
      </w:r>
      <w:r>
        <w:rPr>
          <w:b w:val="0"/>
          <w:i w:val="0"/>
        </w:rPr>
        <w:t>6</w:t>
      </w:r>
    </w:p>
    <w:p>
      <w:pPr>
        <w:spacing w:after="80"/>
        <w:ind w:left="360"/>
      </w:pPr>
      <w:r>
        <w:t xml:space="preserve">10. </w:t>
      </w:r>
      <w:r>
        <w:rPr>
          <w:b w:val="0"/>
          <w:i w:val="0"/>
        </w:rPr>
        <w:t>7</w:t>
      </w:r>
    </w:p>
    <w:p>
      <w:pPr>
        <w:spacing w:after="80"/>
        <w:ind w:left="360"/>
      </w:pPr>
      <w:r>
        <w:t xml:space="preserve">11. </w:t>
      </w:r>
      <w:r>
        <w:rPr>
          <w:b w:val="0"/>
          <w:i w:val="0"/>
        </w:rPr>
        <w:t>8</w:t>
      </w:r>
    </w:p>
    <w:p>
      <w:pPr>
        <w:spacing w:after="80"/>
        <w:ind w:left="360"/>
      </w:pPr>
      <w:r>
        <w:t xml:space="preserve">12. </w:t>
      </w:r>
      <w:r>
        <w:rPr>
          <w:b w:val="0"/>
          <w:i w:val="0"/>
        </w:rPr>
        <w:t>9</w:t>
      </w:r>
    </w:p>
    <w:p>
      <w:pPr>
        <w:spacing w:after="80"/>
        <w:ind w:left="360"/>
      </w:pPr>
      <w:r>
        <w:t xml:space="preserve">13. </w:t>
      </w:r>
      <w:r>
        <w:rPr>
          <w:b w:val="0"/>
          <w:i w:val="0"/>
        </w:rPr>
        <w:t>10</w:t>
      </w:r>
    </w:p>
    <w:p>
      <w:pPr>
        <w:spacing w:after="80"/>
        <w:ind w:left="360"/>
      </w:pPr>
      <w:r>
        <w:t xml:space="preserve">14. </w:t>
      </w:r>
      <w:r>
        <w:rPr>
          <w:b w:val="0"/>
          <w:i w:val="0"/>
        </w:rPr>
        <w:t>11</w:t>
      </w:r>
    </w:p>
    <w:p>
      <w:pPr>
        <w:spacing w:after="80"/>
        <w:ind w:left="360"/>
      </w:pPr>
      <w:r>
        <w:t xml:space="preserve">15. </w:t>
      </w:r>
      <w:r>
        <w:rPr>
          <w:b w:val="0"/>
          <w:i w:val="0"/>
        </w:rPr>
        <w:t>12</w:t>
      </w:r>
    </w:p>
    <w:p>
      <w:pPr>
        <w:spacing w:after="80"/>
        <w:ind w:left="360"/>
      </w:pPr>
      <w:r>
        <w:t xml:space="preserve">16. </w:t>
      </w:r>
      <w:r>
        <w:rPr>
          <w:b w:val="0"/>
          <w:i w:val="0"/>
        </w:rPr>
        <w:t>13</w:t>
      </w:r>
    </w:p>
    <w:p>
      <w:pPr>
        <w:spacing w:after="80"/>
        <w:ind w:left="360"/>
      </w:pPr>
      <w:r>
        <w:t xml:space="preserve">17. </w:t>
      </w:r>
      <w:r>
        <w:rPr>
          <w:b w:val="0"/>
          <w:i w:val="0"/>
        </w:rPr>
        <w:t>14</w:t>
      </w:r>
    </w:p>
    <w:p>
      <w:pPr>
        <w:spacing w:after="80"/>
        <w:ind w:left="360"/>
      </w:pPr>
      <w:r>
        <w:t xml:space="preserve">18. </w:t>
      </w:r>
      <w:r>
        <w:rPr>
          <w:b w:val="0"/>
          <w:i w:val="0"/>
        </w:rPr>
        <w:t>15</w:t>
      </w:r>
    </w:p>
    <w:p>
      <w:pPr>
        <w:spacing w:after="80"/>
        <w:ind w:left="360"/>
      </w:pPr>
      <w:r>
        <w:t xml:space="preserve">19. </w:t>
      </w:r>
      <w:r>
        <w:rPr>
          <w:b w:val="0"/>
          <w:i w:val="0"/>
        </w:rPr>
        <w:t>16</w:t>
      </w:r>
    </w:p>
    <w:p>
      <w:pPr>
        <w:spacing w:after="80"/>
        <w:ind w:left="360"/>
      </w:pPr>
      <w:r>
        <w:t xml:space="preserve">20. </w:t>
      </w:r>
      <w:r>
        <w:rPr>
          <w:b w:val="0"/>
          <w:i w:val="0"/>
        </w:rPr>
        <w:t>17</w:t>
      </w:r>
    </w:p>
    <w:p>
      <w:pPr>
        <w:spacing w:after="80"/>
        <w:ind w:left="360"/>
      </w:pPr>
      <w:r>
        <w:t xml:space="preserve">21. </w:t>
      </w:r>
      <w:r>
        <w:rPr>
          <w:b w:val="0"/>
          <w:i w:val="0"/>
        </w:rPr>
        <w:t>18</w:t>
      </w:r>
    </w:p>
    <w:p>
      <w:pPr>
        <w:spacing w:after="80"/>
        <w:ind w:left="360"/>
      </w:pPr>
      <w:r>
        <w:t xml:space="preserve">22. </w:t>
      </w:r>
      <w:r>
        <w:rPr>
          <w:b w:val="0"/>
          <w:i w:val="0"/>
        </w:rPr>
        <w:t>19</w:t>
      </w:r>
    </w:p>
    <w:p>
      <w:pPr>
        <w:spacing w:after="80"/>
        <w:ind w:left="360"/>
      </w:pPr>
      <w:r>
        <w:t xml:space="preserve">23. </w:t>
      </w:r>
      <w:r>
        <w:rPr>
          <w:b w:val="0"/>
          <w:i w:val="0"/>
        </w:rPr>
        <w:t>20</w:t>
      </w:r>
    </w:p>
    <w:p>
      <w:pPr>
        <w:spacing w:after="80"/>
        <w:ind w:left="360"/>
      </w:pPr>
      <w:r>
        <w:t xml:space="preserve">24. </w:t>
      </w:r>
      <w:r>
        <w:rPr>
          <w:b w:val="0"/>
          <w:i w:val="0"/>
        </w:rPr>
        <w:t>21</w:t>
      </w:r>
    </w:p>
    <w:p>
      <w:pPr>
        <w:spacing w:after="80"/>
        <w:ind w:left="360"/>
      </w:pPr>
      <w:r>
        <w:t xml:space="preserve">25. </w:t>
      </w:r>
      <w:r>
        <w:rPr>
          <w:b w:val="0"/>
          <w:i w:val="0"/>
        </w:rPr>
        <w:t>22</w:t>
      </w:r>
    </w:p>
    <w:p>
      <w:pPr>
        <w:spacing w:after="80"/>
        <w:ind w:left="360"/>
      </w:pPr>
      <w:r>
        <w:t xml:space="preserve">26. </w:t>
      </w:r>
      <w:r>
        <w:rPr>
          <w:b w:val="0"/>
          <w:i w:val="0"/>
        </w:rPr>
        <w:t>23</w:t>
      </w:r>
    </w:p>
    <w:p>
      <w:pPr>
        <w:spacing w:after="80"/>
        <w:ind w:left="360"/>
      </w:pPr>
      <w:r>
        <w:t xml:space="preserve">27. </w:t>
      </w:r>
      <w:r>
        <w:rPr>
          <w:b w:val="0"/>
          <w:i w:val="0"/>
        </w:rPr>
        <w:t>24</w:t>
      </w:r>
    </w:p>
    <w:p>
      <w:pPr>
        <w:spacing w:after="80"/>
        <w:ind w:left="360"/>
      </w:pPr>
      <w:r>
        <w:t xml:space="preserve">28. </w:t>
      </w:r>
      <w:r>
        <w:rPr>
          <w:b w:val="0"/>
          <w:i w:val="0"/>
        </w:rPr>
        <w:t>25</w:t>
      </w:r>
    </w:p>
    <w:p>
      <w:pPr>
        <w:spacing w:after="80"/>
        <w:ind w:left="360"/>
      </w:pPr>
      <w:r>
        <w:t xml:space="preserve">29. </w:t>
      </w:r>
      <w:r>
        <w:rPr>
          <w:b w:val="0"/>
          <w:i w:val="0"/>
        </w:rPr>
        <w:t>26</w:t>
      </w:r>
    </w:p>
    <w:p>
      <w:pPr>
        <w:spacing w:after="80"/>
        <w:ind w:left="360"/>
      </w:pPr>
      <w:r>
        <w:t xml:space="preserve">30. </w:t>
      </w:r>
      <w:r>
        <w:rPr>
          <w:b w:val="0"/>
          <w:i w:val="0"/>
        </w:rPr>
        <w:t>27</w:t>
      </w:r>
    </w:p>
    <w:p>
      <w:pPr>
        <w:spacing w:after="80"/>
        <w:ind w:left="360"/>
      </w:pPr>
      <w:r>
        <w:t xml:space="preserve">31. </w:t>
      </w:r>
      <w:r>
        <w:rPr>
          <w:b w:val="0"/>
          <w:i w:val="0"/>
        </w:rPr>
        <w:t>28</w:t>
      </w:r>
    </w:p>
    <w:p>
      <w:pPr>
        <w:spacing w:after="80"/>
        <w:ind w:left="360"/>
      </w:pPr>
      <w:r>
        <w:t xml:space="preserve">32. </w:t>
      </w:r>
      <w:r>
        <w:rPr>
          <w:b w:val="0"/>
          <w:i w:val="0"/>
        </w:rPr>
        <w:t>29</w:t>
      </w:r>
    </w:p>
    <w:p>
      <w:pPr>
        <w:spacing w:after="80"/>
        <w:ind w:left="360"/>
      </w:pPr>
      <w:r>
        <w:t xml:space="preserve">33. </w:t>
      </w:r>
      <w:r>
        <w:rPr>
          <w:b w:val="0"/>
          <w:i w:val="0"/>
        </w:rPr>
        <w:t>30</w:t>
      </w:r>
    </w:p>
    <w:p>
      <w:pPr>
        <w:spacing w:after="80"/>
        <w:ind w:left="360"/>
      </w:pPr>
      <w:r>
        <w:t xml:space="preserve">34. </w:t>
      </w:r>
      <w:r>
        <w:rPr>
          <w:b w:val="0"/>
          <w:i w:val="0"/>
        </w:rPr>
        <w:t>31</w:t>
      </w:r>
    </w:p>
    <w:p>
      <w:pPr>
        <w:spacing w:after="80"/>
        <w:ind w:left="360"/>
      </w:pPr>
      <w:r>
        <w:t xml:space="preserve">35. </w:t>
      </w:r>
      <w:r>
        <w:rPr>
          <w:b w:val="0"/>
          <w:i w:val="0"/>
        </w:rPr>
        <w:t>32</w:t>
      </w:r>
    </w:p>
    <w:p>
      <w:pPr>
        <w:spacing w:after="80"/>
        <w:ind w:left="360"/>
      </w:pPr>
      <w:r>
        <w:t xml:space="preserve">36. </w:t>
      </w:r>
      <w:r>
        <w:rPr>
          <w:b w:val="0"/>
          <w:i w:val="0"/>
        </w:rPr>
        <w:t>33</w:t>
      </w:r>
    </w:p>
    <w:p>
      <w:pPr>
        <w:spacing w:after="80"/>
        <w:ind w:left="360"/>
      </w:pPr>
      <w:r>
        <w:t xml:space="preserve">37. </w:t>
      </w:r>
      <w:r>
        <w:rPr>
          <w:b w:val="0"/>
          <w:i w:val="0"/>
        </w:rPr>
        <w:t>34</w:t>
      </w:r>
    </w:p>
    <w:p>
      <w:pPr>
        <w:spacing w:after="80"/>
        <w:ind w:left="360"/>
      </w:pPr>
      <w:r>
        <w:t xml:space="preserve">38. </w:t>
      </w:r>
      <w:r>
        <w:rPr>
          <w:b w:val="0"/>
          <w:i w:val="0"/>
        </w:rPr>
        <w:t>35</w:t>
      </w:r>
    </w:p>
    <w:p>
      <w:pPr>
        <w:spacing w:after="80"/>
        <w:ind w:left="360"/>
      </w:pPr>
      <w:r>
        <w:t xml:space="preserve">39. </w:t>
      </w:r>
      <w:r>
        <w:rPr>
          <w:b w:val="0"/>
          <w:i w:val="0"/>
        </w:rPr>
        <w:t>36</w:t>
      </w:r>
    </w:p>
    <w:p>
      <w:pPr>
        <w:spacing w:after="80"/>
        <w:ind w:left="360"/>
      </w:pPr>
      <w:r>
        <w:t xml:space="preserve">40. </w:t>
      </w:r>
      <w:r>
        <w:rPr>
          <w:b w:val="0"/>
          <w:i w:val="0"/>
        </w:rPr>
        <w:t>37</w:t>
      </w:r>
    </w:p>
    <w:p>
      <w:pPr>
        <w:spacing w:after="80"/>
        <w:ind w:left="360"/>
      </w:pPr>
      <w:r>
        <w:t xml:space="preserve">41. </w:t>
      </w:r>
      <w:r>
        <w:rPr>
          <w:b w:val="0"/>
          <w:i w:val="0"/>
        </w:rPr>
        <w:t>38</w:t>
      </w:r>
    </w:p>
    <w:p>
      <w:pPr>
        <w:spacing w:after="80"/>
        <w:ind w:left="360"/>
      </w:pPr>
      <w:r>
        <w:t xml:space="preserve">42. </w:t>
      </w:r>
      <w:r>
        <w:rPr>
          <w:b w:val="0"/>
          <w:i w:val="0"/>
        </w:rPr>
        <w:t>39</w:t>
      </w:r>
    </w:p>
    <w:p>
      <w:pPr>
        <w:spacing w:after="80"/>
        <w:ind w:left="360"/>
      </w:pPr>
      <w:r>
        <w:t xml:space="preserve">43. </w:t>
      </w:r>
      <w:r>
        <w:rPr>
          <w:b w:val="0"/>
          <w:i w:val="0"/>
        </w:rPr>
        <w:t>40</w:t>
      </w:r>
    </w:p>
    <w:p>
      <w:pPr>
        <w:spacing w:after="80"/>
        <w:ind w:left="360"/>
      </w:pPr>
      <w:r>
        <w:t xml:space="preserve">44. </w:t>
      </w:r>
      <w:r>
        <w:rPr>
          <w:b w:val="0"/>
          <w:i w:val="0"/>
        </w:rPr>
        <w:t>41</w:t>
      </w:r>
    </w:p>
    <w:p>
      <w:pPr>
        <w:spacing w:after="80"/>
        <w:ind w:left="360"/>
      </w:pPr>
      <w:r>
        <w:t xml:space="preserve">45. </w:t>
      </w:r>
      <w:r>
        <w:rPr>
          <w:b w:val="0"/>
          <w:i w:val="0"/>
        </w:rPr>
        <w:t>42</w:t>
      </w:r>
    </w:p>
    <w:p>
      <w:pPr>
        <w:spacing w:after="80"/>
        <w:ind w:left="360"/>
      </w:pPr>
      <w:r>
        <w:t xml:space="preserve">46. </w:t>
      </w:r>
      <w:r>
        <w:rPr>
          <w:b w:val="0"/>
          <w:i w:val="0"/>
        </w:rPr>
        <w:t>43</w:t>
      </w:r>
    </w:p>
    <w:p>
      <w:pPr>
        <w:spacing w:after="80"/>
        <w:ind w:left="360"/>
      </w:pPr>
      <w:r>
        <w:t xml:space="preserve">47. </w:t>
      </w:r>
      <w:r>
        <w:rPr>
          <w:b w:val="0"/>
          <w:i w:val="0"/>
        </w:rPr>
        <w:t>44</w:t>
      </w:r>
    </w:p>
    <w:p>
      <w:pPr>
        <w:spacing w:after="80"/>
        <w:ind w:left="360"/>
      </w:pPr>
      <w:r>
        <w:t xml:space="preserve">48. </w:t>
      </w:r>
      <w:r>
        <w:rPr>
          <w:b w:val="0"/>
          <w:i w:val="0"/>
        </w:rPr>
        <w:t>45</w:t>
      </w:r>
    </w:p>
    <w:p>
      <w:pPr>
        <w:spacing w:after="80"/>
        <w:ind w:left="360"/>
      </w:pPr>
      <w:r>
        <w:t xml:space="preserve">49. </w:t>
      </w:r>
      <w:r>
        <w:rPr>
          <w:b w:val="0"/>
          <w:i w:val="0"/>
        </w:rPr>
        <w:t>46</w:t>
      </w:r>
    </w:p>
    <w:p>
      <w:pPr>
        <w:spacing w:after="80"/>
        <w:ind w:left="360"/>
      </w:pPr>
      <w:r>
        <w:t xml:space="preserve">50. </w:t>
      </w:r>
      <w:r>
        <w:rPr>
          <w:b w:val="0"/>
          <w:i w:val="0"/>
        </w:rPr>
        <w:t>48</w:t>
      </w:r>
    </w:p>
    <w:p>
      <w:pPr>
        <w:spacing w:after="80"/>
        <w:ind w:left="360"/>
      </w:pPr>
      <w:r>
        <w:t xml:space="preserve">51. </w:t>
      </w:r>
      <w:r>
        <w:rPr>
          <w:b w:val="0"/>
          <w:i w:val="0"/>
        </w:rPr>
        <w:t>49</w:t>
      </w:r>
    </w:p>
    <w:p>
      <w:pPr>
        <w:spacing w:after="80"/>
        <w:ind w:left="360"/>
      </w:pPr>
      <w:r>
        <w:t xml:space="preserve">52. </w:t>
      </w:r>
      <w:r>
        <w:rPr>
          <w:b w:val="0"/>
          <w:i w:val="0"/>
        </w:rPr>
        <w:t>50</w:t>
      </w:r>
    </w:p>
    <w:p>
      <w:pPr>
        <w:spacing w:after="80"/>
        <w:ind w:left="360"/>
      </w:pPr>
      <w:r>
        <w:t xml:space="preserve">53. </w:t>
      </w:r>
      <w:r>
        <w:rPr>
          <w:b w:val="0"/>
          <w:i w:val="0"/>
        </w:rPr>
        <w:t>51</w:t>
      </w:r>
    </w:p>
    <w:p>
      <w:pPr>
        <w:spacing w:after="80"/>
        <w:ind w:left="360"/>
      </w:pPr>
      <w:r>
        <w:t xml:space="preserve">54. </w:t>
      </w:r>
      <w:r>
        <w:rPr>
          <w:b w:val="0"/>
          <w:i w:val="0"/>
        </w:rPr>
        <w:t>52</w:t>
      </w:r>
    </w:p>
    <w:p>
      <w:pPr>
        <w:spacing w:after="80"/>
        <w:ind w:left="360"/>
      </w:pPr>
      <w:r>
        <w:t xml:space="preserve">55. </w:t>
      </w:r>
      <w:r>
        <w:rPr>
          <w:b w:val="0"/>
          <w:i w:val="0"/>
        </w:rPr>
        <w:t>53</w:t>
      </w:r>
    </w:p>
    <w:p>
      <w:pPr>
        <w:spacing w:after="80"/>
        <w:ind w:left="360"/>
      </w:pPr>
      <w:r>
        <w:t xml:space="preserve">56. </w:t>
      </w:r>
      <w:r>
        <w:rPr>
          <w:b w:val="0"/>
          <w:i w:val="0"/>
        </w:rPr>
        <w:t>54</w:t>
      </w:r>
    </w:p>
    <w:p>
      <w:pPr>
        <w:spacing w:after="80"/>
        <w:ind w:left="360"/>
      </w:pPr>
      <w:r>
        <w:t xml:space="preserve">57. </w:t>
      </w:r>
      <w:r>
        <w:rPr>
          <w:b w:val="0"/>
          <w:i w:val="0"/>
        </w:rPr>
        <w:t>55</w:t>
      </w:r>
    </w:p>
    <w:p>
      <w:pPr>
        <w:spacing w:after="80"/>
        <w:ind w:left="360"/>
      </w:pPr>
      <w:r>
        <w:t xml:space="preserve">58. </w:t>
      </w:r>
      <w:r>
        <w:rPr>
          <w:b w:val="0"/>
          <w:i w:val="0"/>
        </w:rPr>
        <w:t>56</w:t>
      </w:r>
    </w:p>
    <w:p>
      <w:pPr>
        <w:spacing w:after="80"/>
        <w:ind w:left="360"/>
      </w:pPr>
      <w:r>
        <w:t xml:space="preserve">59. </w:t>
      </w:r>
      <w:r>
        <w:rPr>
          <w:b w:val="0"/>
          <w:i w:val="0"/>
        </w:rPr>
        <w:t>57</w:t>
      </w:r>
    </w:p>
    <w:p>
      <w:pPr>
        <w:spacing w:after="80"/>
        <w:ind w:left="360"/>
      </w:pPr>
      <w:r>
        <w:t xml:space="preserve">60. </w:t>
      </w:r>
      <w:r>
        <w:rPr>
          <w:b w:val="0"/>
          <w:i w:val="0"/>
        </w:rPr>
        <w:t>58</w:t>
      </w:r>
    </w:p>
    <w:p>
      <w:pPr>
        <w:spacing w:after="80"/>
        <w:ind w:left="360"/>
      </w:pPr>
      <w:r>
        <w:t xml:space="preserve">61. </w:t>
      </w:r>
      <w:r>
        <w:rPr>
          <w:b w:val="0"/>
          <w:i w:val="0"/>
        </w:rPr>
        <w:t>59</w:t>
      </w:r>
    </w:p>
    <w:p>
      <w:pPr>
        <w:spacing w:after="80"/>
        <w:ind w:left="360"/>
      </w:pPr>
      <w:r>
        <w:t xml:space="preserve">62. </w:t>
      </w:r>
      <w:r>
        <w:rPr>
          <w:b w:val="0"/>
          <w:i w:val="0"/>
        </w:rPr>
        <w:t>60</w:t>
      </w:r>
    </w:p>
    <w:p>
      <w:pPr>
        <w:spacing w:after="80"/>
        <w:ind w:left="360"/>
      </w:pPr>
      <w:r>
        <w:t xml:space="preserve">63. </w:t>
      </w:r>
      <w:r>
        <w:rPr>
          <w:b w:val="0"/>
          <w:i w:val="0"/>
        </w:rPr>
        <w:t>61</w:t>
      </w:r>
    </w:p>
    <w:p>
      <w:pPr>
        <w:spacing w:after="80"/>
        <w:ind w:left="360"/>
      </w:pPr>
      <w:r>
        <w:t xml:space="preserve">64. </w:t>
      </w:r>
      <w:r>
        <w:rPr>
          <w:b w:val="0"/>
          <w:i w:val="0"/>
        </w:rPr>
        <w:t>62</w:t>
      </w:r>
    </w:p>
    <w:p>
      <w:pPr>
        <w:spacing w:after="80"/>
        <w:ind w:left="360"/>
      </w:pPr>
      <w:r>
        <w:t xml:space="preserve">65. </w:t>
      </w:r>
      <w:r>
        <w:rPr>
          <w:b w:val="0"/>
          <w:i w:val="0"/>
        </w:rPr>
        <w:t>63</w:t>
      </w:r>
    </w:p>
    <w:p>
      <w:pPr>
        <w:spacing w:after="80"/>
        <w:ind w:left="360"/>
      </w:pPr>
      <w:r>
        <w:t xml:space="preserve">66. </w:t>
      </w:r>
      <w:r>
        <w:rPr>
          <w:b w:val="0"/>
          <w:i w:val="0"/>
        </w:rPr>
        <w:t>64</w:t>
      </w:r>
    </w:p>
    <w:p>
      <w:pPr>
        <w:spacing w:after="80"/>
        <w:ind w:left="360"/>
      </w:pPr>
      <w:r>
        <w:t xml:space="preserve">67. </w:t>
      </w:r>
      <w:r>
        <w:rPr>
          <w:b w:val="0"/>
          <w:i w:val="0"/>
        </w:rPr>
        <w:t>65</w:t>
      </w:r>
    </w:p>
    <w:p>
      <w:pPr>
        <w:spacing w:after="80"/>
        <w:ind w:left="360"/>
      </w:pPr>
      <w:r>
        <w:t xml:space="preserve">68. </w:t>
      </w:r>
      <w:r>
        <w:rPr>
          <w:b w:val="0"/>
          <w:i w:val="0"/>
        </w:rPr>
        <w:t>66</w:t>
      </w:r>
    </w:p>
    <w:p>
      <w:pPr>
        <w:spacing w:after="80"/>
        <w:ind w:left="360"/>
      </w:pPr>
      <w:r>
        <w:t xml:space="preserve">69. </w:t>
      </w:r>
      <w:r>
        <w:rPr>
          <w:b w:val="0"/>
          <w:i w:val="0"/>
        </w:rPr>
        <w:t>67</w:t>
      </w:r>
    </w:p>
    <w:p>
      <w:pPr>
        <w:spacing w:after="80"/>
        <w:ind w:left="360"/>
      </w:pPr>
      <w:r>
        <w:t xml:space="preserve">70. </w:t>
      </w:r>
      <w:r>
        <w:rPr>
          <w:b w:val="0"/>
          <w:i w:val="0"/>
        </w:rPr>
        <w:t>68</w:t>
      </w:r>
    </w:p>
    <w:p>
      <w:pPr>
        <w:spacing w:after="80"/>
        <w:ind w:left="360"/>
      </w:pPr>
      <w:r>
        <w:t xml:space="preserve">71. </w:t>
      </w:r>
      <w:r>
        <w:rPr>
          <w:b w:val="0"/>
          <w:i w:val="0"/>
        </w:rPr>
        <w:t>69</w:t>
      </w:r>
    </w:p>
    <w:p>
      <w:pPr>
        <w:spacing w:after="80"/>
        <w:ind w:left="360"/>
      </w:pPr>
      <w:r>
        <w:t xml:space="preserve">72. </w:t>
      </w:r>
      <w:r>
        <w:rPr>
          <w:b w:val="0"/>
          <w:i w:val="0"/>
        </w:rPr>
        <w:t>70</w:t>
      </w:r>
    </w:p>
    <w:p>
      <w:pPr>
        <w:spacing w:after="80"/>
        <w:ind w:left="360"/>
      </w:pPr>
      <w:r>
        <w:t xml:space="preserve">73. </w:t>
      </w:r>
      <w:r>
        <w:rPr>
          <w:b w:val="0"/>
          <w:i w:val="0"/>
        </w:rPr>
        <w:t>71</w:t>
      </w:r>
    </w:p>
    <w:p>
      <w:pPr>
        <w:spacing w:after="80"/>
        <w:ind w:left="360"/>
      </w:pPr>
      <w:r>
        <w:t xml:space="preserve">74. </w:t>
      </w:r>
      <w:r>
        <w:rPr>
          <w:b w:val="0"/>
          <w:i w:val="0"/>
        </w:rPr>
        <w:t>72</w:t>
      </w:r>
    </w:p>
    <w:p>
      <w:pPr>
        <w:spacing w:after="80"/>
        <w:ind w:left="360"/>
      </w:pPr>
      <w:r>
        <w:t xml:space="preserve">75. </w:t>
      </w:r>
      <w:r>
        <w:rPr>
          <w:b w:val="0"/>
          <w:i w:val="0"/>
        </w:rPr>
        <w:t>73</w:t>
      </w:r>
    </w:p>
    <w:p>
      <w:pPr>
        <w:spacing w:after="80"/>
        <w:ind w:left="360"/>
      </w:pPr>
      <w:r>
        <w:t xml:space="preserve">76. </w:t>
      </w:r>
      <w:r>
        <w:rPr>
          <w:b w:val="0"/>
          <w:i w:val="0"/>
        </w:rPr>
        <w:t>74</w:t>
      </w:r>
    </w:p>
    <w:p>
      <w:pPr>
        <w:spacing w:after="80"/>
        <w:ind w:left="360"/>
      </w:pPr>
      <w:r>
        <w:t xml:space="preserve">77. </w:t>
      </w:r>
      <w:r>
        <w:rPr>
          <w:b w:val="0"/>
          <w:i w:val="0"/>
        </w:rPr>
        <w:t>75</w:t>
      </w:r>
    </w:p>
    <w:p>
      <w:pPr>
        <w:spacing w:after="80"/>
        <w:ind w:left="360"/>
      </w:pPr>
      <w:r>
        <w:t xml:space="preserve">78. </w:t>
      </w:r>
      <w:r>
        <w:rPr>
          <w:b w:val="0"/>
          <w:i w:val="0"/>
        </w:rPr>
        <w:t>76</w:t>
      </w:r>
    </w:p>
    <w:p>
      <w:pPr>
        <w:spacing w:after="80"/>
        <w:ind w:left="360"/>
      </w:pPr>
      <w:r>
        <w:t xml:space="preserve">79. </w:t>
      </w:r>
      <w:r>
        <w:rPr>
          <w:b w:val="0"/>
          <w:i w:val="0"/>
        </w:rPr>
        <w:t>77</w:t>
      </w:r>
    </w:p>
    <w:p>
      <w:pPr>
        <w:spacing w:after="80"/>
        <w:ind w:left="360"/>
      </w:pPr>
      <w:r>
        <w:t xml:space="preserve">80. </w:t>
      </w:r>
      <w:r>
        <w:rPr>
          <w:b w:val="0"/>
          <w:i w:val="0"/>
        </w:rPr>
        <w:t>78</w:t>
      </w:r>
    </w:p>
    <w:p>
      <w:pPr>
        <w:spacing w:after="80"/>
        <w:ind w:left="360"/>
      </w:pPr>
      <w:r>
        <w:t xml:space="preserve">81. </w:t>
      </w:r>
      <w:r>
        <w:rPr>
          <w:b w:val="0"/>
          <w:i w:val="0"/>
        </w:rPr>
        <w:t>79</w:t>
      </w:r>
    </w:p>
    <w:p>
      <w:pPr>
        <w:spacing w:after="80"/>
        <w:ind w:left="360"/>
      </w:pPr>
      <w:r>
        <w:t xml:space="preserve">82. </w:t>
      </w:r>
      <w:r>
        <w:rPr>
          <w:b w:val="0"/>
          <w:i w:val="0"/>
        </w:rPr>
        <w:t>80</w:t>
      </w:r>
    </w:p>
    <w:p>
      <w:pPr>
        <w:spacing w:after="80"/>
        <w:ind w:left="360"/>
      </w:pPr>
      <w:r>
        <w:t xml:space="preserve">83. </w:t>
      </w:r>
      <w:r>
        <w:rPr>
          <w:b w:val="0"/>
          <w:i w:val="0"/>
        </w:rPr>
        <w:t>81</w:t>
      </w:r>
    </w:p>
    <w:p>
      <w:pPr>
        <w:spacing w:after="80"/>
        <w:ind w:left="360"/>
      </w:pPr>
      <w:r>
        <w:t xml:space="preserve">84. </w:t>
      </w:r>
      <w:r>
        <w:rPr>
          <w:b w:val="0"/>
          <w:i w:val="0"/>
        </w:rPr>
        <w:t>82</w:t>
      </w:r>
    </w:p>
    <w:p>
      <w:pPr>
        <w:spacing w:after="80"/>
        <w:ind w:left="360"/>
      </w:pPr>
      <w:r>
        <w:t xml:space="preserve">85. </w:t>
      </w:r>
      <w:r>
        <w:rPr>
          <w:b w:val="0"/>
          <w:i w:val="0"/>
        </w:rPr>
        <w:t>83</w:t>
      </w:r>
    </w:p>
    <w:p>
      <w:pPr>
        <w:spacing w:after="80"/>
        <w:ind w:left="360"/>
      </w:pPr>
      <w:r>
        <w:t xml:space="preserve">86. </w:t>
      </w:r>
      <w:r>
        <w:rPr>
          <w:b w:val="0"/>
          <w:i w:val="0"/>
        </w:rPr>
        <w:t>84</w:t>
      </w:r>
    </w:p>
    <w:p>
      <w:pPr>
        <w:spacing w:after="80"/>
        <w:ind w:left="360"/>
      </w:pPr>
      <w:r>
        <w:t xml:space="preserve">87. </w:t>
      </w:r>
      <w:r>
        <w:rPr>
          <w:b w:val="0"/>
          <w:i w:val="0"/>
        </w:rPr>
        <w:t>85</w:t>
      </w:r>
    </w:p>
    <w:p>
      <w:pPr>
        <w:spacing w:after="80"/>
        <w:ind w:left="360"/>
      </w:pPr>
      <w:r>
        <w:t xml:space="preserve">88. </w:t>
      </w:r>
      <w:r>
        <w:rPr>
          <w:b w:val="0"/>
          <w:i w:val="0"/>
        </w:rPr>
        <w:t>86</w:t>
      </w:r>
    </w:p>
    <w:p>
      <w:pPr>
        <w:spacing w:after="80"/>
        <w:ind w:left="360"/>
      </w:pPr>
      <w:r>
        <w:t xml:space="preserve">89. </w:t>
      </w:r>
      <w:r>
        <w:rPr>
          <w:b w:val="0"/>
          <w:i w:val="0"/>
        </w:rPr>
        <w:t>87</w:t>
      </w:r>
    </w:p>
    <w:p>
      <w:pPr>
        <w:spacing w:after="80"/>
        <w:ind w:left="360"/>
      </w:pPr>
      <w:r>
        <w:t xml:space="preserve">90. </w:t>
      </w:r>
      <w:r>
        <w:rPr>
          <w:b w:val="0"/>
          <w:i w:val="0"/>
        </w:rPr>
        <w:t>88</w:t>
      </w:r>
    </w:p>
    <w:p>
      <w:pPr>
        <w:spacing w:after="80"/>
        <w:ind w:left="360"/>
      </w:pPr>
      <w:r>
        <w:t xml:space="preserve">91. </w:t>
      </w:r>
      <w:r>
        <w:rPr>
          <w:b w:val="0"/>
          <w:i w:val="0"/>
        </w:rPr>
        <w:t>89</w:t>
      </w:r>
    </w:p>
    <w:p>
      <w:pPr>
        <w:spacing w:after="80"/>
        <w:ind w:left="360"/>
      </w:pPr>
      <w:r>
        <w:t xml:space="preserve">92. </w:t>
      </w:r>
      <w:r>
        <w:rPr>
          <w:b w:val="0"/>
          <w:i w:val="0"/>
        </w:rPr>
        <w:t>90</w:t>
      </w:r>
    </w:p>
    <w:p>
      <w:pPr>
        <w:spacing w:after="80"/>
        <w:ind w:left="360"/>
      </w:pPr>
      <w:r>
        <w:t xml:space="preserve">93. </w:t>
      </w:r>
      <w:r>
        <w:rPr>
          <w:b w:val="0"/>
          <w:i w:val="0"/>
        </w:rPr>
        <w:t>91</w:t>
      </w:r>
    </w:p>
    <w:p>
      <w:pPr>
        <w:spacing w:after="80"/>
        <w:ind w:left="360"/>
      </w:pPr>
      <w:r>
        <w:t xml:space="preserve">94. </w:t>
      </w:r>
      <w:r>
        <w:rPr>
          <w:b w:val="0"/>
          <w:i w:val="0"/>
        </w:rPr>
        <w:t>92</w:t>
      </w:r>
    </w:p>
    <w:p>
      <w:pPr>
        <w:spacing w:after="80"/>
        <w:ind w:left="360"/>
      </w:pPr>
      <w:r>
        <w:t xml:space="preserve">95. </w:t>
      </w:r>
      <w:r>
        <w:rPr>
          <w:b w:val="0"/>
          <w:i w:val="0"/>
        </w:rPr>
        <w:t>93</w:t>
      </w:r>
    </w:p>
    <w:p>
      <w:pPr>
        <w:spacing w:after="80"/>
        <w:ind w:left="360"/>
      </w:pPr>
      <w:r>
        <w:t xml:space="preserve">96. </w:t>
      </w:r>
      <w:r>
        <w:rPr>
          <w:b w:val="0"/>
          <w:i w:val="0"/>
        </w:rPr>
        <w:t>94</w:t>
      </w:r>
    </w:p>
    <w:p>
      <w:pPr>
        <w:spacing w:after="80"/>
        <w:ind w:left="360"/>
      </w:pPr>
      <w:r>
        <w:t xml:space="preserve">97. </w:t>
      </w:r>
      <w:r>
        <w:rPr>
          <w:b w:val="0"/>
          <w:i w:val="0"/>
        </w:rPr>
        <w:t>95</w:t>
      </w:r>
    </w:p>
    <w:p>
      <w:pPr>
        <w:spacing w:after="80"/>
        <w:ind w:left="360"/>
      </w:pPr>
      <w:r>
        <w:t xml:space="preserve">98. </w:t>
      </w:r>
      <w:r>
        <w:rPr>
          <w:b w:val="0"/>
          <w:i w:val="0"/>
        </w:rPr>
        <w:t>96</w:t>
      </w:r>
    </w:p>
    <w:p>
      <w:pPr>
        <w:spacing w:after="80"/>
        <w:ind w:left="360"/>
      </w:pPr>
      <w:r>
        <w:t xml:space="preserve">99. </w:t>
      </w:r>
      <w:r>
        <w:rPr>
          <w:b w:val="0"/>
          <w:i w:val="0"/>
        </w:rPr>
        <w:t>97</w:t>
      </w:r>
    </w:p>
    <w:p>
      <w:pPr>
        <w:spacing w:after="80"/>
        <w:ind w:left="360"/>
      </w:pPr>
      <w:r>
        <w:t xml:space="preserve">100. </w:t>
      </w:r>
      <w:r>
        <w:rPr>
          <w:b w:val="0"/>
          <w:i w:val="0"/>
        </w:rPr>
        <w:t>98</w:t>
      </w:r>
    </w:p>
    <w:p>
      <w:pPr>
        <w:spacing w:after="80"/>
        <w:ind w:left="360"/>
      </w:pPr>
      <w:r>
        <w:t xml:space="preserve">101. </w:t>
      </w:r>
      <w:r>
        <w:rPr>
          <w:b w:val="0"/>
          <w:i w:val="0"/>
        </w:rPr>
        <w:t>99</w:t>
      </w:r>
    </w:p>
    <w:p>
      <w:pPr>
        <w:spacing w:after="80"/>
        <w:ind w:left="360"/>
      </w:pPr>
      <w:r>
        <w:t xml:space="preserve">102. </w:t>
      </w:r>
      <w:r>
        <w:rPr>
          <w:b w:val="0"/>
          <w:i w:val="0"/>
        </w:rPr>
        <w:t>100</w:t>
      </w:r>
    </w:p>
    <w:p>
      <w:pPr>
        <w:spacing w:after="80"/>
        <w:ind w:left="360"/>
      </w:pPr>
      <w:r>
        <w:t xml:space="preserve">103. </w:t>
      </w:r>
      <w:r>
        <w:rPr>
          <w:b w:val="0"/>
          <w:i w:val="0"/>
        </w:rPr>
        <w:t>101</w:t>
      </w:r>
    </w:p>
    <w:p>
      <w:pPr>
        <w:spacing w:after="80"/>
        <w:ind w:left="360"/>
      </w:pPr>
      <w:r>
        <w:t xml:space="preserve">104. </w:t>
      </w:r>
      <w:r>
        <w:rPr>
          <w:b w:val="0"/>
          <w:i w:val="0"/>
        </w:rPr>
        <w:t>102</w:t>
      </w:r>
    </w:p>
    <w:p>
      <w:pPr>
        <w:spacing w:after="80"/>
        <w:ind w:left="360"/>
      </w:pPr>
      <w:r>
        <w:t xml:space="preserve">105. </w:t>
      </w:r>
      <w:r>
        <w:rPr>
          <w:b w:val="0"/>
          <w:i w:val="0"/>
        </w:rPr>
        <w:t>103</w:t>
      </w:r>
    </w:p>
    <w:p>
      <w:pPr>
        <w:spacing w:after="80"/>
        <w:ind w:left="360"/>
      </w:pPr>
      <w:r>
        <w:t xml:space="preserve">106. </w:t>
      </w:r>
      <w:r>
        <w:rPr>
          <w:b w:val="0"/>
          <w:i w:val="0"/>
        </w:rPr>
        <w:t>104</w:t>
      </w:r>
    </w:p>
    <w:p>
      <w:pPr>
        <w:spacing w:after="80"/>
        <w:ind w:left="360"/>
      </w:pPr>
      <w:r>
        <w:t xml:space="preserve">107. </w:t>
      </w:r>
      <w:r>
        <w:rPr>
          <w:b w:val="0"/>
          <w:i w:val="0"/>
        </w:rPr>
        <w:t>105</w:t>
      </w:r>
    </w:p>
    <w:p>
      <w:pPr>
        <w:spacing w:after="80"/>
        <w:ind w:left="360"/>
      </w:pPr>
      <w:r>
        <w:t xml:space="preserve">108. </w:t>
      </w:r>
      <w:r>
        <w:rPr>
          <w:b w:val="0"/>
          <w:i w:val="0"/>
        </w:rPr>
        <w:t>106</w:t>
      </w:r>
    </w:p>
    <w:p>
      <w:pPr>
        <w:spacing w:after="80"/>
        <w:ind w:left="360"/>
      </w:pPr>
      <w:r>
        <w:t xml:space="preserve">109. </w:t>
      </w:r>
      <w:r>
        <w:rPr>
          <w:b w:val="0"/>
          <w:i w:val="0"/>
        </w:rPr>
        <w:t>107</w:t>
      </w:r>
    </w:p>
    <w:p>
      <w:pPr>
        <w:spacing w:after="80"/>
        <w:ind w:left="360"/>
      </w:pPr>
      <w:r>
        <w:t xml:space="preserve">110. </w:t>
      </w:r>
      <w:r>
        <w:rPr>
          <w:b w:val="0"/>
          <w:i w:val="0"/>
        </w:rPr>
        <w:t>108</w:t>
      </w:r>
    </w:p>
    <w:p>
      <w:pPr>
        <w:spacing w:after="80"/>
        <w:ind w:left="360"/>
      </w:pPr>
      <w:r>
        <w:t xml:space="preserve">111. </w:t>
      </w:r>
      <w:r>
        <w:rPr>
          <w:b w:val="0"/>
          <w:i w:val="0"/>
        </w:rPr>
        <w:t>109</w:t>
      </w:r>
    </w:p>
    <w:p>
      <w:pPr>
        <w:spacing w:after="80"/>
        <w:ind w:left="360"/>
      </w:pPr>
      <w:r>
        <w:t xml:space="preserve">112. </w:t>
      </w:r>
      <w:r>
        <w:rPr>
          <w:b w:val="0"/>
          <w:i w:val="0"/>
        </w:rPr>
        <w:t>110</w:t>
      </w:r>
    </w:p>
    <w:p>
      <w:pPr>
        <w:spacing w:after="80"/>
        <w:ind w:left="360"/>
      </w:pPr>
      <w:r>
        <w:t xml:space="preserve">113. </w:t>
      </w:r>
      <w:r>
        <w:rPr>
          <w:b w:val="0"/>
          <w:i w:val="0"/>
        </w:rPr>
        <w:t>111</w:t>
      </w:r>
    </w:p>
    <w:p>
      <w:pPr>
        <w:spacing w:after="80"/>
        <w:ind w:left="360"/>
      </w:pPr>
      <w:r>
        <w:t xml:space="preserve">114. </w:t>
      </w:r>
      <w:r>
        <w:rPr>
          <w:b w:val="0"/>
          <w:i w:val="0"/>
        </w:rPr>
        <w:t>112</w:t>
      </w:r>
    </w:p>
    <w:p>
      <w:pPr>
        <w:spacing w:after="80"/>
        <w:ind w:left="360"/>
      </w:pPr>
      <w:r>
        <w:t xml:space="preserve">115. </w:t>
      </w:r>
      <w:r>
        <w:rPr>
          <w:b w:val="0"/>
          <w:i w:val="0"/>
        </w:rPr>
        <w:t>113</w:t>
      </w:r>
    </w:p>
    <w:p>
      <w:pPr>
        <w:spacing w:after="80"/>
        <w:ind w:left="360"/>
      </w:pPr>
      <w:r>
        <w:t xml:space="preserve">116. </w:t>
      </w:r>
      <w:r>
        <w:rPr>
          <w:b w:val="0"/>
          <w:i w:val="0"/>
        </w:rPr>
        <w:t>114</w:t>
      </w:r>
    </w:p>
    <w:p>
      <w:pPr>
        <w:spacing w:after="80"/>
        <w:ind w:left="360"/>
      </w:pPr>
      <w:r>
        <w:t xml:space="preserve">117. </w:t>
      </w:r>
      <w:r>
        <w:rPr>
          <w:b w:val="0"/>
          <w:i w:val="0"/>
        </w:rPr>
        <w:t>115</w:t>
      </w:r>
    </w:p>
    <w:p>
      <w:pPr>
        <w:spacing w:after="80"/>
        <w:ind w:left="360"/>
      </w:pPr>
      <w:r>
        <w:t xml:space="preserve">118. </w:t>
      </w:r>
      <w:r>
        <w:rPr>
          <w:b w:val="0"/>
          <w:i w:val="0"/>
        </w:rPr>
        <w:t>116</w:t>
      </w:r>
    </w:p>
    <w:p>
      <w:pPr>
        <w:spacing w:after="80"/>
        <w:ind w:left="360"/>
      </w:pPr>
      <w:r>
        <w:t xml:space="preserve">119. </w:t>
      </w:r>
      <w:r>
        <w:rPr>
          <w:b w:val="0"/>
          <w:i w:val="0"/>
        </w:rPr>
        <w:t>117</w:t>
      </w:r>
    </w:p>
    <w:p>
      <w:pPr>
        <w:spacing w:after="80"/>
        <w:ind w:left="360"/>
      </w:pPr>
      <w:r>
        <w:t xml:space="preserve">120. </w:t>
      </w:r>
      <w:r>
        <w:rPr>
          <w:b w:val="0"/>
          <w:i w:val="0"/>
        </w:rPr>
        <w:t>118</w:t>
      </w:r>
    </w:p>
    <w:p>
      <w:pPr>
        <w:spacing w:after="80"/>
        <w:ind w:left="360"/>
      </w:pPr>
      <w:r>
        <w:t xml:space="preserve">121. </w:t>
      </w:r>
      <w:r>
        <w:rPr>
          <w:b w:val="0"/>
          <w:i w:val="0"/>
        </w:rPr>
        <w:t>120</w:t>
      </w:r>
    </w:p>
    <w:p>
      <w:pPr>
        <w:spacing w:after="80"/>
        <w:ind w:left="360"/>
      </w:pPr>
      <w:r>
        <w:t xml:space="preserve">122. </w:t>
      </w:r>
      <w:r>
        <w:rPr>
          <w:b w:val="0"/>
          <w:i w:val="0"/>
        </w:rPr>
        <w:t>121</w:t>
      </w:r>
    </w:p>
    <w:p>
      <w:pPr>
        <w:spacing w:after="80"/>
        <w:ind w:left="360"/>
      </w:pPr>
      <w:r>
        <w:t xml:space="preserve">123. </w:t>
      </w:r>
      <w:r>
        <w:rPr>
          <w:b w:val="0"/>
          <w:i w:val="0"/>
        </w:rPr>
        <w:t>122</w:t>
      </w:r>
    </w:p>
    <w:p>
      <w:pPr>
        <w:spacing w:after="80"/>
        <w:ind w:left="360"/>
      </w:pPr>
      <w:r>
        <w:t xml:space="preserve">124. </w:t>
      </w:r>
      <w:r>
        <w:rPr>
          <w:b w:val="0"/>
          <w:i w:val="0"/>
        </w:rPr>
        <w:t>123</w:t>
      </w:r>
    </w:p>
    <w:p>
      <w:pPr>
        <w:spacing w:after="80"/>
        <w:ind w:left="360"/>
      </w:pPr>
      <w:r>
        <w:t xml:space="preserve">125. </w:t>
      </w:r>
      <w:r>
        <w:rPr>
          <w:b w:val="0"/>
          <w:i w:val="0"/>
        </w:rPr>
        <w:t>124</w:t>
      </w:r>
    </w:p>
    <w:p>
      <w:pPr>
        <w:spacing w:after="80"/>
        <w:ind w:left="360"/>
      </w:pPr>
      <w:r>
        <w:t xml:space="preserve">126. </w:t>
      </w:r>
      <w:r>
        <w:rPr>
          <w:b w:val="0"/>
          <w:i w:val="0"/>
        </w:rPr>
        <w:t>125</w:t>
      </w:r>
    </w:p>
    <w:p>
      <w:pPr>
        <w:spacing w:after="80"/>
        <w:ind w:left="360"/>
      </w:pPr>
      <w:r>
        <w:t xml:space="preserve">127. </w:t>
      </w:r>
      <w:r>
        <w:rPr>
          <w:b w:val="0"/>
          <w:i w:val="0"/>
        </w:rPr>
        <w:t>126</w:t>
      </w:r>
    </w:p>
    <w:p>
      <w:pPr>
        <w:spacing w:after="80"/>
        <w:ind w:left="360"/>
      </w:pPr>
      <w:r>
        <w:t xml:space="preserve">128. </w:t>
      </w:r>
      <w:r>
        <w:rPr>
          <w:b w:val="0"/>
          <w:i w:val="0"/>
        </w:rPr>
        <w:t>127</w:t>
      </w:r>
    </w:p>
    <w:p>
      <w:pPr>
        <w:spacing w:after="80"/>
        <w:ind w:left="360"/>
      </w:pPr>
      <w:r>
        <w:t xml:space="preserve">129. </w:t>
      </w:r>
      <w:r>
        <w:rPr>
          <w:b w:val="0"/>
          <w:i w:val="0"/>
        </w:rPr>
        <w:t>128</w:t>
      </w:r>
    </w:p>
    <w:p>
      <w:pPr>
        <w:spacing w:after="80"/>
        <w:ind w:left="360"/>
      </w:pPr>
      <w:r>
        <w:t xml:space="preserve">130. </w:t>
      </w:r>
      <w:r>
        <w:rPr>
          <w:b w:val="0"/>
          <w:i w:val="0"/>
        </w:rPr>
        <w:t>130</w:t>
      </w:r>
    </w:p>
    <w:p>
      <w:pPr>
        <w:spacing w:after="80"/>
        <w:ind w:left="360"/>
      </w:pPr>
      <w:r>
        <w:t xml:space="preserve">131. </w:t>
      </w:r>
      <w:r>
        <w:rPr>
          <w:b w:val="0"/>
          <w:i w:val="0"/>
        </w:rPr>
        <w:t>131</w:t>
      </w:r>
    </w:p>
    <w:p>
      <w:pPr>
        <w:spacing w:after="80"/>
        <w:ind w:left="360"/>
      </w:pPr>
      <w:r>
        <w:t xml:space="preserve">132. </w:t>
      </w:r>
      <w:r>
        <w:rPr>
          <w:b w:val="0"/>
          <w:i w:val="0"/>
        </w:rPr>
        <w:t>132</w:t>
      </w:r>
    </w:p>
    <w:p>
      <w:pPr>
        <w:spacing w:after="80"/>
        <w:ind w:left="360"/>
      </w:pPr>
      <w:r>
        <w:t xml:space="preserve">133. </w:t>
      </w:r>
      <w:r>
        <w:rPr>
          <w:b w:val="0"/>
          <w:i w:val="0"/>
        </w:rPr>
        <w:t>133</w:t>
      </w:r>
    </w:p>
    <w:p>
      <w:pPr>
        <w:spacing w:after="80"/>
        <w:ind w:left="360"/>
      </w:pPr>
      <w:r>
        <w:t xml:space="preserve">134. </w:t>
      </w:r>
      <w:r>
        <w:rPr>
          <w:b w:val="0"/>
          <w:i w:val="0"/>
        </w:rPr>
        <w:t>134</w:t>
      </w:r>
    </w:p>
    <w:p>
      <w:pPr>
        <w:spacing w:after="80"/>
        <w:ind w:left="360"/>
      </w:pPr>
      <w:r>
        <w:t xml:space="preserve">135. </w:t>
      </w:r>
      <w:r>
        <w:rPr>
          <w:b w:val="0"/>
          <w:i w:val="0"/>
        </w:rPr>
        <w:t>135</w:t>
      </w:r>
    </w:p>
    <w:p>
      <w:pPr>
        <w:spacing w:after="80"/>
        <w:ind w:left="360"/>
      </w:pPr>
      <w:r>
        <w:t xml:space="preserve">136. </w:t>
      </w:r>
      <w:r>
        <w:rPr>
          <w:b w:val="0"/>
          <w:i w:val="0"/>
        </w:rPr>
        <w:t>136</w:t>
      </w:r>
    </w:p>
    <w:p>
      <w:pPr>
        <w:spacing w:after="80"/>
        <w:ind w:left="360"/>
      </w:pPr>
      <w:r>
        <w:t xml:space="preserve">137. </w:t>
      </w:r>
      <w:r>
        <w:rPr>
          <w:b w:val="0"/>
          <w:i w:val="0"/>
        </w:rPr>
        <w:t>137</w:t>
      </w:r>
    </w:p>
    <w:p>
      <w:pPr>
        <w:spacing w:after="80"/>
        <w:ind w:left="360"/>
      </w:pPr>
      <w:r>
        <w:t xml:space="preserve">138. </w:t>
      </w:r>
      <w:r>
        <w:rPr>
          <w:b w:val="0"/>
          <w:i w:val="0"/>
        </w:rPr>
        <w:t>138</w:t>
      </w:r>
    </w:p>
    <w:p>
      <w:pPr>
        <w:spacing w:after="80"/>
        <w:ind w:left="360"/>
      </w:pPr>
      <w:r>
        <w:t xml:space="preserve">139. </w:t>
      </w:r>
      <w:r>
        <w:rPr>
          <w:b w:val="0"/>
          <w:i w:val="0"/>
        </w:rPr>
        <w:t>139</w:t>
      </w:r>
    </w:p>
    <w:p>
      <w:pPr>
        <w:spacing w:after="80"/>
        <w:ind w:left="360"/>
      </w:pPr>
      <w:r>
        <w:t xml:space="preserve">140. </w:t>
      </w:r>
      <w:r>
        <w:rPr>
          <w:b w:val="0"/>
          <w:i w:val="0"/>
        </w:rPr>
        <w:t>140</w:t>
      </w:r>
    </w:p>
    <w:p>
      <w:pPr>
        <w:spacing w:after="80"/>
        <w:ind w:left="360"/>
      </w:pPr>
      <w:r>
        <w:t xml:space="preserve">141. </w:t>
      </w:r>
      <w:r>
        <w:rPr>
          <w:b w:val="0"/>
          <w:i w:val="0"/>
        </w:rPr>
        <w:t>141</w:t>
      </w:r>
    </w:p>
    <w:p>
      <w:pPr>
        <w:spacing w:after="80"/>
        <w:ind w:left="360"/>
      </w:pPr>
      <w:r>
        <w:t xml:space="preserve">142. </w:t>
      </w:r>
      <w:r>
        <w:rPr>
          <w:b w:val="0"/>
          <w:i w:val="0"/>
        </w:rPr>
        <w:t>142</w:t>
      </w:r>
    </w:p>
    <w:p>
      <w:pPr>
        <w:spacing w:after="80"/>
        <w:ind w:left="360"/>
      </w:pPr>
      <w:r>
        <w:t xml:space="preserve">143. </w:t>
      </w:r>
      <w:r>
        <w:rPr>
          <w:b w:val="0"/>
          <w:i w:val="0"/>
        </w:rPr>
        <w:t>143</w:t>
      </w:r>
    </w:p>
    <w:p>
      <w:pPr>
        <w:spacing w:after="80"/>
        <w:ind w:left="360"/>
      </w:pPr>
      <w:r>
        <w:t xml:space="preserve">144. </w:t>
      </w:r>
      <w:r>
        <w:rPr>
          <w:b w:val="0"/>
          <w:i w:val="0"/>
        </w:rPr>
        <w:t>144</w:t>
      </w:r>
    </w:p>
    <w:p>
      <w:pPr>
        <w:spacing w:after="80"/>
        <w:ind w:left="360"/>
      </w:pPr>
      <w:r>
        <w:t xml:space="preserve">145. </w:t>
      </w:r>
      <w:r>
        <w:rPr>
          <w:b w:val="0"/>
          <w:i w:val="0"/>
        </w:rPr>
        <w:t>145</w:t>
      </w:r>
    </w:p>
    <w:p>
      <w:pPr>
        <w:spacing w:after="80"/>
        <w:ind w:left="360"/>
      </w:pPr>
      <w:r>
        <w:t xml:space="preserve">146. </w:t>
      </w:r>
      <w:r>
        <w:rPr>
          <w:b w:val="0"/>
          <w:i w:val="0"/>
        </w:rPr>
        <w:t>146</w:t>
      </w:r>
    </w:p>
    <w:p>
      <w:pPr>
        <w:spacing w:after="80"/>
        <w:ind w:left="360"/>
      </w:pPr>
      <w:r>
        <w:t xml:space="preserve">147. </w:t>
      </w:r>
      <w:r>
        <w:rPr>
          <w:b w:val="0"/>
          <w:i w:val="0"/>
        </w:rPr>
        <w:t>147</w:t>
      </w:r>
    </w:p>
    <w:p>
      <w:pPr>
        <w:spacing w:after="80"/>
        <w:ind w:left="360"/>
      </w:pPr>
      <w:r>
        <w:t xml:space="preserve">148. </w:t>
      </w:r>
      <w:r>
        <w:rPr>
          <w:b w:val="0"/>
          <w:i w:val="0"/>
        </w:rPr>
        <w:t>148</w:t>
      </w:r>
    </w:p>
    <w:p>
      <w:pPr>
        <w:spacing w:after="80"/>
        <w:ind w:left="360"/>
      </w:pPr>
      <w:r>
        <w:t xml:space="preserve">149. </w:t>
      </w:r>
      <w:r>
        <w:rPr>
          <w:b w:val="0"/>
          <w:i w:val="0"/>
        </w:rPr>
        <w:t>149</w:t>
      </w:r>
    </w:p>
    <w:p>
      <w:pPr>
        <w:spacing w:after="80"/>
        <w:ind w:left="360"/>
      </w:pPr>
      <w:r>
        <w:t xml:space="preserve">150. </w:t>
      </w:r>
      <w:r>
        <w:rPr>
          <w:b w:val="0"/>
          <w:i w:val="0"/>
        </w:rPr>
        <w:t>150</w:t>
      </w:r>
    </w:p>
    <w:p>
      <w:pPr>
        <w:spacing w:after="80"/>
        <w:ind w:left="360"/>
      </w:pPr>
      <w:r>
        <w:t xml:space="preserve">151. </w:t>
      </w:r>
      <w:r>
        <w:rPr>
          <w:b w:val="0"/>
          <w:i w:val="0"/>
        </w:rPr>
        <w:t>151</w:t>
      </w:r>
    </w:p>
    <w:p>
      <w:pPr>
        <w:spacing w:after="80"/>
        <w:ind w:left="360"/>
      </w:pPr>
      <w:r>
        <w:t xml:space="preserve">152. </w:t>
      </w:r>
      <w:r>
        <w:rPr>
          <w:b w:val="0"/>
          <w:i w:val="0"/>
        </w:rPr>
        <w:t>152</w:t>
      </w:r>
    </w:p>
    <w:p>
      <w:pPr>
        <w:spacing w:after="80"/>
        <w:ind w:left="360"/>
      </w:pPr>
      <w:r>
        <w:t xml:space="preserve">153. </w:t>
      </w:r>
      <w:r>
        <w:rPr>
          <w:b w:val="0"/>
          <w:i w:val="0"/>
        </w:rPr>
        <w:t>153</w:t>
      </w:r>
    </w:p>
    <w:p>
      <w:pPr>
        <w:spacing w:after="80"/>
        <w:ind w:left="360"/>
      </w:pPr>
      <w:r>
        <w:t xml:space="preserve">154. </w:t>
      </w:r>
      <w:r>
        <w:rPr>
          <w:b w:val="0"/>
          <w:i w:val="0"/>
        </w:rPr>
        <w:t>154</w:t>
      </w:r>
    </w:p>
    <w:p>
      <w:pPr>
        <w:spacing w:after="80"/>
        <w:ind w:left="360"/>
      </w:pPr>
      <w:r>
        <w:t xml:space="preserve">155. </w:t>
      </w:r>
      <w:r>
        <w:rPr>
          <w:b w:val="0"/>
          <w:i w:val="0"/>
        </w:rPr>
        <w:t>155</w:t>
      </w:r>
    </w:p>
    <w:p>
      <w:pPr>
        <w:spacing w:after="80"/>
        <w:ind w:left="360"/>
      </w:pPr>
      <w:r>
        <w:t xml:space="preserve">156. </w:t>
      </w:r>
      <w:r>
        <w:rPr>
          <w:b w:val="0"/>
          <w:i w:val="0"/>
        </w:rPr>
        <w:t>156</w:t>
      </w:r>
    </w:p>
    <w:p>
      <w:pPr>
        <w:spacing w:after="80"/>
        <w:ind w:left="360"/>
      </w:pPr>
      <w:r>
        <w:t xml:space="preserve">157. </w:t>
      </w:r>
      <w:r>
        <w:rPr>
          <w:b w:val="0"/>
          <w:i w:val="0"/>
        </w:rPr>
        <w:t>157</w:t>
      </w:r>
    </w:p>
    <w:p>
      <w:pPr>
        <w:spacing w:after="80"/>
        <w:ind w:left="360"/>
      </w:pPr>
      <w:r>
        <w:t xml:space="preserve">158. </w:t>
      </w:r>
      <w:r>
        <w:rPr>
          <w:b w:val="0"/>
          <w:i w:val="0"/>
        </w:rPr>
        <w:t>158</w:t>
      </w:r>
    </w:p>
    <w:p>
      <w:pPr>
        <w:spacing w:after="80"/>
        <w:ind w:left="360"/>
      </w:pPr>
      <w:r>
        <w:t xml:space="preserve">159. </w:t>
      </w:r>
      <w:r>
        <w:rPr>
          <w:b w:val="0"/>
          <w:i w:val="0"/>
        </w:rPr>
        <w:t>159</w:t>
      </w:r>
    </w:p>
    <w:p>
      <w:pPr>
        <w:spacing w:after="80"/>
        <w:ind w:left="360"/>
      </w:pPr>
      <w:r>
        <w:t xml:space="preserve">160. </w:t>
      </w:r>
      <w:r>
        <w:rPr>
          <w:b w:val="0"/>
          <w:i w:val="0"/>
        </w:rPr>
        <w:t>160</w:t>
      </w:r>
    </w:p>
    <w:p>
      <w:pPr>
        <w:spacing w:after="80"/>
        <w:ind w:left="360"/>
      </w:pPr>
      <w:r>
        <w:t xml:space="preserve">161. </w:t>
      </w:r>
      <w:r>
        <w:rPr>
          <w:b w:val="0"/>
          <w:i w:val="0"/>
        </w:rPr>
        <w:t>161</w:t>
      </w:r>
    </w:p>
    <w:p>
      <w:pPr>
        <w:spacing w:after="80"/>
        <w:ind w:left="360"/>
      </w:pPr>
      <w:r>
        <w:t xml:space="preserve">162. </w:t>
      </w:r>
      <w:r>
        <w:rPr>
          <w:b w:val="0"/>
          <w:i w:val="0"/>
        </w:rPr>
        <w:t>162</w:t>
      </w:r>
    </w:p>
    <w:p>
      <w:pPr>
        <w:spacing w:after="80"/>
        <w:ind w:left="360"/>
      </w:pPr>
      <w:r>
        <w:t xml:space="preserve">163. </w:t>
      </w:r>
      <w:r>
        <w:rPr>
          <w:b w:val="0"/>
          <w:i w:val="0"/>
        </w:rPr>
        <w:t>163</w:t>
      </w:r>
    </w:p>
    <w:p>
      <w:pPr>
        <w:spacing w:after="80"/>
        <w:ind w:left="360"/>
      </w:pPr>
      <w:r>
        <w:t xml:space="preserve">164. </w:t>
      </w:r>
      <w:r>
        <w:rPr>
          <w:b w:val="0"/>
          <w:i w:val="0"/>
        </w:rPr>
        <w:t>164</w:t>
      </w:r>
    </w:p>
    <w:p>
      <w:pPr>
        <w:spacing w:after="80"/>
        <w:ind w:left="360"/>
      </w:pPr>
      <w:r>
        <w:t xml:space="preserve">165. </w:t>
      </w:r>
      <w:r>
        <w:rPr>
          <w:b w:val="0"/>
          <w:i w:val="0"/>
        </w:rPr>
        <w:t>165</w:t>
      </w:r>
    </w:p>
    <w:p>
      <w:pPr>
        <w:spacing w:after="80"/>
        <w:ind w:left="360"/>
      </w:pPr>
      <w:r>
        <w:t xml:space="preserve">166. </w:t>
      </w:r>
      <w:r>
        <w:rPr>
          <w:b w:val="0"/>
          <w:i w:val="0"/>
        </w:rPr>
        <w:t>166</w:t>
      </w:r>
    </w:p>
    <w:p>
      <w:pPr>
        <w:spacing w:after="80"/>
        <w:ind w:left="360"/>
      </w:pPr>
      <w:r>
        <w:t xml:space="preserve">167. </w:t>
      </w:r>
      <w:r>
        <w:rPr>
          <w:b w:val="0"/>
          <w:i w:val="0"/>
        </w:rPr>
        <w:t>167</w:t>
      </w:r>
    </w:p>
    <w:p>
      <w:pPr>
        <w:spacing w:after="80"/>
        <w:ind w:left="360"/>
      </w:pPr>
      <w:r>
        <w:t xml:space="preserve">168. </w:t>
      </w:r>
      <w:r>
        <w:rPr>
          <w:b w:val="0"/>
          <w:i w:val="0"/>
        </w:rPr>
        <w:t>168</w:t>
      </w:r>
    </w:p>
    <w:p>
      <w:pPr>
        <w:spacing w:after="80"/>
        <w:ind w:left="360"/>
      </w:pPr>
      <w:r>
        <w:t xml:space="preserve">169. </w:t>
      </w:r>
      <w:r>
        <w:rPr>
          <w:b w:val="0"/>
          <w:i w:val="0"/>
        </w:rPr>
        <w:t>169</w:t>
      </w:r>
    </w:p>
    <w:p>
      <w:pPr>
        <w:spacing w:after="80"/>
        <w:ind w:left="360"/>
      </w:pPr>
      <w:r>
        <w:t xml:space="preserve">170. </w:t>
      </w:r>
      <w:r>
        <w:rPr>
          <w:b w:val="0"/>
          <w:i w:val="0"/>
        </w:rPr>
        <w:t>170</w:t>
      </w:r>
    </w:p>
    <w:p>
      <w:pPr>
        <w:spacing w:after="80"/>
        <w:ind w:left="360"/>
      </w:pPr>
      <w:r>
        <w:t xml:space="preserve">171. </w:t>
      </w:r>
      <w:r>
        <w:rPr>
          <w:b w:val="0"/>
          <w:i w:val="0"/>
        </w:rPr>
        <w:t>171</w:t>
      </w:r>
    </w:p>
    <w:p>
      <w:pPr>
        <w:spacing w:after="80"/>
        <w:ind w:left="360"/>
      </w:pPr>
      <w:r>
        <w:t xml:space="preserve">172. </w:t>
      </w:r>
      <w:r>
        <w:rPr>
          <w:b w:val="0"/>
          <w:i w:val="0"/>
        </w:rPr>
        <w:t>172</w:t>
      </w:r>
    </w:p>
    <w:p>
      <w:pPr>
        <w:spacing w:after="80"/>
        <w:ind w:left="360"/>
      </w:pPr>
      <w:r>
        <w:t xml:space="preserve">173. </w:t>
      </w:r>
      <w:r>
        <w:rPr>
          <w:b w:val="0"/>
          <w:i w:val="0"/>
        </w:rPr>
        <w:t>173</w:t>
      </w:r>
    </w:p>
    <w:p>
      <w:pPr>
        <w:spacing w:after="80"/>
        <w:ind w:left="360"/>
      </w:pPr>
      <w:r>
        <w:t xml:space="preserve">174. </w:t>
      </w:r>
      <w:r>
        <w:rPr>
          <w:b w:val="0"/>
          <w:i w:val="0"/>
        </w:rPr>
        <w:t>174</w:t>
      </w:r>
    </w:p>
    <w:p>
      <w:pPr>
        <w:spacing w:after="80"/>
        <w:ind w:left="360"/>
      </w:pPr>
      <w:r>
        <w:t xml:space="preserve">175. </w:t>
      </w:r>
      <w:r>
        <w:rPr>
          <w:b w:val="0"/>
          <w:i w:val="0"/>
        </w:rPr>
        <w:t>175</w:t>
      </w:r>
    </w:p>
    <w:p>
      <w:pPr>
        <w:spacing w:after="80"/>
        <w:ind w:left="360"/>
      </w:pPr>
      <w:r>
        <w:t xml:space="preserve">176. </w:t>
      </w:r>
      <w:r>
        <w:rPr>
          <w:b w:val="0"/>
          <w:i w:val="0"/>
        </w:rPr>
        <w:t>176</w:t>
      </w:r>
    </w:p>
    <w:p>
      <w:pPr>
        <w:spacing w:after="80"/>
        <w:ind w:left="360"/>
      </w:pPr>
      <w:r>
        <w:t xml:space="preserve">177. </w:t>
      </w:r>
      <w:r>
        <w:rPr>
          <w:b w:val="0"/>
          <w:i w:val="0"/>
        </w:rPr>
        <w:t>177</w:t>
      </w:r>
    </w:p>
    <w:p>
      <w:pPr>
        <w:spacing w:after="80"/>
        <w:ind w:left="360"/>
      </w:pPr>
      <w:r>
        <w:t xml:space="preserve">178. </w:t>
      </w:r>
      <w:r>
        <w:rPr>
          <w:b w:val="0"/>
          <w:i w:val="0"/>
        </w:rPr>
        <w:t>178</w:t>
      </w:r>
    </w:p>
    <w:p>
      <w:pPr>
        <w:spacing w:after="80"/>
        <w:ind w:left="360"/>
      </w:pPr>
      <w:r>
        <w:t xml:space="preserve">179. </w:t>
      </w:r>
      <w:r>
        <w:rPr>
          <w:b w:val="0"/>
          <w:i w:val="0"/>
        </w:rPr>
        <w:t>179</w:t>
      </w:r>
    </w:p>
    <w:p>
      <w:pPr>
        <w:spacing w:after="80"/>
        <w:ind w:left="360"/>
      </w:pPr>
      <w:r>
        <w:t xml:space="preserve">180. </w:t>
      </w:r>
      <w:r>
        <w:rPr>
          <w:b w:val="0"/>
          <w:i w:val="0"/>
        </w:rPr>
        <w:t>180</w:t>
      </w:r>
    </w:p>
    <w:p>
      <w:pPr>
        <w:spacing w:after="80"/>
        <w:ind w:left="360"/>
      </w:pPr>
      <w:r>
        <w:t xml:space="preserve">181. </w:t>
      </w:r>
      <w:r>
        <w:rPr>
          <w:b w:val="0"/>
          <w:i w:val="0"/>
        </w:rPr>
        <w:t>181</w:t>
      </w:r>
    </w:p>
    <w:p>
      <w:pPr>
        <w:spacing w:after="80"/>
        <w:ind w:left="360"/>
      </w:pPr>
      <w:r>
        <w:t xml:space="preserve">182. </w:t>
      </w:r>
      <w:r>
        <w:rPr>
          <w:b w:val="0"/>
          <w:i w:val="0"/>
        </w:rPr>
        <w:t>182</w:t>
      </w:r>
    </w:p>
    <w:p>
      <w:pPr>
        <w:spacing w:after="80"/>
        <w:ind w:left="360"/>
      </w:pPr>
      <w:r>
        <w:t xml:space="preserve">183. </w:t>
      </w:r>
      <w:r>
        <w:rPr>
          <w:b w:val="0"/>
          <w:i w:val="0"/>
        </w:rPr>
        <w:t>183</w:t>
      </w:r>
    </w:p>
    <w:p>
      <w:pPr>
        <w:spacing w:after="80"/>
        <w:ind w:left="360"/>
      </w:pPr>
      <w:r>
        <w:t xml:space="preserve">184. </w:t>
      </w:r>
      <w:r>
        <w:rPr>
          <w:b w:val="0"/>
          <w:i w:val="0"/>
        </w:rPr>
        <w:t>184</w:t>
      </w:r>
    </w:p>
    <w:p>
      <w:pPr>
        <w:spacing w:after="80"/>
        <w:ind w:left="360"/>
      </w:pPr>
      <w:r>
        <w:t xml:space="preserve">185. </w:t>
      </w:r>
      <w:r>
        <w:rPr>
          <w:b w:val="0"/>
          <w:i w:val="0"/>
        </w:rPr>
        <w:t>185</w:t>
      </w:r>
    </w:p>
    <w:p>
      <w:pPr>
        <w:spacing w:after="80"/>
        <w:ind w:left="360"/>
      </w:pPr>
      <w:r>
        <w:t xml:space="preserve">186. </w:t>
      </w:r>
      <w:r>
        <w:rPr>
          <w:b w:val="0"/>
          <w:i w:val="0"/>
        </w:rPr>
        <w:t>186</w:t>
      </w:r>
    </w:p>
    <w:p>
      <w:pPr>
        <w:spacing w:after="80"/>
        <w:ind w:left="360"/>
      </w:pPr>
      <w:r>
        <w:t xml:space="preserve">187. </w:t>
      </w:r>
      <w:r>
        <w:rPr>
          <w:b w:val="0"/>
          <w:i w:val="0"/>
        </w:rPr>
        <w:t>187</w:t>
      </w:r>
    </w:p>
    <w:p>
      <w:pPr>
        <w:spacing w:after="80"/>
        <w:ind w:left="360"/>
      </w:pPr>
      <w:r>
        <w:t xml:space="preserve">188. </w:t>
      </w:r>
      <w:r>
        <w:rPr>
          <w:b w:val="0"/>
          <w:i w:val="0"/>
        </w:rPr>
        <w:t>188</w:t>
      </w:r>
    </w:p>
    <w:p>
      <w:pPr>
        <w:spacing w:after="80"/>
        <w:ind w:left="360"/>
      </w:pPr>
      <w:r>
        <w:t xml:space="preserve">189. </w:t>
      </w:r>
      <w:r>
        <w:rPr>
          <w:b w:val="0"/>
          <w:i w:val="0"/>
        </w:rPr>
        <w:t>189</w:t>
      </w:r>
    </w:p>
    <w:p>
      <w:pPr>
        <w:spacing w:after="80"/>
        <w:ind w:left="360"/>
      </w:pPr>
      <w:r>
        <w:t xml:space="preserve">190. </w:t>
      </w:r>
      <w:r>
        <w:rPr>
          <w:b w:val="0"/>
          <w:i w:val="0"/>
        </w:rPr>
        <w:t>190</w:t>
      </w:r>
    </w:p>
    <w:p>
      <w:pPr>
        <w:spacing w:after="80"/>
        <w:ind w:left="360"/>
      </w:pPr>
      <w:r>
        <w:t xml:space="preserve">191. </w:t>
      </w:r>
      <w:r>
        <w:rPr>
          <w:b w:val="0"/>
          <w:i w:val="0"/>
        </w:rPr>
        <w:t>192</w:t>
      </w:r>
    </w:p>
    <w:p>
      <w:pPr>
        <w:spacing w:after="80"/>
        <w:ind w:left="360"/>
      </w:pPr>
      <w:r>
        <w:t xml:space="preserve">192. </w:t>
      </w:r>
      <w:r>
        <w:rPr>
          <w:b w:val="0"/>
          <w:i w:val="0"/>
        </w:rPr>
        <w:t>193</w:t>
      </w:r>
    </w:p>
    <w:p>
      <w:pPr>
        <w:spacing w:after="80"/>
        <w:ind w:left="360"/>
      </w:pPr>
      <w:r>
        <w:t xml:space="preserve">193. </w:t>
      </w:r>
      <w:r>
        <w:rPr>
          <w:b w:val="0"/>
          <w:i w:val="0"/>
        </w:rPr>
        <w:t>194</w:t>
      </w:r>
    </w:p>
    <w:p>
      <w:pPr>
        <w:spacing w:after="80"/>
        <w:ind w:left="360"/>
      </w:pPr>
      <w:r>
        <w:t xml:space="preserve">194. </w:t>
      </w:r>
      <w:r>
        <w:rPr>
          <w:b w:val="0"/>
          <w:i w:val="0"/>
        </w:rPr>
        <w:t>195</w:t>
      </w:r>
    </w:p>
    <w:p>
      <w:pPr>
        <w:spacing w:after="80"/>
        <w:ind w:left="360"/>
      </w:pPr>
      <w:r>
        <w:t xml:space="preserve">195. </w:t>
      </w:r>
      <w:r>
        <w:rPr>
          <w:b w:val="0"/>
          <w:i w:val="0"/>
        </w:rPr>
        <w:t>196</w:t>
      </w:r>
    </w:p>
    <w:p>
      <w:pPr>
        <w:spacing w:after="80"/>
        <w:ind w:left="360"/>
      </w:pPr>
      <w:r>
        <w:t xml:space="preserve">196. </w:t>
      </w:r>
      <w:r>
        <w:rPr>
          <w:b w:val="0"/>
          <w:i w:val="0"/>
        </w:rPr>
        <w:t>198</w:t>
      </w:r>
    </w:p>
    <w:p>
      <w:pPr>
        <w:spacing w:after="80"/>
        <w:ind w:left="360"/>
      </w:pPr>
      <w:r>
        <w:t xml:space="preserve">197. </w:t>
      </w:r>
      <w:r>
        <w:rPr>
          <w:b w:val="0"/>
          <w:i w:val="0"/>
        </w:rPr>
        <w:t>199</w:t>
      </w:r>
    </w:p>
    <w:p>
      <w:pPr>
        <w:spacing w:after="80"/>
        <w:ind w:left="360"/>
      </w:pPr>
      <w:r>
        <w:t xml:space="preserve">198. </w:t>
      </w:r>
      <w:r>
        <w:rPr>
          <w:b w:val="0"/>
          <w:i w:val="0"/>
        </w:rPr>
        <w:t>200</w:t>
      </w:r>
    </w:p>
    <w:p>
      <w:pPr>
        <w:spacing w:after="80"/>
        <w:ind w:left="360"/>
      </w:pPr>
      <w:r>
        <w:t xml:space="preserve">199. </w:t>
      </w:r>
      <w:r>
        <w:rPr>
          <w:b w:val="0"/>
          <w:i w:val="0"/>
        </w:rPr>
        <w:t>201</w:t>
      </w:r>
    </w:p>
    <w:p>
      <w:pPr>
        <w:spacing w:after="80"/>
        <w:ind w:left="360"/>
      </w:pPr>
      <w:r>
        <w:t xml:space="preserve">200. </w:t>
      </w:r>
      <w:r>
        <w:rPr>
          <w:b w:val="0"/>
          <w:i w:val="0"/>
        </w:rPr>
        <w:t>202</w:t>
      </w:r>
    </w:p>
    <w:p>
      <w:pPr>
        <w:spacing w:after="80"/>
        <w:ind w:left="360"/>
      </w:pPr>
      <w:r>
        <w:t xml:space="preserve">201. </w:t>
      </w:r>
      <w:r>
        <w:rPr>
          <w:b w:val="0"/>
          <w:i w:val="0"/>
        </w:rPr>
        <w:t>203</w:t>
      </w:r>
    </w:p>
    <w:p>
      <w:pPr>
        <w:spacing w:after="80"/>
        <w:ind w:left="360"/>
      </w:pPr>
      <w:r>
        <w:t xml:space="preserve">202. </w:t>
      </w:r>
      <w:r>
        <w:rPr>
          <w:b w:val="0"/>
          <w:i w:val="0"/>
        </w:rPr>
        <w:t>204</w:t>
      </w:r>
    </w:p>
    <w:p>
      <w:pPr>
        <w:spacing w:after="80"/>
        <w:ind w:left="360"/>
      </w:pPr>
      <w:r>
        <w:t xml:space="preserve">203. </w:t>
      </w:r>
      <w:r>
        <w:rPr>
          <w:b w:val="0"/>
          <w:i w:val="0"/>
        </w:rPr>
        <w:t>205</w:t>
      </w:r>
    </w:p>
    <w:p>
      <w:pPr>
        <w:spacing w:after="80"/>
        <w:ind w:left="360"/>
      </w:pPr>
      <w:r>
        <w:t xml:space="preserve">204. </w:t>
      </w:r>
      <w:r>
        <w:rPr>
          <w:b w:val="0"/>
          <w:i w:val="0"/>
        </w:rPr>
        <w:t>206</w:t>
      </w:r>
    </w:p>
    <w:p>
      <w:pPr>
        <w:spacing w:after="80"/>
        <w:ind w:left="360"/>
      </w:pPr>
      <w:r>
        <w:t xml:space="preserve">205. </w:t>
      </w:r>
      <w:r>
        <w:rPr>
          <w:b w:val="0"/>
          <w:i w:val="0"/>
        </w:rPr>
        <w:t>207</w:t>
      </w:r>
    </w:p>
    <w:p>
      <w:pPr>
        <w:spacing w:after="80"/>
        <w:ind w:left="360"/>
      </w:pPr>
      <w:r>
        <w:t xml:space="preserve">206. </w:t>
      </w:r>
      <w:r>
        <w:rPr>
          <w:b w:val="0"/>
          <w:i w:val="0"/>
        </w:rPr>
        <w:t>208</w:t>
      </w:r>
    </w:p>
    <w:p>
      <w:pPr>
        <w:spacing w:after="80"/>
        <w:ind w:left="360"/>
      </w:pPr>
      <w:r>
        <w:t xml:space="preserve">207. </w:t>
      </w:r>
      <w:r>
        <w:rPr>
          <w:b w:val="0"/>
          <w:i w:val="0"/>
        </w:rPr>
        <w:t>209</w:t>
      </w:r>
    </w:p>
    <w:p>
      <w:pPr>
        <w:spacing w:after="80"/>
        <w:ind w:left="360"/>
      </w:pPr>
      <w:r>
        <w:t xml:space="preserve">208. </w:t>
      </w:r>
      <w:r>
        <w:rPr>
          <w:b w:val="0"/>
          <w:i w:val="0"/>
        </w:rPr>
        <w:t>210</w:t>
      </w:r>
    </w:p>
    <w:p>
      <w:pPr>
        <w:spacing w:after="80"/>
        <w:ind w:left="360"/>
      </w:pPr>
      <w:r>
        <w:t xml:space="preserve">209. </w:t>
      </w:r>
      <w:r>
        <w:rPr>
          <w:b w:val="0"/>
          <w:i w:val="0"/>
        </w:rPr>
        <w:t>211</w:t>
      </w:r>
    </w:p>
    <w:p>
      <w:pPr>
        <w:spacing w:after="80"/>
        <w:ind w:left="360"/>
      </w:pPr>
      <w:r>
        <w:t xml:space="preserve">210. </w:t>
      </w:r>
      <w:r>
        <w:rPr>
          <w:b w:val="0"/>
          <w:i w:val="0"/>
        </w:rPr>
        <w:t>212</w:t>
      </w:r>
    </w:p>
    <w:p>
      <w:pPr>
        <w:spacing w:after="80"/>
        <w:ind w:left="360"/>
      </w:pPr>
      <w:r>
        <w:t xml:space="preserve">211. </w:t>
      </w:r>
      <w:r>
        <w:rPr>
          <w:b w:val="0"/>
          <w:i w:val="0"/>
        </w:rPr>
        <w:t>213</w:t>
      </w:r>
    </w:p>
    <w:p>
      <w:pPr>
        <w:spacing w:after="80"/>
        <w:ind w:left="360"/>
      </w:pPr>
      <w:r>
        <w:t xml:space="preserve">212. </w:t>
      </w:r>
      <w:r>
        <w:rPr>
          <w:b w:val="0"/>
          <w:i w:val="0"/>
        </w:rPr>
        <w:t>214</w:t>
      </w:r>
    </w:p>
    <w:p>
      <w:pPr>
        <w:spacing w:after="80"/>
        <w:ind w:left="360"/>
      </w:pPr>
      <w:r>
        <w:t xml:space="preserve">213. </w:t>
      </w:r>
      <w:r>
        <w:rPr>
          <w:b w:val="0"/>
          <w:i w:val="0"/>
        </w:rPr>
        <w:t>215</w:t>
      </w:r>
    </w:p>
    <w:p>
      <w:pPr>
        <w:spacing w:after="80"/>
        <w:ind w:left="360"/>
      </w:pPr>
      <w:r>
        <w:t xml:space="preserve">214. </w:t>
      </w:r>
      <w:r>
        <w:rPr>
          <w:b w:val="0"/>
          <w:i w:val="0"/>
        </w:rPr>
        <w:t>216</w:t>
      </w:r>
    </w:p>
    <w:p>
      <w:pPr>
        <w:spacing w:after="80"/>
        <w:ind w:left="360"/>
      </w:pPr>
      <w:r>
        <w:t xml:space="preserve">215. </w:t>
      </w:r>
      <w:r>
        <w:rPr>
          <w:b w:val="0"/>
          <w:i w:val="0"/>
        </w:rPr>
        <w:t>217</w:t>
      </w:r>
    </w:p>
    <w:p>
      <w:pPr>
        <w:spacing w:after="80"/>
        <w:ind w:left="360"/>
      </w:pPr>
      <w:r>
        <w:t xml:space="preserve">216. </w:t>
      </w:r>
      <w:r>
        <w:rPr>
          <w:b w:val="0"/>
          <w:i w:val="0"/>
        </w:rPr>
        <w:t>218</w:t>
      </w:r>
    </w:p>
    <w:p>
      <w:pPr>
        <w:spacing w:after="80"/>
        <w:ind w:left="360"/>
      </w:pPr>
      <w:r>
        <w:t xml:space="preserve">217. </w:t>
      </w:r>
      <w:r>
        <w:rPr>
          <w:b w:val="0"/>
          <w:i w:val="0"/>
        </w:rPr>
        <w:t>219</w:t>
      </w:r>
    </w:p>
    <w:p>
      <w:pPr>
        <w:spacing w:after="80"/>
        <w:ind w:left="360"/>
      </w:pPr>
      <w:r>
        <w:t xml:space="preserve">218. </w:t>
      </w:r>
      <w:r>
        <w:rPr>
          <w:b w:val="0"/>
          <w:i w:val="0"/>
        </w:rPr>
        <w:t>220</w:t>
      </w:r>
    </w:p>
    <w:p>
      <w:pPr>
        <w:spacing w:after="80"/>
        <w:ind w:left="360"/>
      </w:pPr>
      <w:r>
        <w:t xml:space="preserve">219. </w:t>
      </w:r>
      <w:r>
        <w:rPr>
          <w:b w:val="0"/>
          <w:i w:val="0"/>
        </w:rPr>
        <w:t>221</w:t>
      </w:r>
    </w:p>
    <w:p>
      <w:pPr>
        <w:spacing w:after="80"/>
        <w:ind w:left="360"/>
      </w:pPr>
      <w:r>
        <w:t xml:space="preserve">220. </w:t>
      </w:r>
      <w:r>
        <w:rPr>
          <w:b w:val="0"/>
          <w:i w:val="0"/>
        </w:rPr>
        <w:t>222</w:t>
      </w:r>
    </w:p>
    <w:p>
      <w:pPr>
        <w:spacing w:after="80"/>
        <w:ind w:left="360"/>
      </w:pPr>
      <w:r>
        <w:t xml:space="preserve">221. </w:t>
      </w:r>
      <w:r>
        <w:rPr>
          <w:b w:val="0"/>
          <w:i w:val="0"/>
        </w:rPr>
        <w:t>223</w:t>
      </w:r>
    </w:p>
    <w:p>
      <w:pPr>
        <w:spacing w:after="80"/>
        <w:ind w:left="360"/>
      </w:pPr>
      <w:r>
        <w:t xml:space="preserve">222. </w:t>
      </w:r>
      <w:r>
        <w:rPr>
          <w:b w:val="0"/>
          <w:i w:val="0"/>
        </w:rPr>
        <w:t>224</w:t>
      </w:r>
    </w:p>
    <w:p>
      <w:pPr>
        <w:spacing w:after="80"/>
        <w:ind w:left="360"/>
      </w:pPr>
      <w:r>
        <w:t xml:space="preserve">223. </w:t>
      </w:r>
      <w:r>
        <w:rPr>
          <w:b w:val="0"/>
          <w:i w:val="0"/>
        </w:rPr>
        <w:t>225</w:t>
      </w:r>
    </w:p>
    <w:p>
      <w:pPr>
        <w:spacing w:after="80"/>
        <w:ind w:left="360"/>
      </w:pPr>
      <w:r>
        <w:t xml:space="preserve">224. </w:t>
      </w:r>
      <w:r>
        <w:rPr>
          <w:b w:val="0"/>
          <w:i w:val="0"/>
        </w:rPr>
        <w:t>226</w:t>
      </w:r>
    </w:p>
    <w:p>
      <w:pPr>
        <w:spacing w:after="80"/>
        <w:ind w:left="360"/>
      </w:pPr>
      <w:r>
        <w:t xml:space="preserve">225. </w:t>
      </w:r>
      <w:r>
        <w:rPr>
          <w:b w:val="0"/>
          <w:i w:val="0"/>
        </w:rPr>
        <w:t>227</w:t>
      </w:r>
    </w:p>
    <w:p>
      <w:pPr>
        <w:spacing w:after="80"/>
        <w:ind w:left="360"/>
      </w:pPr>
      <w:r>
        <w:t xml:space="preserve">226. </w:t>
      </w:r>
      <w:r>
        <w:rPr>
          <w:b w:val="0"/>
          <w:i w:val="0"/>
        </w:rPr>
        <w:t>228</w:t>
      </w:r>
    </w:p>
    <w:p>
      <w:pPr>
        <w:spacing w:after="80"/>
        <w:ind w:left="360"/>
      </w:pPr>
      <w:r>
        <w:t xml:space="preserve">227. </w:t>
      </w:r>
      <w:r>
        <w:rPr>
          <w:b w:val="0"/>
          <w:i w:val="0"/>
        </w:rPr>
        <w:t>229</w:t>
      </w:r>
    </w:p>
    <w:p>
      <w:pPr>
        <w:spacing w:after="80"/>
        <w:ind w:left="360"/>
      </w:pPr>
      <w:r>
        <w:t xml:space="preserve">228. </w:t>
      </w:r>
      <w:r>
        <w:rPr>
          <w:b w:val="0"/>
          <w:i w:val="0"/>
        </w:rPr>
        <w:t>230</w:t>
      </w:r>
    </w:p>
    <w:p>
      <w:pPr>
        <w:spacing w:after="80"/>
        <w:ind w:left="360"/>
      </w:pPr>
      <w:r>
        <w:t xml:space="preserve">229. </w:t>
      </w:r>
      <w:r>
        <w:rPr>
          <w:b w:val="0"/>
          <w:i w:val="0"/>
        </w:rPr>
        <w:t>231</w:t>
      </w:r>
    </w:p>
    <w:p>
      <w:pPr>
        <w:spacing w:after="80"/>
        <w:ind w:left="360"/>
      </w:pPr>
      <w:r>
        <w:t xml:space="preserve">230. </w:t>
      </w:r>
      <w:r>
        <w:rPr>
          <w:b w:val="0"/>
          <w:i w:val="0"/>
        </w:rPr>
        <w:t>232</w:t>
      </w:r>
    </w:p>
    <w:p>
      <w:pPr>
        <w:spacing w:after="80"/>
        <w:ind w:left="360"/>
      </w:pPr>
      <w:r>
        <w:t xml:space="preserve">231. </w:t>
      </w:r>
      <w:r>
        <w:rPr>
          <w:b w:val="0"/>
          <w:i w:val="0"/>
        </w:rPr>
        <w:t>233</w:t>
      </w:r>
    </w:p>
    <w:p>
      <w:pPr>
        <w:spacing w:after="80"/>
        <w:ind w:left="360"/>
      </w:pPr>
      <w:r>
        <w:t xml:space="preserve">232. </w:t>
      </w:r>
      <w:r>
        <w:rPr>
          <w:b w:val="0"/>
          <w:i w:val="0"/>
        </w:rPr>
        <w:t>234</w:t>
      </w:r>
    </w:p>
    <w:p>
      <w:pPr>
        <w:spacing w:after="80"/>
        <w:ind w:left="360"/>
      </w:pPr>
      <w:r>
        <w:t xml:space="preserve">233. </w:t>
      </w:r>
      <w:r>
        <w:rPr>
          <w:b w:val="0"/>
          <w:i w:val="0"/>
        </w:rPr>
        <w:t>235</w:t>
      </w:r>
    </w:p>
    <w:p>
      <w:pPr>
        <w:spacing w:after="80"/>
        <w:ind w:left="360"/>
      </w:pPr>
      <w:r>
        <w:t xml:space="preserve">234. </w:t>
      </w:r>
      <w:r>
        <w:rPr>
          <w:b w:val="0"/>
          <w:i w:val="0"/>
        </w:rPr>
        <w:t>236</w:t>
      </w:r>
    </w:p>
    <w:p>
      <w:pPr>
        <w:spacing w:after="80"/>
        <w:ind w:left="360"/>
      </w:pPr>
      <w:r>
        <w:t xml:space="preserve">235. </w:t>
      </w:r>
      <w:r>
        <w:rPr>
          <w:b w:val="0"/>
          <w:i w:val="0"/>
        </w:rPr>
        <w:t>237</w:t>
      </w:r>
    </w:p>
    <w:p>
      <w:pPr>
        <w:spacing w:after="80"/>
        <w:ind w:left="360"/>
      </w:pPr>
      <w:r>
        <w:t xml:space="preserve">236. </w:t>
      </w:r>
      <w:r>
        <w:rPr>
          <w:b w:val="0"/>
          <w:i w:val="0"/>
        </w:rPr>
        <w:t>238</w:t>
      </w:r>
    </w:p>
    <w:p>
      <w:pPr>
        <w:spacing w:after="80"/>
        <w:ind w:left="360"/>
      </w:pPr>
      <w:r>
        <w:t xml:space="preserve">237. </w:t>
      </w:r>
      <w:r>
        <w:rPr>
          <w:b w:val="0"/>
          <w:i w:val="0"/>
        </w:rPr>
        <w:t>239</w:t>
      </w:r>
    </w:p>
    <w:p>
      <w:pPr>
        <w:spacing w:after="80"/>
        <w:ind w:left="360"/>
      </w:pPr>
      <w:r>
        <w:t xml:space="preserve">238. </w:t>
      </w:r>
      <w:r>
        <w:rPr>
          <w:b w:val="0"/>
          <w:i w:val="0"/>
        </w:rPr>
        <w:t>240</w:t>
      </w:r>
    </w:p>
    <w:p>
      <w:pPr>
        <w:spacing w:after="80"/>
        <w:ind w:left="360"/>
      </w:pPr>
      <w:r>
        <w:t xml:space="preserve">239. </w:t>
      </w:r>
      <w:r>
        <w:rPr>
          <w:b w:val="0"/>
          <w:i w:val="0"/>
        </w:rPr>
        <w:t>241</w:t>
      </w:r>
    </w:p>
    <w:p>
      <w:pPr>
        <w:spacing w:after="80"/>
        <w:ind w:left="360"/>
      </w:pPr>
      <w:r>
        <w:t xml:space="preserve">240. </w:t>
      </w:r>
      <w:r>
        <w:rPr>
          <w:b w:val="0"/>
          <w:i w:val="0"/>
        </w:rPr>
        <w:t>242</w:t>
      </w:r>
    </w:p>
    <w:p>
      <w:pPr>
        <w:spacing w:after="80"/>
        <w:ind w:left="360"/>
      </w:pPr>
      <w:r>
        <w:t xml:space="preserve">241. </w:t>
      </w:r>
      <w:r>
        <w:rPr>
          <w:b w:val="0"/>
          <w:i w:val="0"/>
        </w:rPr>
        <w:t>243</w:t>
      </w:r>
    </w:p>
    <w:p>
      <w:pPr>
        <w:spacing w:after="80"/>
        <w:ind w:left="360"/>
      </w:pPr>
      <w:r>
        <w:t xml:space="preserve">242. </w:t>
      </w:r>
      <w:r>
        <w:rPr>
          <w:b w:val="0"/>
          <w:i w:val="0"/>
        </w:rPr>
        <w:t>244</w:t>
      </w:r>
    </w:p>
    <w:p>
      <w:pPr>
        <w:spacing w:after="80"/>
        <w:ind w:left="360"/>
      </w:pPr>
      <w:r>
        <w:t xml:space="preserve">243. </w:t>
      </w:r>
      <w:r>
        <w:rPr>
          <w:b w:val="0"/>
          <w:i w:val="0"/>
        </w:rPr>
        <w:t>245</w:t>
      </w:r>
    </w:p>
    <w:p>
      <w:pPr>
        <w:spacing w:after="80"/>
        <w:ind w:left="360"/>
      </w:pPr>
      <w:r>
        <w:t xml:space="preserve">244. </w:t>
      </w:r>
      <w:r>
        <w:rPr>
          <w:b w:val="0"/>
          <w:i w:val="0"/>
        </w:rPr>
        <w:t>246</w:t>
      </w:r>
    </w:p>
    <w:p>
      <w:pPr>
        <w:spacing w:after="80"/>
        <w:ind w:left="360"/>
      </w:pPr>
      <w:r>
        <w:t xml:space="preserve">245. </w:t>
      </w:r>
      <w:r>
        <w:rPr>
          <w:b w:val="0"/>
          <w:i w:val="0"/>
        </w:rPr>
        <w:t>247</w:t>
      </w:r>
    </w:p>
    <w:p>
      <w:pPr>
        <w:spacing w:after="80"/>
        <w:ind w:left="360"/>
      </w:pPr>
      <w:r>
        <w:t xml:space="preserve">246. </w:t>
      </w:r>
      <w:r>
        <w:rPr>
          <w:b w:val="0"/>
          <w:i w:val="0"/>
        </w:rPr>
        <w:t>248</w:t>
      </w:r>
    </w:p>
    <w:p>
      <w:pPr>
        <w:spacing w:after="80"/>
        <w:ind w:left="360"/>
      </w:pPr>
      <w:r>
        <w:t xml:space="preserve">247. </w:t>
      </w:r>
      <w:r>
        <w:rPr>
          <w:b w:val="0"/>
          <w:i w:val="0"/>
        </w:rPr>
        <w:t>249</w:t>
      </w:r>
    </w:p>
    <w:p>
      <w:pPr>
        <w:spacing w:after="80"/>
        <w:ind w:left="360"/>
      </w:pPr>
      <w:r>
        <w:t xml:space="preserve">248. </w:t>
      </w:r>
      <w:r>
        <w:rPr>
          <w:b w:val="0"/>
          <w:i w:val="0"/>
        </w:rPr>
        <w:t>250</w:t>
      </w:r>
    </w:p>
    <w:p>
      <w:pPr>
        <w:spacing w:after="80"/>
        <w:ind w:left="360"/>
      </w:pPr>
      <w:r>
        <w:t xml:space="preserve">249. </w:t>
      </w:r>
      <w:r>
        <w:rPr>
          <w:b w:val="0"/>
          <w:i w:val="0"/>
        </w:rPr>
        <w:t>251</w:t>
      </w:r>
    </w:p>
    <w:p>
      <w:pPr>
        <w:spacing w:after="80"/>
        <w:ind w:left="360"/>
      </w:pPr>
      <w:r>
        <w:t xml:space="preserve">250. </w:t>
      </w:r>
      <w:r>
        <w:rPr>
          <w:b w:val="0"/>
          <w:i w:val="0"/>
        </w:rPr>
        <w:t>252</w:t>
      </w:r>
    </w:p>
    <w:p>
      <w:pPr>
        <w:spacing w:after="80"/>
        <w:ind w:left="360"/>
      </w:pPr>
      <w:r>
        <w:t xml:space="preserve">251. </w:t>
      </w:r>
      <w:r>
        <w:rPr>
          <w:b w:val="0"/>
          <w:i w:val="0"/>
        </w:rPr>
        <w:t>253</w:t>
      </w:r>
    </w:p>
    <w:p>
      <w:pPr>
        <w:spacing w:after="80"/>
        <w:ind w:left="360"/>
      </w:pPr>
      <w:r>
        <w:t xml:space="preserve">252. </w:t>
      </w:r>
      <w:r>
        <w:rPr>
          <w:b w:val="0"/>
          <w:i w:val="0"/>
        </w:rPr>
        <w:t>254</w:t>
      </w:r>
    </w:p>
    <w:p>
      <w:pPr>
        <w:spacing w:after="80"/>
        <w:ind w:left="360"/>
      </w:pPr>
      <w:r>
        <w:t xml:space="preserve">253. </w:t>
      </w:r>
      <w:r>
        <w:rPr>
          <w:b w:val="0"/>
          <w:i w:val="0"/>
        </w:rPr>
        <w:t>256</w:t>
      </w:r>
    </w:p>
    <w:p>
      <w:pPr>
        <w:spacing w:after="80"/>
        <w:ind w:left="360"/>
      </w:pPr>
      <w:r>
        <w:t xml:space="preserve">254. </w:t>
      </w:r>
      <w:r>
        <w:rPr>
          <w:b w:val="0"/>
          <w:i w:val="0"/>
        </w:rPr>
        <w:t>257</w:t>
      </w:r>
    </w:p>
    <w:p>
      <w:pPr>
        <w:spacing w:after="80"/>
        <w:ind w:left="360"/>
      </w:pPr>
      <w:r>
        <w:t xml:space="preserve">255. </w:t>
      </w:r>
      <w:r>
        <w:rPr>
          <w:b w:val="0"/>
          <w:i w:val="0"/>
        </w:rPr>
        <w:t>258</w:t>
      </w:r>
    </w:p>
    <w:p>
      <w:pPr>
        <w:spacing w:after="80"/>
        <w:ind w:left="360"/>
      </w:pPr>
      <w:r>
        <w:t xml:space="preserve">256. </w:t>
      </w:r>
      <w:r>
        <w:rPr>
          <w:b w:val="0"/>
          <w:i w:val="0"/>
        </w:rPr>
        <w:t>259</w:t>
      </w:r>
    </w:p>
    <w:p>
      <w:pPr>
        <w:spacing w:after="80"/>
        <w:ind w:left="360"/>
      </w:pPr>
      <w:r>
        <w:t xml:space="preserve">257. </w:t>
      </w:r>
      <w:r>
        <w:rPr>
          <w:b w:val="0"/>
          <w:i w:val="0"/>
        </w:rPr>
        <w:t>260</w:t>
      </w:r>
    </w:p>
    <w:p>
      <w:pPr>
        <w:spacing w:after="80"/>
        <w:ind w:left="360"/>
      </w:pPr>
      <w:r>
        <w:t xml:space="preserve">258. </w:t>
      </w:r>
      <w:r>
        <w:rPr>
          <w:b w:val="0"/>
          <w:i w:val="0"/>
        </w:rPr>
        <w:t>261</w:t>
      </w:r>
    </w:p>
    <w:p>
      <w:pPr>
        <w:spacing w:after="80"/>
        <w:ind w:left="360"/>
      </w:pPr>
      <w:r>
        <w:t xml:space="preserve">259. </w:t>
      </w:r>
      <w:r>
        <w:rPr>
          <w:b w:val="0"/>
          <w:i w:val="0"/>
        </w:rPr>
        <w:t>262</w:t>
      </w:r>
    </w:p>
    <w:p>
      <w:pPr>
        <w:spacing w:after="80"/>
        <w:ind w:left="360"/>
      </w:pPr>
      <w:r>
        <w:t xml:space="preserve">260. </w:t>
      </w:r>
      <w:r>
        <w:rPr>
          <w:b w:val="0"/>
          <w:i w:val="0"/>
        </w:rPr>
        <w:t>263</w:t>
      </w:r>
    </w:p>
    <w:p>
      <w:pPr>
        <w:spacing w:after="80"/>
        <w:ind w:left="360"/>
      </w:pPr>
      <w:r>
        <w:t xml:space="preserve">261. </w:t>
      </w:r>
      <w:r>
        <w:rPr>
          <w:b w:val="0"/>
          <w:i w:val="0"/>
        </w:rPr>
        <w:t>264</w:t>
      </w:r>
    </w:p>
    <w:p>
      <w:pPr>
        <w:spacing w:after="80"/>
        <w:ind w:left="360"/>
      </w:pPr>
      <w:r>
        <w:t xml:space="preserve">262. </w:t>
      </w:r>
      <w:r>
        <w:rPr>
          <w:b w:val="0"/>
          <w:i w:val="0"/>
        </w:rPr>
        <w:t>265</w:t>
      </w:r>
    </w:p>
    <w:p>
      <w:pPr>
        <w:spacing w:after="80"/>
        <w:ind w:left="360"/>
      </w:pPr>
      <w:r>
        <w:t xml:space="preserve">263. </w:t>
      </w:r>
      <w:r>
        <w:rPr>
          <w:b w:val="0"/>
          <w:i w:val="0"/>
        </w:rPr>
        <w:t>266</w:t>
      </w:r>
    </w:p>
    <w:p>
      <w:pPr>
        <w:spacing w:after="80"/>
        <w:ind w:left="360"/>
      </w:pPr>
      <w:r>
        <w:t xml:space="preserve">264. </w:t>
      </w:r>
      <w:r>
        <w:rPr>
          <w:b w:val="0"/>
          <w:i w:val="0"/>
        </w:rPr>
        <w:t>267</w:t>
      </w:r>
    </w:p>
    <w:p>
      <w:pPr>
        <w:spacing w:after="80"/>
        <w:ind w:left="360"/>
      </w:pPr>
      <w:r>
        <w:t xml:space="preserve">265. </w:t>
      </w:r>
      <w:r>
        <w:rPr>
          <w:b w:val="0"/>
          <w:i w:val="0"/>
        </w:rPr>
        <w:t>268</w:t>
      </w:r>
    </w:p>
    <w:p>
      <w:pPr>
        <w:spacing w:after="80"/>
        <w:ind w:left="360"/>
      </w:pPr>
      <w:r>
        <w:t xml:space="preserve">266. </w:t>
      </w:r>
      <w:r>
        <w:rPr>
          <w:b w:val="0"/>
          <w:i w:val="0"/>
        </w:rPr>
        <w:t>269</w:t>
      </w:r>
    </w:p>
    <w:p>
      <w:pPr>
        <w:spacing w:after="80"/>
        <w:ind w:left="360"/>
      </w:pPr>
      <w:r>
        <w:t xml:space="preserve">267. </w:t>
      </w:r>
      <w:r>
        <w:rPr>
          <w:b w:val="0"/>
          <w:i w:val="0"/>
        </w:rPr>
        <w:t>270</w:t>
      </w:r>
    </w:p>
    <w:p>
      <w:pPr>
        <w:spacing w:after="80"/>
        <w:ind w:left="360"/>
      </w:pPr>
      <w:r>
        <w:t xml:space="preserve">268. </w:t>
      </w:r>
      <w:r>
        <w:rPr>
          <w:b w:val="0"/>
          <w:i w:val="0"/>
        </w:rPr>
        <w:t>271</w:t>
      </w:r>
    </w:p>
    <w:p>
      <w:pPr>
        <w:spacing w:after="80"/>
        <w:ind w:left="360"/>
      </w:pPr>
      <w:r>
        <w:t xml:space="preserve">269. </w:t>
      </w:r>
      <w:r>
        <w:rPr>
          <w:b w:val="0"/>
          <w:i w:val="0"/>
        </w:rPr>
        <w:t>272</w:t>
      </w:r>
    </w:p>
    <w:p>
      <w:pPr>
        <w:spacing w:after="80"/>
        <w:ind w:left="360"/>
      </w:pPr>
      <w:r>
        <w:t xml:space="preserve">270. </w:t>
      </w:r>
      <w:r>
        <w:rPr>
          <w:b w:val="0"/>
          <w:i w:val="0"/>
        </w:rPr>
        <w:t>274</w:t>
      </w:r>
    </w:p>
    <w:p>
      <w:pPr>
        <w:spacing w:after="80"/>
        <w:ind w:left="360"/>
      </w:pPr>
      <w:r>
        <w:t xml:space="preserve">271. </w:t>
      </w:r>
      <w:r>
        <w:rPr>
          <w:b w:val="0"/>
          <w:i w:val="0"/>
        </w:rPr>
        <w:t>275</w:t>
      </w:r>
    </w:p>
    <w:p>
      <w:pPr>
        <w:spacing w:after="80"/>
        <w:ind w:left="360"/>
      </w:pPr>
      <w:r>
        <w:t xml:space="preserve">272. </w:t>
      </w:r>
      <w:r>
        <w:rPr>
          <w:b w:val="0"/>
          <w:i w:val="0"/>
        </w:rPr>
        <w:t>276</w:t>
      </w:r>
    </w:p>
    <w:p>
      <w:pPr>
        <w:spacing w:after="80"/>
        <w:ind w:left="360"/>
      </w:pPr>
      <w:r>
        <w:t xml:space="preserve">273. </w:t>
      </w:r>
      <w:r>
        <w:rPr>
          <w:b w:val="0"/>
          <w:i w:val="0"/>
        </w:rPr>
        <w:t>277</w:t>
      </w:r>
    </w:p>
    <w:p>
      <w:pPr>
        <w:spacing w:after="80"/>
        <w:ind w:left="360"/>
      </w:pPr>
      <w:r>
        <w:t xml:space="preserve">274. </w:t>
      </w:r>
      <w:r>
        <w:rPr>
          <w:b w:val="0"/>
          <w:i w:val="0"/>
        </w:rPr>
        <w:t>278</w:t>
      </w:r>
    </w:p>
    <w:p>
      <w:pPr>
        <w:spacing w:after="80"/>
        <w:ind w:left="360"/>
      </w:pPr>
      <w:r>
        <w:t xml:space="preserve">275. </w:t>
      </w:r>
      <w:r>
        <w:rPr>
          <w:b w:val="0"/>
          <w:i w:val="0"/>
        </w:rPr>
        <w:t>279</w:t>
      </w:r>
    </w:p>
    <w:p>
      <w:pPr>
        <w:spacing w:after="80"/>
        <w:ind w:left="360"/>
      </w:pPr>
      <w:r>
        <w:t xml:space="preserve">276. </w:t>
      </w:r>
      <w:r>
        <w:rPr>
          <w:b w:val="0"/>
          <w:i w:val="0"/>
        </w:rPr>
        <w:t>280</w:t>
      </w:r>
    </w:p>
    <w:p>
      <w:pPr>
        <w:spacing w:after="80"/>
        <w:ind w:left="360"/>
      </w:pPr>
      <w:r>
        <w:t xml:space="preserve">277. </w:t>
      </w:r>
      <w:r>
        <w:rPr>
          <w:b w:val="0"/>
          <w:i w:val="0"/>
        </w:rPr>
        <w:t>281</w:t>
      </w:r>
    </w:p>
    <w:p>
      <w:pPr>
        <w:spacing w:after="80"/>
        <w:ind w:left="360"/>
      </w:pPr>
      <w:r>
        <w:t xml:space="preserve">278. </w:t>
      </w:r>
      <w:r>
        <w:rPr>
          <w:b w:val="0"/>
          <w:i w:val="0"/>
        </w:rPr>
        <w:t>282</w:t>
      </w:r>
    </w:p>
    <w:p>
      <w:pPr>
        <w:spacing w:after="80"/>
        <w:ind w:left="360"/>
      </w:pPr>
      <w:r>
        <w:t xml:space="preserve">279. </w:t>
      </w:r>
      <w:r>
        <w:rPr>
          <w:b w:val="0"/>
          <w:i w:val="0"/>
        </w:rPr>
        <w:t>284</w:t>
      </w:r>
    </w:p>
    <w:p>
      <w:pPr>
        <w:spacing w:after="80"/>
        <w:ind w:left="360"/>
      </w:pPr>
      <w:r>
        <w:t xml:space="preserve">280. </w:t>
      </w:r>
      <w:r>
        <w:rPr>
          <w:b w:val="0"/>
          <w:i w:val="0"/>
        </w:rPr>
        <w:t>285</w:t>
      </w:r>
    </w:p>
    <w:p>
      <w:pPr>
        <w:spacing w:after="80"/>
        <w:ind w:left="360"/>
      </w:pPr>
      <w:r>
        <w:t xml:space="preserve">281. </w:t>
      </w:r>
      <w:r>
        <w:rPr>
          <w:b w:val="0"/>
          <w:i w:val="0"/>
        </w:rPr>
        <w:t>286</w:t>
      </w:r>
    </w:p>
    <w:p>
      <w:pPr>
        <w:spacing w:after="80"/>
        <w:ind w:left="360"/>
      </w:pPr>
      <w:r>
        <w:t xml:space="preserve">282. </w:t>
      </w:r>
      <w:r>
        <w:rPr>
          <w:b w:val="0"/>
          <w:i w:val="0"/>
        </w:rPr>
        <w:t>287</w:t>
      </w:r>
    </w:p>
    <w:p>
      <w:pPr>
        <w:spacing w:after="80"/>
        <w:ind w:left="360"/>
      </w:pPr>
      <w:r>
        <w:t xml:space="preserve">283. </w:t>
      </w:r>
      <w:r>
        <w:rPr>
          <w:b w:val="0"/>
          <w:i w:val="0"/>
        </w:rPr>
        <w:t>288</w:t>
      </w:r>
    </w:p>
    <w:p>
      <w:pPr>
        <w:spacing w:after="80"/>
        <w:ind w:left="360"/>
      </w:pPr>
      <w:r>
        <w:t xml:space="preserve">284. </w:t>
      </w:r>
      <w:r>
        <w:rPr>
          <w:b w:val="0"/>
          <w:i w:val="0"/>
        </w:rPr>
        <w:t>289</w:t>
      </w:r>
    </w:p>
    <w:p>
      <w:pPr>
        <w:spacing w:after="80"/>
        <w:ind w:left="360"/>
      </w:pPr>
      <w:r>
        <w:t xml:space="preserve">285. </w:t>
      </w:r>
      <w:r>
        <w:rPr>
          <w:b w:val="0"/>
          <w:i w:val="0"/>
        </w:rPr>
        <w:t>290</w:t>
      </w:r>
    </w:p>
    <w:p>
      <w:pPr>
        <w:spacing w:after="80"/>
        <w:ind w:left="360"/>
      </w:pPr>
      <w:r>
        <w:t xml:space="preserve">286. </w:t>
      </w:r>
      <w:r>
        <w:rPr>
          <w:b w:val="0"/>
          <w:i w:val="0"/>
        </w:rPr>
        <w:t>291</w:t>
      </w:r>
    </w:p>
    <w:p>
      <w:pPr>
        <w:spacing w:after="80"/>
        <w:ind w:left="360"/>
      </w:pPr>
      <w:r>
        <w:t xml:space="preserve">287. </w:t>
      </w:r>
      <w:r>
        <w:rPr>
          <w:b w:val="0"/>
          <w:i w:val="0"/>
        </w:rPr>
        <w:t>292</w:t>
      </w:r>
    </w:p>
    <w:p>
      <w:pPr>
        <w:spacing w:after="80"/>
        <w:ind w:left="360"/>
      </w:pPr>
      <w:r>
        <w:t xml:space="preserve">288. </w:t>
      </w:r>
      <w:r>
        <w:rPr>
          <w:b w:val="0"/>
          <w:i w:val="0"/>
        </w:rPr>
        <w:t>293</w:t>
      </w:r>
    </w:p>
    <w:p>
      <w:pPr>
        <w:spacing w:after="80"/>
        <w:ind w:left="360"/>
      </w:pPr>
      <w:r>
        <w:t xml:space="preserve">289. </w:t>
      </w:r>
      <w:r>
        <w:rPr>
          <w:b w:val="0"/>
          <w:i w:val="0"/>
        </w:rPr>
        <w:t>294</w:t>
      </w:r>
    </w:p>
    <w:p>
      <w:pPr>
        <w:spacing w:after="80"/>
        <w:ind w:left="360"/>
      </w:pPr>
      <w:r>
        <w:t xml:space="preserve">290. </w:t>
      </w:r>
      <w:r>
        <w:rPr>
          <w:b w:val="0"/>
          <w:i w:val="0"/>
        </w:rPr>
        <w:t>295</w:t>
      </w:r>
    </w:p>
    <w:p>
      <w:pPr>
        <w:spacing w:after="80"/>
        <w:ind w:left="360"/>
      </w:pPr>
      <w:r>
        <w:t xml:space="preserve">291. </w:t>
      </w:r>
      <w:r>
        <w:rPr>
          <w:b w:val="0"/>
          <w:i w:val="0"/>
        </w:rPr>
        <w:t>296</w:t>
      </w:r>
    </w:p>
    <w:p>
      <w:pPr>
        <w:spacing w:after="80"/>
        <w:ind w:left="360"/>
      </w:pPr>
      <w:r>
        <w:t xml:space="preserve">292. </w:t>
      </w:r>
      <w:r>
        <w:rPr>
          <w:b w:val="0"/>
          <w:i w:val="0"/>
        </w:rPr>
        <w:t>297</w:t>
      </w:r>
    </w:p>
    <w:p>
      <w:pPr>
        <w:spacing w:after="80"/>
        <w:ind w:left="360"/>
      </w:pPr>
      <w:r>
        <w:t xml:space="preserve">293. </w:t>
      </w:r>
      <w:r>
        <w:rPr>
          <w:b w:val="0"/>
          <w:i w:val="0"/>
        </w:rPr>
        <w:t>298</w:t>
      </w:r>
    </w:p>
    <w:p>
      <w:pPr>
        <w:spacing w:after="80"/>
        <w:ind w:left="360"/>
      </w:pPr>
      <w:r>
        <w:t xml:space="preserve">294. </w:t>
      </w:r>
      <w:r>
        <w:rPr>
          <w:b w:val="0"/>
          <w:i w:val="0"/>
        </w:rPr>
        <w:t>299</w:t>
      </w:r>
    </w:p>
    <w:p>
      <w:pPr>
        <w:spacing w:after="80"/>
        <w:ind w:left="360"/>
      </w:pPr>
      <w:r>
        <w:t xml:space="preserve">295. </w:t>
      </w:r>
      <w:r>
        <w:rPr>
          <w:b w:val="0"/>
          <w:i w:val="0"/>
        </w:rPr>
        <w:t>300</w:t>
      </w:r>
    </w:p>
    <w:p>
      <w:pPr>
        <w:spacing w:after="80"/>
        <w:ind w:left="360"/>
      </w:pPr>
      <w:r>
        <w:t xml:space="preserve">296. </w:t>
      </w:r>
      <w:r>
        <w:rPr>
          <w:b w:val="0"/>
          <w:i w:val="0"/>
        </w:rPr>
        <w:t>301</w:t>
      </w:r>
    </w:p>
    <w:p>
      <w:pPr>
        <w:spacing w:after="80"/>
        <w:ind w:left="360"/>
      </w:pPr>
      <w:r>
        <w:t xml:space="preserve">297. </w:t>
      </w:r>
      <w:r>
        <w:rPr>
          <w:b w:val="0"/>
          <w:i w:val="0"/>
        </w:rPr>
        <w:t>302</w:t>
      </w:r>
    </w:p>
    <w:p>
      <w:pPr>
        <w:spacing w:after="80"/>
        <w:ind w:left="360"/>
      </w:pPr>
      <w:r>
        <w:t xml:space="preserve">298. </w:t>
      </w:r>
      <w:r>
        <w:rPr>
          <w:b w:val="0"/>
          <w:i w:val="0"/>
        </w:rPr>
        <w:t>303</w:t>
      </w:r>
    </w:p>
    <w:p>
      <w:pPr>
        <w:spacing w:after="80"/>
        <w:ind w:left="360"/>
      </w:pPr>
      <w:r>
        <w:t xml:space="preserve">299. </w:t>
      </w:r>
      <w:r>
        <w:rPr>
          <w:b w:val="0"/>
          <w:i w:val="0"/>
        </w:rPr>
        <w:t>304</w:t>
      </w:r>
    </w:p>
    <w:p>
      <w:pPr>
        <w:spacing w:after="80"/>
        <w:ind w:left="360"/>
      </w:pPr>
      <w:r>
        <w:t xml:space="preserve">300. </w:t>
      </w:r>
      <w:r>
        <w:rPr>
          <w:b w:val="0"/>
          <w:i w:val="0"/>
        </w:rPr>
        <w:t>305</w:t>
      </w:r>
    </w:p>
    <w:p>
      <w:pPr>
        <w:spacing w:after="80"/>
        <w:ind w:left="360"/>
      </w:pPr>
      <w:r>
        <w:t xml:space="preserve">301. </w:t>
      </w:r>
      <w:r>
        <w:rPr>
          <w:b w:val="0"/>
          <w:i w:val="0"/>
        </w:rPr>
        <w:t>306</w:t>
      </w:r>
    </w:p>
    <w:p>
      <w:pPr>
        <w:spacing w:after="80"/>
        <w:ind w:left="360"/>
      </w:pPr>
      <w:r>
        <w:t xml:space="preserve">302. </w:t>
      </w:r>
      <w:r>
        <w:rPr>
          <w:b w:val="0"/>
          <w:i w:val="0"/>
        </w:rPr>
        <w:t>307</w:t>
      </w:r>
    </w:p>
    <w:p>
      <w:pPr>
        <w:spacing w:after="80"/>
        <w:ind w:left="360"/>
      </w:pPr>
      <w:r>
        <w:t xml:space="preserve">303. </w:t>
      </w:r>
      <w:r>
        <w:rPr>
          <w:b w:val="0"/>
          <w:i w:val="0"/>
        </w:rPr>
        <w:t>308</w:t>
      </w:r>
    </w:p>
    <w:p>
      <w:pPr>
        <w:spacing w:after="80"/>
        <w:ind w:left="360"/>
      </w:pPr>
      <w:r>
        <w:t xml:space="preserve">304. </w:t>
      </w:r>
      <w:r>
        <w:rPr>
          <w:b w:val="0"/>
          <w:i w:val="0"/>
        </w:rPr>
        <w:t>309</w:t>
      </w:r>
    </w:p>
    <w:p>
      <w:pPr>
        <w:spacing w:after="80"/>
        <w:ind w:left="360"/>
      </w:pPr>
      <w:r>
        <w:t xml:space="preserve">305. </w:t>
      </w:r>
      <w:r>
        <w:rPr>
          <w:b w:val="0"/>
          <w:i w:val="0"/>
        </w:rPr>
        <w:t>310</w:t>
      </w:r>
    </w:p>
    <w:p>
      <w:pPr>
        <w:spacing w:after="80"/>
        <w:ind w:left="360"/>
      </w:pPr>
      <w:r>
        <w:t xml:space="preserve">306. </w:t>
      </w:r>
      <w:r>
        <w:rPr>
          <w:b w:val="0"/>
          <w:i w:val="0"/>
        </w:rPr>
        <w:t>311</w:t>
      </w:r>
    </w:p>
    <w:p>
      <w:pPr>
        <w:spacing w:after="80"/>
        <w:ind w:left="360"/>
      </w:pPr>
      <w:r>
        <w:t xml:space="preserve">307. </w:t>
      </w:r>
      <w:r>
        <w:rPr>
          <w:b w:val="0"/>
          <w:i w:val="0"/>
        </w:rPr>
        <w:t>312</w:t>
      </w:r>
    </w:p>
    <w:p>
      <w:pPr>
        <w:spacing w:after="80"/>
        <w:ind w:left="360"/>
      </w:pPr>
      <w:r>
        <w:t xml:space="preserve">308. </w:t>
      </w:r>
      <w:r>
        <w:rPr>
          <w:b w:val="0"/>
          <w:i w:val="0"/>
        </w:rPr>
        <w:t>313</w:t>
      </w:r>
    </w:p>
    <w:p>
      <w:pPr>
        <w:spacing w:after="80"/>
        <w:ind w:left="360"/>
      </w:pPr>
      <w:r>
        <w:t xml:space="preserve">309. </w:t>
      </w:r>
      <w:r>
        <w:rPr>
          <w:b w:val="0"/>
          <w:i w:val="0"/>
        </w:rPr>
        <w:t>314</w:t>
      </w:r>
    </w:p>
    <w:p>
      <w:pPr>
        <w:spacing w:after="80"/>
        <w:ind w:left="360"/>
      </w:pPr>
      <w:r>
        <w:t xml:space="preserve">310. </w:t>
      </w:r>
      <w:r>
        <w:rPr>
          <w:b w:val="0"/>
          <w:i w:val="0"/>
        </w:rPr>
        <w:t>315</w:t>
      </w:r>
    </w:p>
    <w:p>
      <w:pPr>
        <w:spacing w:after="80"/>
        <w:ind w:left="360"/>
      </w:pPr>
      <w:r>
        <w:t xml:space="preserve">311. </w:t>
      </w:r>
      <w:r>
        <w:rPr>
          <w:b w:val="0"/>
          <w:i w:val="0"/>
        </w:rPr>
        <w:t>316</w:t>
      </w:r>
    </w:p>
    <w:p>
      <w:pPr>
        <w:spacing w:after="80"/>
        <w:ind w:left="360"/>
      </w:pPr>
      <w:r>
        <w:t xml:space="preserve">312. </w:t>
      </w:r>
      <w:r>
        <w:rPr>
          <w:b w:val="0"/>
          <w:i w:val="0"/>
        </w:rPr>
        <w:t>317</w:t>
      </w:r>
    </w:p>
    <w:p>
      <w:pPr>
        <w:spacing w:after="80"/>
        <w:ind w:left="360"/>
      </w:pPr>
      <w:r>
        <w:t xml:space="preserve">313. </w:t>
      </w:r>
      <w:r>
        <w:rPr>
          <w:b w:val="0"/>
          <w:i w:val="0"/>
        </w:rPr>
        <w:t>318</w:t>
      </w:r>
    </w:p>
    <w:p>
      <w:pPr>
        <w:spacing w:after="80"/>
        <w:ind w:left="360"/>
      </w:pPr>
      <w:r>
        <w:t xml:space="preserve">314. </w:t>
      </w:r>
      <w:r>
        <w:rPr>
          <w:b w:val="0"/>
          <w:i w:val="0"/>
        </w:rPr>
        <w:t>319</w:t>
      </w:r>
    </w:p>
    <w:p>
      <w:pPr>
        <w:spacing w:after="80"/>
        <w:ind w:left="360"/>
      </w:pPr>
      <w:r>
        <w:t xml:space="preserve">315. </w:t>
      </w:r>
      <w:r>
        <w:rPr>
          <w:b w:val="0"/>
          <w:i w:val="0"/>
        </w:rPr>
        <w:t>320</w:t>
      </w:r>
    </w:p>
    <w:p>
      <w:pPr>
        <w:spacing w:after="80"/>
        <w:ind w:left="360"/>
      </w:pPr>
      <w:r>
        <w:t xml:space="preserve">316. </w:t>
      </w:r>
      <w:r>
        <w:rPr>
          <w:b w:val="0"/>
          <w:i w:val="0"/>
        </w:rPr>
        <w:t>321</w:t>
      </w:r>
    </w:p>
    <w:p>
      <w:pPr>
        <w:spacing w:after="80"/>
        <w:ind w:left="360"/>
      </w:pPr>
      <w:r>
        <w:t xml:space="preserve">317. </w:t>
      </w:r>
      <w:r>
        <w:rPr>
          <w:b w:val="0"/>
          <w:i w:val="0"/>
        </w:rPr>
        <w:t>322</w:t>
      </w:r>
    </w:p>
    <w:p>
      <w:pPr>
        <w:spacing w:after="80"/>
        <w:ind w:left="360"/>
      </w:pPr>
      <w:r>
        <w:t xml:space="preserve">318. </w:t>
      </w:r>
      <w:r>
        <w:rPr>
          <w:b w:val="0"/>
          <w:i w:val="0"/>
        </w:rPr>
        <w:t>323</w:t>
      </w:r>
    </w:p>
    <w:p>
      <w:pPr>
        <w:spacing w:after="80"/>
        <w:ind w:left="360"/>
      </w:pPr>
      <w:r>
        <w:t xml:space="preserve">319. </w:t>
      </w:r>
      <w:r>
        <w:rPr>
          <w:b w:val="0"/>
          <w:i w:val="0"/>
        </w:rPr>
        <w:t>324</w:t>
      </w:r>
    </w:p>
    <w:p>
      <w:pPr>
        <w:spacing w:after="80"/>
        <w:ind w:left="360"/>
      </w:pPr>
      <w:r>
        <w:t xml:space="preserve">320. </w:t>
      </w:r>
      <w:r>
        <w:rPr>
          <w:b w:val="0"/>
          <w:i w:val="0"/>
        </w:rPr>
        <w:t>325</w:t>
      </w:r>
    </w:p>
    <w:p>
      <w:pPr>
        <w:spacing w:after="80"/>
        <w:ind w:left="360"/>
      </w:pPr>
      <w:r>
        <w:t xml:space="preserve">321. </w:t>
      </w:r>
      <w:r>
        <w:rPr>
          <w:b w:val="0"/>
          <w:i w:val="0"/>
        </w:rPr>
        <w:t>326</w:t>
      </w:r>
    </w:p>
    <w:p>
      <w:pPr>
        <w:spacing w:after="80"/>
        <w:ind w:left="360"/>
      </w:pPr>
      <w:r>
        <w:t xml:space="preserve">322. </w:t>
      </w:r>
      <w:r>
        <w:rPr>
          <w:b w:val="0"/>
          <w:i w:val="0"/>
        </w:rPr>
        <w:t>327</w:t>
      </w:r>
    </w:p>
    <w:p>
      <w:pPr>
        <w:spacing w:after="80"/>
        <w:ind w:left="360"/>
      </w:pPr>
      <w:r>
        <w:t xml:space="preserve">323. </w:t>
      </w:r>
      <w:r>
        <w:rPr>
          <w:b w:val="0"/>
          <w:i w:val="0"/>
        </w:rPr>
        <w:t>328</w:t>
      </w:r>
    </w:p>
    <w:p>
      <w:pPr>
        <w:spacing w:after="80"/>
        <w:ind w:left="360"/>
      </w:pPr>
      <w:r>
        <w:t xml:space="preserve">324. </w:t>
      </w:r>
      <w:r>
        <w:rPr>
          <w:b w:val="0"/>
          <w:i w:val="0"/>
        </w:rPr>
        <w:t>329</w:t>
      </w:r>
    </w:p>
    <w:p>
      <w:pPr>
        <w:spacing w:after="80"/>
        <w:ind w:left="360"/>
      </w:pPr>
      <w:r>
        <w:t xml:space="preserve">325. </w:t>
      </w:r>
      <w:r>
        <w:rPr>
          <w:b w:val="0"/>
          <w:i w:val="0"/>
        </w:rPr>
        <w:t>330</w:t>
      </w:r>
    </w:p>
    <w:p>
      <w:pPr>
        <w:spacing w:after="80"/>
        <w:ind w:left="360"/>
      </w:pPr>
      <w:r>
        <w:t xml:space="preserve">326. </w:t>
      </w:r>
      <w:r>
        <w:rPr>
          <w:b w:val="0"/>
          <w:i w:val="0"/>
        </w:rPr>
        <w:t>331</w:t>
      </w:r>
    </w:p>
    <w:p>
      <w:pPr>
        <w:spacing w:after="80"/>
        <w:ind w:left="360"/>
      </w:pPr>
      <w:r>
        <w:t xml:space="preserve">327. </w:t>
      </w:r>
      <w:r>
        <w:rPr>
          <w:b w:val="0"/>
          <w:i w:val="0"/>
        </w:rPr>
        <w:t>332</w:t>
      </w:r>
    </w:p>
    <w:p>
      <w:pPr>
        <w:spacing w:after="80"/>
        <w:ind w:left="360"/>
      </w:pPr>
      <w:r>
        <w:t xml:space="preserve">328. </w:t>
      </w:r>
      <w:r>
        <w:rPr>
          <w:b w:val="0"/>
          <w:i w:val="0"/>
        </w:rPr>
        <w:t>333</w:t>
      </w:r>
    </w:p>
    <w:p>
      <w:pPr>
        <w:spacing w:after="80"/>
        <w:ind w:left="360"/>
      </w:pPr>
      <w:r>
        <w:t xml:space="preserve">329. </w:t>
      </w:r>
      <w:r>
        <w:rPr>
          <w:b w:val="0"/>
          <w:i w:val="0"/>
        </w:rPr>
        <w:t>334</w:t>
      </w:r>
    </w:p>
    <w:p>
      <w:pPr>
        <w:spacing w:after="80"/>
        <w:ind w:left="360"/>
      </w:pPr>
      <w:r>
        <w:t xml:space="preserve">330. </w:t>
      </w:r>
      <w:r>
        <w:rPr>
          <w:b w:val="0"/>
          <w:i w:val="0"/>
        </w:rPr>
        <w:t>335</w:t>
      </w:r>
    </w:p>
    <w:p>
      <w:pPr>
        <w:spacing w:after="80"/>
        <w:ind w:left="360"/>
      </w:pPr>
      <w:r>
        <w:t xml:space="preserve">331. </w:t>
      </w:r>
      <w:r>
        <w:rPr>
          <w:b w:val="0"/>
          <w:i w:val="0"/>
        </w:rPr>
        <w:t>336</w:t>
      </w:r>
    </w:p>
    <w:p>
      <w:pPr>
        <w:spacing w:after="80"/>
        <w:ind w:left="360"/>
      </w:pPr>
      <w:r>
        <w:t xml:space="preserve">332. </w:t>
      </w:r>
      <w:r>
        <w:rPr>
          <w:b w:val="0"/>
          <w:i w:val="0"/>
        </w:rPr>
        <w:t>337</w:t>
      </w:r>
    </w:p>
    <w:p>
      <w:pPr>
        <w:spacing w:after="80"/>
        <w:ind w:left="360"/>
      </w:pPr>
      <w:r>
        <w:t xml:space="preserve">333. </w:t>
      </w:r>
      <w:r>
        <w:rPr>
          <w:b w:val="0"/>
          <w:i w:val="0"/>
        </w:rPr>
        <w:t>338</w:t>
      </w:r>
    </w:p>
    <w:p>
      <w:pPr>
        <w:spacing w:after="80"/>
        <w:ind w:left="360"/>
      </w:pPr>
      <w:r>
        <w:t xml:space="preserve">334. </w:t>
      </w:r>
      <w:r>
        <w:rPr>
          <w:b w:val="0"/>
          <w:i w:val="0"/>
        </w:rPr>
        <w:t>339</w:t>
      </w:r>
    </w:p>
    <w:p>
      <w:pPr>
        <w:spacing w:after="80"/>
        <w:ind w:left="360"/>
      </w:pPr>
      <w:r>
        <w:t xml:space="preserve">335. </w:t>
      </w:r>
      <w:r>
        <w:rPr>
          <w:b w:val="0"/>
          <w:i w:val="0"/>
        </w:rPr>
        <w:t>340</w:t>
      </w:r>
    </w:p>
    <w:p>
      <w:pPr>
        <w:spacing w:after="80"/>
        <w:ind w:left="360"/>
      </w:pPr>
      <w:r>
        <w:t xml:space="preserve">336. </w:t>
      </w:r>
      <w:r>
        <w:rPr>
          <w:b w:val="0"/>
          <w:i w:val="0"/>
        </w:rPr>
        <w:t>341</w:t>
      </w:r>
    </w:p>
    <w:p>
      <w:pPr>
        <w:spacing w:after="80"/>
        <w:ind w:left="360"/>
      </w:pPr>
      <w:r>
        <w:t xml:space="preserve">337. </w:t>
      </w:r>
      <w:r>
        <w:rPr>
          <w:b w:val="0"/>
          <w:i w:val="0"/>
        </w:rPr>
        <w:t>342</w:t>
      </w:r>
    </w:p>
    <w:p>
      <w:pPr>
        <w:spacing w:after="80"/>
        <w:ind w:left="360"/>
      </w:pPr>
      <w:r>
        <w:t xml:space="preserve">338. </w:t>
      </w:r>
      <w:r>
        <w:rPr>
          <w:b w:val="0"/>
          <w:i w:val="0"/>
        </w:rPr>
        <w:t>343</w:t>
      </w:r>
    </w:p>
    <w:p>
      <w:pPr>
        <w:spacing w:after="80"/>
        <w:ind w:left="360"/>
      </w:pPr>
      <w:r>
        <w:t xml:space="preserve">339. </w:t>
      </w:r>
      <w:r>
        <w:rPr>
          <w:b w:val="0"/>
          <w:i w:val="0"/>
        </w:rPr>
        <w:t>344</w:t>
      </w:r>
    </w:p>
    <w:p>
      <w:pPr>
        <w:spacing w:after="80"/>
        <w:ind w:left="360"/>
      </w:pPr>
      <w:r>
        <w:t xml:space="preserve">340. </w:t>
      </w:r>
      <w:r>
        <w:rPr>
          <w:b w:val="0"/>
          <w:i w:val="0"/>
        </w:rPr>
        <w:t>345</w:t>
      </w:r>
    </w:p>
    <w:p>
      <w:pPr>
        <w:spacing w:after="80"/>
        <w:ind w:left="360"/>
      </w:pPr>
      <w:r>
        <w:t xml:space="preserve">341. </w:t>
      </w:r>
      <w:r>
        <w:rPr>
          <w:b w:val="0"/>
          <w:i w:val="0"/>
        </w:rPr>
        <w:t>346</w:t>
      </w:r>
    </w:p>
    <w:p>
      <w:pPr>
        <w:spacing w:after="80"/>
        <w:ind w:left="360"/>
      </w:pPr>
      <w:r>
        <w:t xml:space="preserve">342. </w:t>
      </w:r>
      <w:r>
        <w:rPr>
          <w:b w:val="0"/>
          <w:i w:val="0"/>
        </w:rPr>
        <w:t>347</w:t>
      </w:r>
    </w:p>
    <w:p>
      <w:pPr>
        <w:spacing w:after="80"/>
        <w:ind w:left="360"/>
      </w:pPr>
      <w:r>
        <w:t xml:space="preserve">343. </w:t>
      </w:r>
      <w:r>
        <w:rPr>
          <w:b w:val="0"/>
          <w:i w:val="0"/>
        </w:rPr>
        <w:t>348</w:t>
      </w:r>
    </w:p>
    <w:p>
      <w:pPr>
        <w:spacing w:after="80"/>
        <w:ind w:left="360"/>
      </w:pPr>
      <w:r>
        <w:t xml:space="preserve">344. </w:t>
      </w:r>
      <w:r>
        <w:rPr>
          <w:b w:val="0"/>
          <w:i w:val="0"/>
        </w:rPr>
        <w:t>349</w:t>
      </w:r>
    </w:p>
    <w:p>
      <w:pPr>
        <w:spacing w:after="80"/>
        <w:ind w:left="360"/>
      </w:pPr>
      <w:r>
        <w:t xml:space="preserve">345. </w:t>
      </w:r>
      <w:r>
        <w:rPr>
          <w:b w:val="0"/>
          <w:i w:val="0"/>
        </w:rPr>
        <w:t>350</w:t>
      </w:r>
    </w:p>
    <w:p>
      <w:pPr>
        <w:spacing w:after="80"/>
        <w:ind w:left="360"/>
      </w:pPr>
      <w:r>
        <w:t xml:space="preserve">346. </w:t>
      </w:r>
      <w:r>
        <w:rPr>
          <w:b w:val="0"/>
          <w:i w:val="0"/>
        </w:rPr>
        <w:t>351</w:t>
      </w:r>
    </w:p>
    <w:p>
      <w:pPr>
        <w:spacing w:after="80"/>
        <w:ind w:left="360"/>
      </w:pPr>
      <w:r>
        <w:t xml:space="preserve">347. </w:t>
      </w:r>
      <w:r>
        <w:rPr>
          <w:b w:val="0"/>
          <w:i w:val="0"/>
        </w:rPr>
        <w:t>352</w:t>
      </w:r>
    </w:p>
    <w:p>
      <w:pPr>
        <w:spacing w:after="80"/>
        <w:ind w:left="360"/>
      </w:pPr>
      <w:r>
        <w:t xml:space="preserve">348. </w:t>
      </w:r>
      <w:r>
        <w:rPr>
          <w:b w:val="0"/>
          <w:i w:val="0"/>
        </w:rPr>
        <w:t>353</w:t>
      </w:r>
    </w:p>
    <w:p>
      <w:pPr>
        <w:spacing w:after="80"/>
        <w:ind w:left="360"/>
      </w:pPr>
      <w:r>
        <w:t xml:space="preserve">349. </w:t>
      </w:r>
      <w:r>
        <w:rPr>
          <w:b w:val="0"/>
          <w:i w:val="0"/>
        </w:rPr>
        <w:t>354</w:t>
      </w:r>
    </w:p>
    <w:p>
      <w:pPr>
        <w:spacing w:after="80"/>
        <w:ind w:left="360"/>
      </w:pPr>
      <w:r>
        <w:t xml:space="preserve">350. </w:t>
      </w:r>
      <w:r>
        <w:rPr>
          <w:b w:val="0"/>
          <w:i w:val="0"/>
        </w:rPr>
        <w:t>355</w:t>
      </w:r>
    </w:p>
    <w:p>
      <w:pPr>
        <w:spacing w:after="80"/>
        <w:ind w:left="360"/>
      </w:pPr>
      <w:r>
        <w:t xml:space="preserve">351. </w:t>
      </w:r>
      <w:r>
        <w:rPr>
          <w:b w:val="0"/>
          <w:i w:val="0"/>
        </w:rPr>
        <w:t>356</w:t>
      </w:r>
    </w:p>
    <w:p>
      <w:pPr>
        <w:spacing w:after="80"/>
        <w:ind w:left="360"/>
      </w:pPr>
      <w:r>
        <w:t xml:space="preserve">352. </w:t>
      </w:r>
      <w:r>
        <w:rPr>
          <w:b w:val="0"/>
          <w:i w:val="0"/>
        </w:rPr>
        <w:t>358</w:t>
      </w:r>
    </w:p>
    <w:p>
      <w:pPr>
        <w:spacing w:after="80"/>
        <w:ind w:left="360"/>
      </w:pPr>
      <w:r>
        <w:t xml:space="preserve">353. </w:t>
      </w:r>
      <w:r>
        <w:rPr>
          <w:b w:val="0"/>
          <w:i w:val="0"/>
        </w:rPr>
        <w:t>359</w:t>
      </w:r>
    </w:p>
    <w:p>
      <w:pPr>
        <w:spacing w:after="80"/>
        <w:ind w:left="360"/>
      </w:pPr>
      <w:r>
        <w:t xml:space="preserve">354. </w:t>
      </w:r>
      <w:r>
        <w:rPr>
          <w:b w:val="0"/>
          <w:i w:val="0"/>
        </w:rPr>
        <w:t>360</w:t>
      </w:r>
    </w:p>
    <w:p>
      <w:pPr>
        <w:spacing w:after="80"/>
        <w:ind w:left="360"/>
      </w:pPr>
      <w:r>
        <w:t xml:space="preserve">355. </w:t>
      </w:r>
      <w:r>
        <w:rPr>
          <w:b w:val="0"/>
          <w:i w:val="0"/>
        </w:rPr>
        <w:t>361</w:t>
      </w:r>
    </w:p>
    <w:p>
      <w:pPr>
        <w:spacing w:after="80"/>
        <w:ind w:left="360"/>
      </w:pPr>
      <w:r>
        <w:t xml:space="preserve">356. </w:t>
      </w:r>
      <w:r>
        <w:rPr>
          <w:b w:val="0"/>
          <w:i w:val="0"/>
        </w:rPr>
        <w:t>362</w:t>
      </w:r>
    </w:p>
    <w:p>
      <w:pPr>
        <w:spacing w:after="80"/>
        <w:ind w:left="360"/>
      </w:pPr>
      <w:r>
        <w:t xml:space="preserve">357. </w:t>
      </w:r>
      <w:r>
        <w:rPr>
          <w:b w:val="0"/>
          <w:i w:val="0"/>
        </w:rPr>
        <w:t>363</w:t>
      </w:r>
    </w:p>
    <w:p>
      <w:pPr>
        <w:spacing w:after="80"/>
        <w:ind w:left="360"/>
      </w:pPr>
      <w:r>
        <w:t xml:space="preserve">358. </w:t>
      </w:r>
      <w:r>
        <w:rPr>
          <w:b w:val="0"/>
          <w:i w:val="0"/>
        </w:rPr>
        <w:t>364</w:t>
      </w:r>
    </w:p>
    <w:p>
      <w:pPr>
        <w:spacing w:after="80"/>
        <w:ind w:left="360"/>
      </w:pPr>
      <w:r>
        <w:t xml:space="preserve">359. </w:t>
      </w:r>
      <w:r>
        <w:rPr>
          <w:b w:val="0"/>
          <w:i w:val="0"/>
        </w:rPr>
        <w:t>365</w:t>
      </w:r>
    </w:p>
    <w:p>
      <w:pPr>
        <w:spacing w:after="80"/>
        <w:ind w:left="360"/>
      </w:pPr>
      <w:r>
        <w:t xml:space="preserve">360. </w:t>
      </w:r>
      <w:r>
        <w:rPr>
          <w:b w:val="0"/>
          <w:i w:val="0"/>
        </w:rPr>
        <w:t>366</w:t>
      </w:r>
    </w:p>
    <w:p>
      <w:pPr>
        <w:spacing w:after="80"/>
        <w:ind w:left="360"/>
      </w:pPr>
      <w:r>
        <w:t xml:space="preserve">361. </w:t>
      </w:r>
      <w:r>
        <w:rPr>
          <w:b w:val="0"/>
          <w:i w:val="0"/>
        </w:rPr>
        <w:t>367</w:t>
      </w:r>
    </w:p>
    <w:p>
      <w:pPr>
        <w:spacing w:after="80"/>
        <w:ind w:left="360"/>
      </w:pPr>
      <w:r>
        <w:t xml:space="preserve">362. </w:t>
      </w:r>
      <w:r>
        <w:rPr>
          <w:b w:val="0"/>
          <w:i w:val="0"/>
        </w:rPr>
        <w:t>368</w:t>
      </w:r>
    </w:p>
    <w:p>
      <w:pPr>
        <w:spacing w:after="80"/>
        <w:ind w:left="360"/>
      </w:pPr>
      <w:r>
        <w:t xml:space="preserve">363. </w:t>
      </w:r>
      <w:r>
        <w:rPr>
          <w:b w:val="0"/>
          <w:i w:val="0"/>
        </w:rPr>
        <w:t>369</w:t>
      </w:r>
    </w:p>
    <w:p>
      <w:pPr>
        <w:spacing w:after="80"/>
        <w:ind w:left="360"/>
      </w:pPr>
      <w:r>
        <w:t xml:space="preserve">364. </w:t>
      </w:r>
      <w:r>
        <w:rPr>
          <w:b w:val="0"/>
          <w:i w:val="0"/>
        </w:rPr>
        <w:t>370</w:t>
      </w:r>
    </w:p>
    <w:p>
      <w:pPr>
        <w:spacing w:after="80"/>
        <w:ind w:left="360"/>
      </w:pPr>
      <w:r>
        <w:t xml:space="preserve">365. </w:t>
      </w:r>
      <w:r>
        <w:rPr>
          <w:b w:val="0"/>
          <w:i w:val="0"/>
        </w:rPr>
        <w:t>371</w:t>
      </w:r>
    </w:p>
    <w:p>
      <w:pPr>
        <w:spacing w:after="80"/>
        <w:ind w:left="360"/>
      </w:pPr>
      <w:r>
        <w:t xml:space="preserve">366. </w:t>
      </w:r>
      <w:r>
        <w:rPr>
          <w:b w:val="0"/>
          <w:i w:val="0"/>
        </w:rPr>
        <w:t>372</w:t>
      </w:r>
    </w:p>
    <w:p>
      <w:pPr>
        <w:spacing w:after="80"/>
        <w:ind w:left="360"/>
      </w:pPr>
      <w:r>
        <w:t xml:space="preserve">367. </w:t>
      </w:r>
      <w:r>
        <w:rPr>
          <w:b w:val="0"/>
          <w:i w:val="0"/>
        </w:rPr>
        <w:t>373</w:t>
      </w:r>
    </w:p>
    <w:p>
      <w:pPr>
        <w:spacing w:after="80"/>
        <w:ind w:left="360"/>
      </w:pPr>
      <w:r>
        <w:t xml:space="preserve">368. </w:t>
      </w:r>
      <w:r>
        <w:rPr>
          <w:b w:val="0"/>
          <w:i w:val="0"/>
        </w:rPr>
        <w:t>374</w:t>
      </w:r>
    </w:p>
    <w:p>
      <w:pPr>
        <w:spacing w:after="80"/>
        <w:ind w:left="360"/>
      </w:pPr>
      <w:r>
        <w:t xml:space="preserve">369. </w:t>
      </w:r>
      <w:r>
        <w:rPr>
          <w:b w:val="0"/>
          <w:i w:val="0"/>
        </w:rPr>
        <w:t>375</w:t>
      </w:r>
    </w:p>
    <w:p>
      <w:pPr>
        <w:spacing w:after="80"/>
        <w:ind w:left="360"/>
      </w:pPr>
      <w:r>
        <w:t xml:space="preserve">370. </w:t>
      </w:r>
      <w:r>
        <w:rPr>
          <w:b w:val="0"/>
          <w:i w:val="0"/>
        </w:rPr>
        <w:t>376</w:t>
      </w:r>
    </w:p>
    <w:p>
      <w:pPr>
        <w:spacing w:after="80"/>
        <w:ind w:left="360"/>
      </w:pPr>
      <w:r>
        <w:t xml:space="preserve">371. </w:t>
      </w:r>
      <w:r>
        <w:rPr>
          <w:b w:val="0"/>
          <w:i w:val="0"/>
        </w:rPr>
        <w:t>378</w:t>
      </w:r>
    </w:p>
    <w:p>
      <w:pPr>
        <w:spacing w:after="80"/>
        <w:ind w:left="360"/>
      </w:pPr>
      <w:r>
        <w:t xml:space="preserve">372. </w:t>
      </w:r>
      <w:r>
        <w:rPr>
          <w:b w:val="0"/>
          <w:i w:val="0"/>
        </w:rPr>
        <w:t>379</w:t>
      </w:r>
    </w:p>
    <w:p>
      <w:pPr>
        <w:spacing w:after="80"/>
        <w:ind w:left="360"/>
      </w:pPr>
      <w:r>
        <w:t xml:space="preserve">373. </w:t>
      </w:r>
      <w:r>
        <w:rPr>
          <w:b w:val="0"/>
          <w:i w:val="0"/>
        </w:rPr>
        <w:t>380</w:t>
      </w:r>
    </w:p>
    <w:p>
      <w:pPr>
        <w:spacing w:after="80"/>
        <w:ind w:left="360"/>
      </w:pPr>
      <w:r>
        <w:t xml:space="preserve">374. </w:t>
      </w:r>
      <w:r>
        <w:rPr>
          <w:b w:val="0"/>
          <w:i w:val="0"/>
        </w:rPr>
        <w:t>381</w:t>
      </w:r>
    </w:p>
    <w:p>
      <w:pPr>
        <w:spacing w:after="80"/>
        <w:ind w:left="360"/>
      </w:pPr>
      <w:r>
        <w:t xml:space="preserve">375. </w:t>
      </w:r>
      <w:r>
        <w:rPr>
          <w:b w:val="0"/>
          <w:i w:val="0"/>
        </w:rPr>
        <w:t>382</w:t>
      </w:r>
    </w:p>
    <w:p>
      <w:pPr>
        <w:spacing w:after="80"/>
        <w:ind w:left="360"/>
      </w:pPr>
      <w:r>
        <w:t xml:space="preserve">376. </w:t>
      </w:r>
      <w:r>
        <w:rPr>
          <w:b w:val="0"/>
          <w:i w:val="0"/>
        </w:rPr>
        <w:t>383</w:t>
      </w:r>
    </w:p>
    <w:p>
      <w:pPr>
        <w:spacing w:after="80"/>
        <w:ind w:left="360"/>
      </w:pPr>
      <w:r>
        <w:t xml:space="preserve">377. </w:t>
      </w:r>
      <w:r>
        <w:rPr>
          <w:b w:val="0"/>
          <w:i w:val="0"/>
        </w:rPr>
        <w:t>384</w:t>
      </w:r>
    </w:p>
    <w:p>
      <w:pPr>
        <w:spacing w:after="80"/>
        <w:ind w:left="360"/>
      </w:pPr>
      <w:r>
        <w:t xml:space="preserve">378. </w:t>
      </w:r>
      <w:r>
        <w:rPr>
          <w:b w:val="0"/>
          <w:i w:val="0"/>
        </w:rPr>
        <w:t>385</w:t>
      </w:r>
    </w:p>
    <w:p>
      <w:pPr>
        <w:spacing w:after="80"/>
        <w:ind w:left="360"/>
      </w:pPr>
      <w:r>
        <w:t xml:space="preserve">379. </w:t>
      </w:r>
      <w:r>
        <w:rPr>
          <w:b w:val="0"/>
          <w:i w:val="0"/>
        </w:rPr>
        <w:t>386</w:t>
      </w:r>
    </w:p>
    <w:p>
      <w:pPr>
        <w:spacing w:after="80"/>
        <w:ind w:left="360"/>
      </w:pPr>
      <w:r>
        <w:t xml:space="preserve">380. </w:t>
      </w:r>
      <w:r>
        <w:rPr>
          <w:b w:val="0"/>
          <w:i w:val="0"/>
        </w:rPr>
        <w:t>387</w:t>
      </w:r>
    </w:p>
    <w:p>
      <w:pPr>
        <w:spacing w:after="80"/>
        <w:ind w:left="360"/>
      </w:pPr>
      <w:r>
        <w:t xml:space="preserve">381. </w:t>
      </w:r>
      <w:r>
        <w:rPr>
          <w:b w:val="0"/>
          <w:i w:val="0"/>
        </w:rPr>
        <w:t>388</w:t>
      </w:r>
    </w:p>
    <w:p>
      <w:pPr>
        <w:spacing w:after="80"/>
        <w:ind w:left="360"/>
      </w:pPr>
      <w:r>
        <w:t xml:space="preserve">382. </w:t>
      </w:r>
      <w:r>
        <w:rPr>
          <w:b w:val="0"/>
          <w:i w:val="0"/>
        </w:rPr>
        <w:t>390</w:t>
      </w:r>
    </w:p>
    <w:p>
      <w:pPr>
        <w:spacing w:after="80"/>
        <w:ind w:left="360"/>
      </w:pPr>
      <w:r>
        <w:t xml:space="preserve">383. </w:t>
      </w:r>
      <w:r>
        <w:rPr>
          <w:b w:val="0"/>
          <w:i w:val="0"/>
        </w:rPr>
        <w:t>391</w:t>
      </w:r>
    </w:p>
    <w:p>
      <w:pPr>
        <w:spacing w:after="80"/>
        <w:ind w:left="360"/>
      </w:pPr>
      <w:r>
        <w:t xml:space="preserve">384. </w:t>
      </w:r>
      <w:r>
        <w:rPr>
          <w:b w:val="0"/>
          <w:i w:val="0"/>
        </w:rPr>
        <w:t>392</w:t>
      </w:r>
    </w:p>
    <w:p>
      <w:pPr>
        <w:spacing w:after="80"/>
        <w:ind w:left="360"/>
      </w:pPr>
      <w:r>
        <w:t xml:space="preserve">385. </w:t>
      </w:r>
      <w:r>
        <w:rPr>
          <w:b w:val="0"/>
          <w:i w:val="0"/>
        </w:rPr>
        <w:t>393</w:t>
      </w:r>
    </w:p>
    <w:p>
      <w:pPr>
        <w:spacing w:after="80"/>
        <w:ind w:left="360"/>
      </w:pPr>
      <w:r>
        <w:t xml:space="preserve">386. </w:t>
      </w:r>
      <w:r>
        <w:rPr>
          <w:b w:val="0"/>
          <w:i w:val="0"/>
        </w:rPr>
        <w:t>394</w:t>
      </w:r>
    </w:p>
    <w:p>
      <w:pPr>
        <w:spacing w:after="80"/>
        <w:ind w:left="360"/>
      </w:pPr>
      <w:r>
        <w:t xml:space="preserve">387. </w:t>
      </w:r>
      <w:r>
        <w:rPr>
          <w:b w:val="0"/>
          <w:i w:val="0"/>
        </w:rPr>
        <w:t>395</w:t>
      </w:r>
    </w:p>
    <w:p>
      <w:pPr>
        <w:spacing w:after="80"/>
        <w:ind w:left="360"/>
      </w:pPr>
      <w:r>
        <w:t xml:space="preserve">388. </w:t>
      </w:r>
      <w:r>
        <w:rPr>
          <w:b w:val="0"/>
          <w:i w:val="0"/>
        </w:rPr>
        <w:t>396</w:t>
      </w:r>
    </w:p>
    <w:p>
      <w:pPr>
        <w:spacing w:after="80"/>
        <w:ind w:left="360"/>
      </w:pPr>
      <w:r>
        <w:t xml:space="preserve">389. </w:t>
      </w:r>
      <w:r>
        <w:rPr>
          <w:b w:val="0"/>
          <w:i w:val="0"/>
        </w:rPr>
        <w:t>397</w:t>
      </w:r>
    </w:p>
    <w:p>
      <w:pPr>
        <w:spacing w:after="80"/>
        <w:ind w:left="360"/>
      </w:pPr>
      <w:r>
        <w:t xml:space="preserve">390. </w:t>
      </w:r>
      <w:r>
        <w:rPr>
          <w:b w:val="0"/>
          <w:i w:val="0"/>
        </w:rPr>
        <w:t>398</w:t>
      </w:r>
    </w:p>
    <w:p>
      <w:pPr>
        <w:spacing w:after="80"/>
        <w:ind w:left="360"/>
      </w:pPr>
      <w:r>
        <w:t xml:space="preserve">391. </w:t>
      </w:r>
      <w:r>
        <w:rPr>
          <w:b w:val="0"/>
          <w:i w:val="0"/>
        </w:rPr>
        <w:t>399</w:t>
      </w:r>
    </w:p>
    <w:p>
      <w:pPr>
        <w:spacing w:after="80"/>
        <w:ind w:left="360"/>
      </w:pPr>
      <w:r>
        <w:t xml:space="preserve">392. </w:t>
      </w:r>
      <w:r>
        <w:rPr>
          <w:b w:val="0"/>
          <w:i w:val="0"/>
        </w:rPr>
        <w:t>400</w:t>
      </w:r>
    </w:p>
    <w:p>
      <w:pPr>
        <w:spacing w:after="80"/>
        <w:ind w:left="360"/>
      </w:pPr>
      <w:r>
        <w:t xml:space="preserve">393. </w:t>
      </w:r>
      <w:r>
        <w:rPr>
          <w:b w:val="0"/>
          <w:i w:val="0"/>
        </w:rPr>
        <w:t>401</w:t>
      </w:r>
    </w:p>
    <w:p>
      <w:pPr>
        <w:spacing w:after="80"/>
        <w:ind w:left="360"/>
      </w:pPr>
      <w:r>
        <w:t xml:space="preserve">394. </w:t>
      </w:r>
      <w:r>
        <w:rPr>
          <w:b w:val="0"/>
          <w:i w:val="0"/>
        </w:rPr>
        <w:t>402</w:t>
      </w:r>
    </w:p>
    <w:p>
      <w:pPr>
        <w:spacing w:after="80"/>
        <w:ind w:left="360"/>
      </w:pPr>
      <w:r>
        <w:t xml:space="preserve">395. </w:t>
      </w:r>
      <w:r>
        <w:rPr>
          <w:b w:val="0"/>
          <w:i w:val="0"/>
        </w:rPr>
        <w:t>403</w:t>
      </w:r>
    </w:p>
    <w:p>
      <w:pPr>
        <w:spacing w:after="80"/>
        <w:ind w:left="360"/>
      </w:pPr>
      <w:r>
        <w:t xml:space="preserve">396. </w:t>
      </w:r>
      <w:r>
        <w:rPr>
          <w:b w:val="0"/>
          <w:i w:val="0"/>
        </w:rPr>
        <w:t>404</w:t>
      </w:r>
    </w:p>
    <w:p>
      <w:pPr>
        <w:spacing w:after="80"/>
        <w:ind w:left="360"/>
      </w:pPr>
      <w:r>
        <w:t xml:space="preserve">397. </w:t>
      </w:r>
      <w:r>
        <w:rPr>
          <w:b w:val="0"/>
          <w:i w:val="0"/>
        </w:rPr>
        <w:t>405</w:t>
      </w:r>
    </w:p>
    <w:p>
      <w:pPr>
        <w:spacing w:after="80"/>
        <w:ind w:left="360"/>
      </w:pPr>
      <w:r>
        <w:t xml:space="preserve">398. </w:t>
      </w:r>
      <w:r>
        <w:rPr>
          <w:b w:val="0"/>
          <w:i w:val="0"/>
        </w:rPr>
        <w:t>406</w:t>
      </w:r>
    </w:p>
    <w:p>
      <w:pPr>
        <w:spacing w:after="80"/>
        <w:ind w:left="360"/>
      </w:pPr>
      <w:r>
        <w:t xml:space="preserve">399. </w:t>
      </w:r>
      <w:r>
        <w:rPr>
          <w:b w:val="0"/>
          <w:i w:val="0"/>
        </w:rPr>
        <w:t>407</w:t>
      </w:r>
    </w:p>
    <w:p>
      <w:pPr>
        <w:spacing w:after="80"/>
        <w:ind w:left="360"/>
      </w:pPr>
      <w:r>
        <w:t xml:space="preserve">400. </w:t>
      </w:r>
      <w:r>
        <w:rPr>
          <w:b w:val="0"/>
          <w:i w:val="0"/>
        </w:rPr>
        <w:t>408</w:t>
      </w:r>
    </w:p>
    <w:p>
      <w:pPr>
        <w:spacing w:after="80"/>
        <w:ind w:left="360"/>
      </w:pPr>
      <w:r>
        <w:t xml:space="preserve">401. </w:t>
      </w:r>
      <w:r>
        <w:rPr>
          <w:b w:val="0"/>
          <w:i w:val="0"/>
        </w:rPr>
        <w:t>409</w:t>
      </w:r>
    </w:p>
    <w:p>
      <w:pPr>
        <w:spacing w:after="80"/>
        <w:ind w:left="360"/>
      </w:pPr>
      <w:r>
        <w:t xml:space="preserve">402. </w:t>
      </w:r>
      <w:r>
        <w:rPr>
          <w:b w:val="0"/>
          <w:i w:val="0"/>
        </w:rPr>
        <w:t>410</w:t>
      </w:r>
    </w:p>
    <w:p>
      <w:pPr>
        <w:spacing w:after="80"/>
        <w:ind w:left="360"/>
      </w:pPr>
      <w:r>
        <w:t xml:space="preserve">403. </w:t>
      </w:r>
      <w:r>
        <w:rPr>
          <w:b w:val="0"/>
          <w:i w:val="0"/>
        </w:rPr>
        <w:t>411</w:t>
      </w:r>
    </w:p>
    <w:p>
      <w:pPr>
        <w:spacing w:after="80"/>
        <w:ind w:left="360"/>
      </w:pPr>
      <w:r>
        <w:t xml:space="preserve">404. </w:t>
      </w:r>
      <w:r>
        <w:rPr>
          <w:b w:val="0"/>
          <w:i w:val="0"/>
        </w:rPr>
        <w:t>412</w:t>
      </w:r>
    </w:p>
    <w:p>
      <w:pPr>
        <w:spacing w:after="80"/>
        <w:ind w:left="360"/>
      </w:pPr>
      <w:r>
        <w:t xml:space="preserve">405. </w:t>
      </w:r>
      <w:r>
        <w:rPr>
          <w:b w:val="0"/>
          <w:i w:val="0"/>
        </w:rPr>
        <w:t>413</w:t>
      </w:r>
    </w:p>
    <w:p>
      <w:pPr>
        <w:spacing w:after="80"/>
        <w:ind w:left="360"/>
      </w:pPr>
      <w:r>
        <w:t xml:space="preserve">406. </w:t>
      </w:r>
      <w:r>
        <w:rPr>
          <w:b w:val="0"/>
          <w:i w:val="0"/>
        </w:rPr>
        <w:t>414</w:t>
      </w:r>
    </w:p>
    <w:p>
      <w:pPr>
        <w:spacing w:after="80"/>
        <w:ind w:left="360"/>
      </w:pPr>
      <w:r>
        <w:t xml:space="preserve">407. </w:t>
      </w:r>
      <w:r>
        <w:rPr>
          <w:b w:val="0"/>
          <w:i w:val="0"/>
        </w:rPr>
        <w:t>415</w:t>
      </w:r>
    </w:p>
    <w:p>
      <w:pPr>
        <w:spacing w:after="80"/>
        <w:ind w:left="360"/>
      </w:pPr>
      <w:r>
        <w:t xml:space="preserve">408. </w:t>
      </w:r>
      <w:r>
        <w:rPr>
          <w:b w:val="0"/>
          <w:i w:val="0"/>
        </w:rPr>
        <w:t>416</w:t>
      </w:r>
    </w:p>
    <w:p>
      <w:pPr>
        <w:spacing w:after="80"/>
        <w:ind w:left="360"/>
      </w:pPr>
      <w:r>
        <w:t xml:space="preserve">409. </w:t>
      </w:r>
      <w:r>
        <w:rPr>
          <w:b w:val="0"/>
          <w:i w:val="0"/>
        </w:rPr>
        <w:t>417</w:t>
      </w:r>
    </w:p>
    <w:p>
      <w:pPr>
        <w:spacing w:after="80"/>
        <w:ind w:left="360"/>
      </w:pPr>
      <w:r>
        <w:t xml:space="preserve">410. </w:t>
      </w:r>
      <w:r>
        <w:rPr>
          <w:b w:val="0"/>
          <w:i w:val="0"/>
        </w:rPr>
        <w:t>418</w:t>
      </w:r>
    </w:p>
    <w:p>
      <w:pPr>
        <w:spacing w:after="80"/>
        <w:ind w:left="360"/>
      </w:pPr>
      <w:r>
        <w:t xml:space="preserve">411. </w:t>
      </w:r>
      <w:r>
        <w:rPr>
          <w:b w:val="0"/>
          <w:i w:val="0"/>
        </w:rPr>
        <w:t>419</w:t>
      </w:r>
    </w:p>
    <w:p>
      <w:pPr>
        <w:spacing w:after="80"/>
        <w:ind w:left="360"/>
      </w:pPr>
      <w:r>
        <w:t xml:space="preserve">412. </w:t>
      </w:r>
      <w:r>
        <w:rPr>
          <w:b w:val="0"/>
          <w:i w:val="0"/>
        </w:rPr>
        <w:t>420</w:t>
      </w:r>
    </w:p>
    <w:p>
      <w:pPr>
        <w:spacing w:after="80"/>
        <w:ind w:left="360"/>
      </w:pPr>
      <w:r>
        <w:t xml:space="preserve">413. </w:t>
      </w:r>
      <w:r>
        <w:rPr>
          <w:b w:val="0"/>
          <w:i w:val="0"/>
        </w:rPr>
        <w:t>421</w:t>
      </w:r>
    </w:p>
    <w:p>
      <w:pPr>
        <w:spacing w:after="80"/>
        <w:ind w:left="360"/>
      </w:pPr>
      <w:r>
        <w:t xml:space="preserve">414. </w:t>
      </w:r>
      <w:r>
        <w:rPr>
          <w:b w:val="0"/>
          <w:i w:val="0"/>
        </w:rPr>
        <w:t>422</w:t>
      </w:r>
    </w:p>
    <w:p>
      <w:pPr>
        <w:spacing w:after="80"/>
        <w:ind w:left="360"/>
      </w:pPr>
      <w:r>
        <w:t xml:space="preserve">415. </w:t>
      </w:r>
      <w:r>
        <w:rPr>
          <w:b w:val="0"/>
          <w:i w:val="0"/>
        </w:rPr>
        <w:t>423</w:t>
      </w:r>
    </w:p>
    <w:p>
      <w:pPr>
        <w:spacing w:after="80"/>
        <w:ind w:left="360"/>
      </w:pPr>
      <w:r>
        <w:t xml:space="preserve">416. </w:t>
      </w:r>
      <w:r>
        <w:rPr>
          <w:b w:val="0"/>
          <w:i w:val="0"/>
        </w:rPr>
        <w:t>424</w:t>
      </w:r>
    </w:p>
    <w:p>
      <w:pPr>
        <w:spacing w:after="80"/>
        <w:ind w:left="360"/>
      </w:pPr>
      <w:r>
        <w:t xml:space="preserve">417. </w:t>
      </w:r>
      <w:r>
        <w:rPr>
          <w:b w:val="0"/>
          <w:i w:val="0"/>
        </w:rPr>
        <w:t>425</w:t>
      </w:r>
    </w:p>
    <w:p>
      <w:pPr>
        <w:spacing w:after="80"/>
        <w:ind w:left="360"/>
      </w:pPr>
      <w:r>
        <w:t xml:space="preserve">418. </w:t>
      </w:r>
      <w:r>
        <w:rPr>
          <w:b w:val="0"/>
          <w:i w:val="0"/>
        </w:rPr>
        <w:t>426</w:t>
      </w:r>
    </w:p>
    <w:p>
      <w:pPr>
        <w:spacing w:after="80"/>
        <w:ind w:left="360"/>
      </w:pPr>
      <w:r>
        <w:t xml:space="preserve">419. </w:t>
      </w:r>
      <w:r>
        <w:rPr>
          <w:b w:val="0"/>
          <w:i w:val="0"/>
        </w:rPr>
        <w:t>427</w:t>
      </w:r>
    </w:p>
    <w:p>
      <w:pPr>
        <w:spacing w:after="80"/>
        <w:ind w:left="360"/>
      </w:pPr>
      <w:r>
        <w:t xml:space="preserve">420. </w:t>
      </w:r>
      <w:r>
        <w:rPr>
          <w:b w:val="0"/>
          <w:i w:val="0"/>
        </w:rPr>
        <w:t>428</w:t>
      </w:r>
    </w:p>
    <w:p>
      <w:pPr>
        <w:spacing w:after="80"/>
        <w:ind w:left="360"/>
      </w:pPr>
      <w:r>
        <w:t xml:space="preserve">421. </w:t>
      </w:r>
      <w:r>
        <w:rPr>
          <w:b w:val="0"/>
          <w:i w:val="0"/>
        </w:rPr>
        <w:t>429</w:t>
      </w:r>
    </w:p>
    <w:p>
      <w:pPr>
        <w:spacing w:after="80"/>
        <w:ind w:left="360"/>
      </w:pPr>
      <w:r>
        <w:t xml:space="preserve">422. </w:t>
      </w:r>
      <w:r>
        <w:rPr>
          <w:b w:val="0"/>
          <w:i w:val="0"/>
        </w:rPr>
        <w:t>430</w:t>
      </w:r>
    </w:p>
    <w:p>
      <w:pPr>
        <w:spacing w:after="80"/>
        <w:ind w:left="360"/>
      </w:pPr>
      <w:r>
        <w:t xml:space="preserve">423. </w:t>
      </w:r>
      <w:r>
        <w:rPr>
          <w:b w:val="0"/>
          <w:i w:val="0"/>
        </w:rPr>
        <w:t>431</w:t>
      </w:r>
    </w:p>
    <w:p>
      <w:pPr>
        <w:spacing w:after="80"/>
        <w:ind w:left="360"/>
      </w:pPr>
      <w:r>
        <w:t xml:space="preserve">424. </w:t>
      </w:r>
      <w:r>
        <w:rPr>
          <w:b w:val="0"/>
          <w:i w:val="0"/>
        </w:rPr>
        <w:t>432</w:t>
      </w:r>
    </w:p>
    <w:p>
      <w:pPr>
        <w:spacing w:after="80"/>
        <w:ind w:left="360"/>
      </w:pPr>
      <w:r>
        <w:t xml:space="preserve">425. </w:t>
      </w:r>
      <w:r>
        <w:rPr>
          <w:b w:val="0"/>
          <w:i w:val="0"/>
        </w:rPr>
        <w:t>433</w:t>
      </w:r>
    </w:p>
    <w:p>
      <w:pPr>
        <w:spacing w:after="80"/>
        <w:ind w:left="360"/>
      </w:pPr>
      <w:r>
        <w:t xml:space="preserve">426. </w:t>
      </w:r>
      <w:r>
        <w:rPr>
          <w:b w:val="0"/>
          <w:i w:val="0"/>
        </w:rPr>
        <w:t>434</w:t>
      </w:r>
    </w:p>
    <w:p>
      <w:pPr>
        <w:spacing w:after="80"/>
        <w:ind w:left="360"/>
      </w:pPr>
      <w:r>
        <w:t xml:space="preserve">427. </w:t>
      </w:r>
      <w:r>
        <w:rPr>
          <w:b w:val="0"/>
          <w:i w:val="0"/>
        </w:rPr>
        <w:t>435</w:t>
      </w:r>
    </w:p>
    <w:p>
      <w:pPr>
        <w:spacing w:after="80"/>
        <w:ind w:left="360"/>
      </w:pPr>
      <w:r>
        <w:t xml:space="preserve">428. </w:t>
      </w:r>
      <w:r>
        <w:rPr>
          <w:b w:val="0"/>
          <w:i w:val="0"/>
        </w:rPr>
        <w:t>436</w:t>
      </w:r>
    </w:p>
    <w:p>
      <w:pPr>
        <w:spacing w:after="80"/>
        <w:ind w:left="360"/>
      </w:pPr>
      <w:r>
        <w:t xml:space="preserve">429. </w:t>
      </w:r>
      <w:r>
        <w:rPr>
          <w:b w:val="0"/>
          <w:i w:val="0"/>
        </w:rPr>
        <w:t>437</w:t>
      </w:r>
    </w:p>
    <w:p>
      <w:pPr>
        <w:spacing w:after="80"/>
        <w:ind w:left="360"/>
      </w:pPr>
      <w:r>
        <w:t xml:space="preserve">430. </w:t>
      </w:r>
      <w:r>
        <w:rPr>
          <w:b w:val="0"/>
          <w:i w:val="0"/>
        </w:rPr>
        <w:t>438</w:t>
      </w:r>
    </w:p>
    <w:p>
      <w:pPr>
        <w:spacing w:after="80"/>
        <w:ind w:left="360"/>
      </w:pPr>
      <w:r>
        <w:t xml:space="preserve">431. </w:t>
      </w:r>
      <w:r>
        <w:rPr>
          <w:b w:val="0"/>
          <w:i w:val="0"/>
        </w:rPr>
        <w:t>439</w:t>
      </w:r>
    </w:p>
    <w:p>
      <w:pPr>
        <w:spacing w:after="80"/>
        <w:ind w:left="360"/>
      </w:pPr>
      <w:r>
        <w:t xml:space="preserve">432. </w:t>
      </w:r>
      <w:r>
        <w:rPr>
          <w:b w:val="0"/>
          <w:i w:val="0"/>
        </w:rPr>
        <w:t>440</w:t>
      </w:r>
    </w:p>
    <w:p>
      <w:pPr>
        <w:spacing w:after="80"/>
        <w:ind w:left="360"/>
      </w:pPr>
      <w:r>
        <w:t xml:space="preserve">433. </w:t>
      </w:r>
      <w:r>
        <w:rPr>
          <w:b w:val="0"/>
          <w:i w:val="0"/>
        </w:rPr>
        <w:t>441</w:t>
      </w:r>
    </w:p>
    <w:p>
      <w:pPr>
        <w:spacing w:after="80"/>
        <w:ind w:left="360"/>
      </w:pPr>
      <w:r>
        <w:t xml:space="preserve">434. </w:t>
      </w:r>
      <w:r>
        <w:rPr>
          <w:b w:val="0"/>
          <w:i w:val="0"/>
        </w:rPr>
        <w:t>442</w:t>
      </w:r>
    </w:p>
    <w:p>
      <w:pPr>
        <w:spacing w:after="80"/>
        <w:ind w:left="360"/>
      </w:pPr>
      <w:r>
        <w:t xml:space="preserve">435. </w:t>
      </w:r>
      <w:r>
        <w:rPr>
          <w:b w:val="0"/>
          <w:i w:val="0"/>
        </w:rPr>
        <w:t>443</w:t>
      </w:r>
    </w:p>
    <w:p>
      <w:pPr>
        <w:spacing w:after="80"/>
        <w:ind w:left="360"/>
      </w:pPr>
      <w:r>
        <w:t xml:space="preserve">436. </w:t>
      </w:r>
      <w:r>
        <w:rPr>
          <w:b w:val="0"/>
          <w:i w:val="0"/>
        </w:rPr>
        <w:t>444</w:t>
      </w:r>
    </w:p>
    <w:p>
      <w:pPr>
        <w:spacing w:after="80"/>
        <w:ind w:left="360"/>
      </w:pPr>
      <w:r>
        <w:t xml:space="preserve">437. </w:t>
      </w:r>
      <w:r>
        <w:rPr>
          <w:b w:val="0"/>
          <w:i w:val="0"/>
        </w:rPr>
        <w:t>446</w:t>
      </w:r>
    </w:p>
    <w:p>
      <w:pPr>
        <w:spacing w:after="80"/>
        <w:ind w:left="360"/>
      </w:pPr>
      <w:r>
        <w:t xml:space="preserve">438. </w:t>
      </w:r>
      <w:r>
        <w:rPr>
          <w:b w:val="0"/>
          <w:i w:val="0"/>
        </w:rPr>
        <w:t>447</w:t>
      </w:r>
    </w:p>
    <w:p>
      <w:pPr>
        <w:spacing w:after="80"/>
        <w:ind w:left="360"/>
      </w:pPr>
      <w:r>
        <w:t xml:space="preserve">439. </w:t>
      </w:r>
      <w:r>
        <w:rPr>
          <w:b w:val="0"/>
          <w:i w:val="0"/>
        </w:rPr>
        <w:t>448</w:t>
      </w:r>
    </w:p>
    <w:p>
      <w:pPr>
        <w:spacing w:after="80"/>
        <w:ind w:left="360"/>
      </w:pPr>
      <w:r>
        <w:t xml:space="preserve">440. </w:t>
      </w:r>
      <w:r>
        <w:rPr>
          <w:b w:val="0"/>
          <w:i w:val="0"/>
        </w:rPr>
        <w:t>449</w:t>
      </w:r>
    </w:p>
    <w:p>
      <w:pPr>
        <w:spacing w:after="80"/>
        <w:ind w:left="360"/>
      </w:pPr>
      <w:r>
        <w:t xml:space="preserve">441. </w:t>
      </w:r>
      <w:r>
        <w:rPr>
          <w:b w:val="0"/>
          <w:i w:val="0"/>
        </w:rPr>
        <w:t>450</w:t>
      </w:r>
    </w:p>
    <w:p>
      <w:pPr>
        <w:spacing w:after="80"/>
        <w:ind w:left="360"/>
      </w:pPr>
      <w:r>
        <w:t xml:space="preserve">442. </w:t>
      </w:r>
      <w:r>
        <w:rPr>
          <w:b w:val="0"/>
          <w:i w:val="0"/>
        </w:rPr>
        <w:t>451</w:t>
      </w:r>
    </w:p>
    <w:p>
      <w:pPr>
        <w:spacing w:after="80"/>
        <w:ind w:left="360"/>
      </w:pPr>
      <w:r>
        <w:t xml:space="preserve">443. </w:t>
      </w:r>
      <w:r>
        <w:rPr>
          <w:b w:val="0"/>
          <w:i w:val="0"/>
        </w:rPr>
        <w:t>452</w:t>
      </w:r>
    </w:p>
    <w:p>
      <w:pPr>
        <w:spacing w:after="80"/>
        <w:ind w:left="360"/>
      </w:pPr>
      <w:r>
        <w:t xml:space="preserve">444. </w:t>
      </w:r>
      <w:r>
        <w:rPr>
          <w:b w:val="0"/>
          <w:i w:val="0"/>
        </w:rPr>
        <w:t>453</w:t>
      </w:r>
    </w:p>
    <w:p>
      <w:pPr>
        <w:spacing w:after="80"/>
        <w:ind w:left="360"/>
      </w:pPr>
      <w:r>
        <w:t xml:space="preserve">445. </w:t>
      </w:r>
      <w:r>
        <w:rPr>
          <w:b w:val="0"/>
          <w:i w:val="0"/>
        </w:rPr>
        <w:t>454</w:t>
      </w:r>
    </w:p>
    <w:p>
      <w:pPr>
        <w:spacing w:after="80"/>
        <w:ind w:left="360"/>
      </w:pPr>
      <w:r>
        <w:t xml:space="preserve">446. </w:t>
      </w:r>
      <w:r>
        <w:rPr>
          <w:b w:val="0"/>
          <w:i w:val="0"/>
        </w:rPr>
        <w:t>455</w:t>
      </w:r>
    </w:p>
    <w:p>
      <w:pPr>
        <w:spacing w:after="80"/>
        <w:ind w:left="360"/>
      </w:pPr>
      <w:r>
        <w:t xml:space="preserve">447. </w:t>
      </w:r>
      <w:r>
        <w:rPr>
          <w:b w:val="0"/>
          <w:i w:val="0"/>
        </w:rPr>
        <w:t>456</w:t>
      </w:r>
    </w:p>
    <w:p>
      <w:pPr>
        <w:spacing w:after="80"/>
        <w:ind w:left="360"/>
      </w:pPr>
      <w:r>
        <w:t xml:space="preserve">448. </w:t>
      </w:r>
      <w:r>
        <w:rPr>
          <w:b w:val="0"/>
          <w:i w:val="0"/>
        </w:rPr>
        <w:t>457</w:t>
      </w:r>
    </w:p>
    <w:p>
      <w:pPr>
        <w:spacing w:after="80"/>
        <w:ind w:left="360"/>
      </w:pPr>
      <w:r>
        <w:t xml:space="preserve">449. </w:t>
      </w:r>
      <w:r>
        <w:rPr>
          <w:b w:val="0"/>
          <w:i w:val="0"/>
        </w:rPr>
        <w:t>458</w:t>
      </w:r>
    </w:p>
    <w:p>
      <w:pPr>
        <w:spacing w:after="80"/>
        <w:ind w:left="360"/>
      </w:pPr>
      <w:r>
        <w:t xml:space="preserve">450. </w:t>
      </w:r>
      <w:r>
        <w:rPr>
          <w:b w:val="0"/>
          <w:i w:val="0"/>
        </w:rPr>
        <w:t>459</w:t>
      </w:r>
    </w:p>
    <w:p>
      <w:pPr>
        <w:spacing w:after="80"/>
        <w:ind w:left="360"/>
      </w:pPr>
      <w:r>
        <w:t xml:space="preserve">451. </w:t>
      </w:r>
      <w:r>
        <w:rPr>
          <w:b w:val="0"/>
          <w:i w:val="0"/>
        </w:rPr>
        <w:t>460</w:t>
      </w:r>
    </w:p>
    <w:p>
      <w:pPr>
        <w:spacing w:after="80"/>
        <w:ind w:left="360"/>
      </w:pPr>
      <w:r>
        <w:t xml:space="preserve">452. </w:t>
      </w:r>
      <w:r>
        <w:rPr>
          <w:b w:val="0"/>
          <w:i w:val="0"/>
        </w:rPr>
        <w:t>461</w:t>
      </w:r>
    </w:p>
    <w:p>
      <w:pPr>
        <w:spacing w:after="80"/>
        <w:ind w:left="360"/>
      </w:pPr>
      <w:r>
        <w:t xml:space="preserve">453. </w:t>
      </w:r>
      <w:r>
        <w:rPr>
          <w:b w:val="0"/>
          <w:i w:val="0"/>
        </w:rPr>
        <w:t>462</w:t>
      </w:r>
    </w:p>
    <w:p>
      <w:pPr>
        <w:spacing w:after="80"/>
        <w:ind w:left="360"/>
      </w:pPr>
      <w:r>
        <w:t xml:space="preserve">454. </w:t>
      </w:r>
      <w:r>
        <w:rPr>
          <w:b w:val="0"/>
          <w:i w:val="0"/>
        </w:rPr>
        <w:t>463</w:t>
      </w:r>
    </w:p>
    <w:p>
      <w:pPr>
        <w:spacing w:after="80"/>
        <w:ind w:left="360"/>
      </w:pPr>
      <w:r>
        <w:t xml:space="preserve">455. </w:t>
      </w:r>
      <w:r>
        <w:rPr>
          <w:b w:val="0"/>
          <w:i w:val="0"/>
        </w:rPr>
        <w:t>464</w:t>
      </w:r>
    </w:p>
    <w:p>
      <w:pPr>
        <w:spacing w:after="80"/>
        <w:ind w:left="360"/>
      </w:pPr>
      <w:r>
        <w:t xml:space="preserve">456. </w:t>
      </w:r>
      <w:r>
        <w:rPr>
          <w:b w:val="0"/>
          <w:i w:val="0"/>
        </w:rPr>
        <w:t>465</w:t>
      </w:r>
    </w:p>
    <w:p>
      <w:pPr>
        <w:spacing w:after="80"/>
        <w:ind w:left="360"/>
      </w:pPr>
      <w:r>
        <w:t xml:space="preserve">457. </w:t>
      </w:r>
      <w:r>
        <w:rPr>
          <w:b w:val="0"/>
          <w:i w:val="0"/>
        </w:rPr>
        <w:t>466</w:t>
      </w:r>
    </w:p>
    <w:p>
      <w:pPr>
        <w:spacing w:after="80"/>
        <w:ind w:left="360"/>
      </w:pPr>
      <w:r>
        <w:t xml:space="preserve">458. </w:t>
      </w:r>
      <w:r>
        <w:rPr>
          <w:b w:val="0"/>
          <w:i w:val="0"/>
        </w:rPr>
        <w:t>468</w:t>
      </w:r>
    </w:p>
    <w:p>
      <w:pPr>
        <w:spacing w:after="80"/>
        <w:ind w:left="360"/>
      </w:pPr>
      <w:r>
        <w:t xml:space="preserve">459. </w:t>
      </w:r>
      <w:r>
        <w:rPr>
          <w:b w:val="0"/>
          <w:i w:val="0"/>
        </w:rPr>
        <w:t>469</w:t>
      </w:r>
    </w:p>
    <w:p>
      <w:pPr>
        <w:spacing w:after="80"/>
        <w:ind w:left="360"/>
      </w:pPr>
      <w:r>
        <w:t xml:space="preserve">460. </w:t>
      </w:r>
      <w:r>
        <w:rPr>
          <w:b w:val="0"/>
          <w:i w:val="0"/>
        </w:rPr>
        <w:t>470</w:t>
      </w:r>
    </w:p>
    <w:p>
      <w:pPr>
        <w:spacing w:after="80"/>
        <w:ind w:left="360"/>
      </w:pPr>
      <w:r>
        <w:t xml:space="preserve">461. </w:t>
      </w:r>
      <w:r>
        <w:rPr>
          <w:b w:val="0"/>
          <w:i w:val="0"/>
        </w:rPr>
        <w:t>471</w:t>
      </w:r>
    </w:p>
    <w:p>
      <w:pPr>
        <w:spacing w:after="80"/>
        <w:ind w:left="360"/>
      </w:pPr>
      <w:r>
        <w:t xml:space="preserve">462. </w:t>
      </w:r>
      <w:r>
        <w:rPr>
          <w:b w:val="0"/>
          <w:i w:val="0"/>
        </w:rPr>
        <w:t>472</w:t>
      </w:r>
    </w:p>
    <w:p>
      <w:pPr>
        <w:spacing w:after="80"/>
        <w:ind w:left="360"/>
      </w:pPr>
      <w:r>
        <w:t xml:space="preserve">463. </w:t>
      </w:r>
      <w:r>
        <w:rPr>
          <w:b w:val="0"/>
          <w:i w:val="0"/>
        </w:rPr>
        <w:t>473</w:t>
      </w:r>
    </w:p>
    <w:p>
      <w:pPr>
        <w:spacing w:after="80"/>
        <w:ind w:left="360"/>
      </w:pPr>
      <w:r>
        <w:t xml:space="preserve">464. </w:t>
      </w:r>
      <w:r>
        <w:rPr>
          <w:b w:val="0"/>
          <w:i w:val="0"/>
        </w:rPr>
        <w:t>474</w:t>
      </w:r>
    </w:p>
    <w:p>
      <w:pPr>
        <w:spacing w:after="80"/>
        <w:ind w:left="360"/>
      </w:pPr>
      <w:r>
        <w:t xml:space="preserve">465. </w:t>
      </w:r>
      <w:r>
        <w:rPr>
          <w:b w:val="0"/>
          <w:i w:val="0"/>
        </w:rPr>
        <w:t>475</w:t>
      </w:r>
    </w:p>
    <w:p>
      <w:pPr>
        <w:spacing w:after="80"/>
        <w:ind w:left="360"/>
      </w:pPr>
      <w:r>
        <w:t xml:space="preserve">466. </w:t>
      </w:r>
      <w:r>
        <w:rPr>
          <w:b w:val="0"/>
          <w:i w:val="0"/>
        </w:rPr>
        <w:t>476</w:t>
      </w:r>
    </w:p>
    <w:p>
      <w:pPr>
        <w:spacing w:after="80"/>
        <w:ind w:left="360"/>
      </w:pPr>
      <w:r>
        <w:t xml:space="preserve">467. </w:t>
      </w:r>
      <w:r>
        <w:rPr>
          <w:b w:val="0"/>
          <w:i w:val="0"/>
        </w:rPr>
        <w:t>477</w:t>
      </w:r>
    </w:p>
    <w:p>
      <w:pPr>
        <w:spacing w:after="80"/>
        <w:ind w:left="360"/>
      </w:pPr>
      <w:r>
        <w:t xml:space="preserve">468. </w:t>
      </w:r>
      <w:r>
        <w:rPr>
          <w:b w:val="0"/>
          <w:i w:val="0"/>
        </w:rPr>
        <w:t>478</w:t>
      </w:r>
    </w:p>
    <w:p>
      <w:pPr>
        <w:spacing w:after="80"/>
        <w:ind w:left="360"/>
      </w:pPr>
      <w:r>
        <w:t xml:space="preserve">469. </w:t>
      </w:r>
      <w:r>
        <w:rPr>
          <w:b w:val="0"/>
          <w:i w:val="0"/>
        </w:rPr>
        <w:t>479</w:t>
      </w:r>
    </w:p>
    <w:p>
      <w:pPr>
        <w:spacing w:after="80"/>
        <w:ind w:left="360"/>
      </w:pPr>
      <w:r>
        <w:t xml:space="preserve">470. </w:t>
      </w:r>
      <w:r>
        <w:rPr>
          <w:b w:val="0"/>
          <w:i w:val="0"/>
        </w:rPr>
        <w:t>480</w:t>
      </w:r>
    </w:p>
    <w:p>
      <w:pPr>
        <w:spacing w:after="80"/>
        <w:ind w:left="360"/>
      </w:pPr>
      <w:r>
        <w:t xml:space="preserve">471. </w:t>
      </w:r>
      <w:r>
        <w:rPr>
          <w:b w:val="0"/>
          <w:i w:val="0"/>
        </w:rPr>
        <w:t>481</w:t>
      </w:r>
    </w:p>
    <w:p>
      <w:pPr>
        <w:spacing w:after="80"/>
        <w:ind w:left="360"/>
      </w:pPr>
      <w:r>
        <w:t xml:space="preserve">472. </w:t>
      </w:r>
      <w:r>
        <w:rPr>
          <w:b w:val="0"/>
          <w:i w:val="0"/>
        </w:rPr>
        <w:t>482</w:t>
      </w:r>
    </w:p>
    <w:p>
      <w:pPr>
        <w:spacing w:after="80"/>
        <w:ind w:left="360"/>
      </w:pPr>
      <w:r>
        <w:t xml:space="preserve">473. </w:t>
      </w:r>
      <w:r>
        <w:rPr>
          <w:b w:val="0"/>
          <w:i w:val="0"/>
        </w:rPr>
        <w:t>483</w:t>
      </w:r>
    </w:p>
    <w:p>
      <w:pPr>
        <w:spacing w:after="80"/>
        <w:ind w:left="360"/>
      </w:pPr>
      <w:r>
        <w:t xml:space="preserve">474. </w:t>
      </w:r>
      <w:r>
        <w:rPr>
          <w:b w:val="0"/>
          <w:i w:val="0"/>
        </w:rPr>
        <w:t>484</w:t>
      </w:r>
    </w:p>
    <w:p>
      <w:pPr>
        <w:spacing w:after="80"/>
        <w:ind w:left="360"/>
      </w:pPr>
      <w:r>
        <w:t xml:space="preserve">475. </w:t>
      </w:r>
      <w:r>
        <w:rPr>
          <w:b w:val="0"/>
          <w:i w:val="0"/>
        </w:rPr>
        <w:t>485</w:t>
      </w:r>
    </w:p>
    <w:p>
      <w:pPr>
        <w:spacing w:after="80"/>
        <w:ind w:left="360"/>
      </w:pPr>
      <w:r>
        <w:t xml:space="preserve">476. </w:t>
      </w:r>
      <w:r>
        <w:rPr>
          <w:b w:val="0"/>
          <w:i w:val="0"/>
        </w:rPr>
        <w:t>486</w:t>
      </w:r>
    </w:p>
    <w:p>
      <w:pPr>
        <w:spacing w:after="80"/>
        <w:ind w:left="360"/>
      </w:pPr>
      <w:r>
        <w:t xml:space="preserve">477. </w:t>
      </w:r>
      <w:r>
        <w:rPr>
          <w:b w:val="0"/>
          <w:i w:val="0"/>
        </w:rPr>
        <w:t>487</w:t>
      </w:r>
    </w:p>
    <w:p>
      <w:pPr>
        <w:spacing w:after="80"/>
        <w:ind w:left="360"/>
      </w:pPr>
      <w:r>
        <w:t xml:space="preserve">478. </w:t>
      </w:r>
      <w:r>
        <w:rPr>
          <w:b w:val="0"/>
          <w:i w:val="0"/>
        </w:rPr>
        <w:t>488</w:t>
      </w:r>
    </w:p>
    <w:p>
      <w:pPr>
        <w:spacing w:after="80"/>
        <w:ind w:left="360"/>
      </w:pPr>
      <w:r>
        <w:t xml:space="preserve">479. </w:t>
      </w:r>
      <w:r>
        <w:rPr>
          <w:b w:val="0"/>
          <w:i w:val="0"/>
        </w:rPr>
        <w:t>489</w:t>
      </w:r>
    </w:p>
    <w:p>
      <w:pPr>
        <w:spacing w:after="80"/>
        <w:ind w:left="360"/>
      </w:pPr>
      <w:r>
        <w:t xml:space="preserve">480. </w:t>
      </w:r>
      <w:r>
        <w:rPr>
          <w:b w:val="0"/>
          <w:i w:val="0"/>
        </w:rPr>
        <w:t>490</w:t>
      </w:r>
    </w:p>
    <w:p>
      <w:pPr>
        <w:spacing w:after="80"/>
        <w:ind w:left="360"/>
      </w:pPr>
      <w:r>
        <w:t xml:space="preserve">481. </w:t>
      </w:r>
      <w:r>
        <w:rPr>
          <w:b w:val="0"/>
          <w:i w:val="0"/>
        </w:rPr>
        <w:t>491</w:t>
      </w:r>
    </w:p>
    <w:p>
      <w:pPr>
        <w:spacing w:after="80"/>
        <w:ind w:left="360"/>
      </w:pPr>
      <w:r>
        <w:t xml:space="preserve">482. </w:t>
      </w:r>
      <w:r>
        <w:rPr>
          <w:b w:val="0"/>
          <w:i w:val="0"/>
        </w:rPr>
        <w:t>492</w:t>
      </w:r>
    </w:p>
    <w:p>
      <w:pPr>
        <w:spacing w:after="80"/>
        <w:ind w:left="360"/>
      </w:pPr>
      <w:r>
        <w:t xml:space="preserve">483. </w:t>
      </w:r>
      <w:r>
        <w:rPr>
          <w:b w:val="0"/>
          <w:i w:val="0"/>
        </w:rPr>
        <w:t>493</w:t>
      </w:r>
    </w:p>
    <w:p>
      <w:pPr>
        <w:spacing w:after="80"/>
        <w:ind w:left="360"/>
      </w:pPr>
      <w:r>
        <w:t xml:space="preserve">484. </w:t>
      </w:r>
      <w:r>
        <w:rPr>
          <w:b w:val="0"/>
          <w:i w:val="0"/>
        </w:rPr>
        <w:t>494</w:t>
      </w:r>
    </w:p>
    <w:p>
      <w:pPr>
        <w:spacing w:after="80"/>
        <w:ind w:left="360"/>
      </w:pPr>
      <w:r>
        <w:t xml:space="preserve">485. </w:t>
      </w:r>
      <w:r>
        <w:rPr>
          <w:b w:val="0"/>
          <w:i w:val="0"/>
        </w:rPr>
        <w:t>495</w:t>
      </w:r>
    </w:p>
    <w:p>
      <w:pPr>
        <w:spacing w:after="80"/>
        <w:ind w:left="360"/>
      </w:pPr>
      <w:r>
        <w:t xml:space="preserve">486. </w:t>
      </w:r>
      <w:r>
        <w:rPr>
          <w:b w:val="0"/>
          <w:i w:val="0"/>
        </w:rPr>
        <w:t>496</w:t>
      </w:r>
    </w:p>
    <w:p>
      <w:pPr>
        <w:spacing w:after="80"/>
        <w:ind w:left="360"/>
      </w:pPr>
      <w:r>
        <w:t xml:space="preserve">487. </w:t>
      </w:r>
      <w:r>
        <w:rPr>
          <w:b w:val="0"/>
          <w:i w:val="0"/>
        </w:rPr>
        <w:t>497</w:t>
      </w:r>
    </w:p>
    <w:p>
      <w:pPr>
        <w:spacing w:after="80"/>
        <w:ind w:left="360"/>
      </w:pPr>
      <w:r>
        <w:t xml:space="preserve">488. </w:t>
      </w:r>
      <w:r>
        <w:rPr>
          <w:b w:val="0"/>
          <w:i w:val="0"/>
        </w:rPr>
        <w:t>498</w:t>
      </w:r>
    </w:p>
    <w:p>
      <w:pPr>
        <w:spacing w:after="80"/>
        <w:ind w:left="360"/>
      </w:pPr>
      <w:r>
        <w:t xml:space="preserve">489. </w:t>
      </w:r>
      <w:r>
        <w:rPr>
          <w:b w:val="0"/>
          <w:i w:val="0"/>
        </w:rPr>
        <w:t>500</w:t>
      </w:r>
    </w:p>
    <w:p>
      <w:pPr>
        <w:spacing w:after="80"/>
        <w:ind w:left="360"/>
      </w:pPr>
      <w:r>
        <w:t xml:space="preserve">490. </w:t>
      </w:r>
      <w:r>
        <w:rPr>
          <w:b w:val="0"/>
          <w:i w:val="0"/>
        </w:rPr>
        <w:t>501</w:t>
      </w:r>
    </w:p>
    <w:p>
      <w:pPr>
        <w:spacing w:after="80"/>
        <w:ind w:left="360"/>
      </w:pPr>
      <w:r>
        <w:t xml:space="preserve">491. </w:t>
      </w:r>
      <w:r>
        <w:rPr>
          <w:b w:val="0"/>
          <w:i w:val="0"/>
        </w:rPr>
        <w:t>502</w:t>
      </w:r>
    </w:p>
    <w:p>
      <w:pPr>
        <w:spacing w:after="80"/>
        <w:ind w:left="360"/>
      </w:pPr>
      <w:r>
        <w:t xml:space="preserve">492. </w:t>
      </w:r>
      <w:r>
        <w:rPr>
          <w:b w:val="0"/>
          <w:i w:val="0"/>
        </w:rPr>
        <w:t>503</w:t>
      </w:r>
    </w:p>
    <w:p>
      <w:pPr>
        <w:spacing w:after="80"/>
        <w:ind w:left="360"/>
      </w:pPr>
      <w:r>
        <w:t xml:space="preserve">493. </w:t>
      </w:r>
      <w:r>
        <w:rPr>
          <w:b w:val="0"/>
          <w:i w:val="0"/>
        </w:rPr>
        <w:t>504</w:t>
      </w:r>
    </w:p>
    <w:p>
      <w:pPr>
        <w:spacing w:after="80"/>
        <w:ind w:left="360"/>
      </w:pPr>
      <w:r>
        <w:t xml:space="preserve">494. </w:t>
      </w:r>
      <w:r>
        <w:rPr>
          <w:b w:val="0"/>
          <w:i w:val="0"/>
        </w:rPr>
        <w:t>505</w:t>
      </w:r>
    </w:p>
    <w:p>
      <w:pPr>
        <w:spacing w:after="80"/>
        <w:ind w:left="360"/>
      </w:pPr>
      <w:r>
        <w:t xml:space="preserve">495. </w:t>
      </w:r>
      <w:r>
        <w:rPr>
          <w:b w:val="0"/>
          <w:i w:val="0"/>
        </w:rPr>
        <w:t>506</w:t>
      </w:r>
    </w:p>
    <w:p>
      <w:pPr>
        <w:spacing w:after="80"/>
        <w:ind w:left="360"/>
      </w:pPr>
      <w:r>
        <w:t xml:space="preserve">496. </w:t>
      </w:r>
      <w:r>
        <w:rPr>
          <w:b w:val="0"/>
          <w:i w:val="0"/>
        </w:rPr>
        <w:t>507</w:t>
      </w:r>
    </w:p>
    <w:p>
      <w:pPr>
        <w:spacing w:after="80"/>
        <w:ind w:left="360"/>
      </w:pPr>
      <w:r>
        <w:t xml:space="preserve">497. </w:t>
      </w:r>
      <w:r>
        <w:rPr>
          <w:b w:val="0"/>
          <w:i w:val="0"/>
        </w:rPr>
        <w:t>508</w:t>
      </w:r>
    </w:p>
    <w:p>
      <w:pPr>
        <w:spacing w:after="80"/>
        <w:ind w:left="360"/>
      </w:pPr>
      <w:r>
        <w:t xml:space="preserve">498. </w:t>
      </w:r>
      <w:r>
        <w:rPr>
          <w:b w:val="0"/>
          <w:i w:val="0"/>
        </w:rPr>
        <w:t>509</w:t>
      </w:r>
    </w:p>
    <w:p>
      <w:pPr>
        <w:spacing w:after="80"/>
        <w:ind w:left="360"/>
      </w:pPr>
      <w:r>
        <w:t xml:space="preserve">499. </w:t>
      </w:r>
      <w:r>
        <w:rPr>
          <w:b w:val="0"/>
          <w:i w:val="0"/>
        </w:rPr>
        <w:t>510</w:t>
      </w:r>
    </w:p>
    <w:p>
      <w:pPr>
        <w:spacing w:after="80"/>
        <w:ind w:left="360"/>
      </w:pPr>
      <w:r>
        <w:t xml:space="preserve">500. </w:t>
      </w:r>
      <w:r>
        <w:rPr>
          <w:b w:val="0"/>
          <w:i w:val="0"/>
        </w:rPr>
        <w:t>511</w:t>
      </w:r>
    </w:p>
    <w:p>
      <w:pPr>
        <w:spacing w:after="80"/>
        <w:ind w:left="360"/>
      </w:pPr>
      <w:r>
        <w:t xml:space="preserve">501. </w:t>
      </w:r>
      <w:r>
        <w:rPr>
          <w:b w:val="0"/>
          <w:i w:val="0"/>
        </w:rPr>
        <w:t>512</w:t>
      </w:r>
    </w:p>
    <w:p>
      <w:pPr>
        <w:spacing w:after="80"/>
        <w:ind w:left="360"/>
      </w:pPr>
      <w:r>
        <w:t xml:space="preserve">502. </w:t>
      </w:r>
      <w:r>
        <w:rPr>
          <w:b w:val="0"/>
          <w:i w:val="0"/>
        </w:rPr>
        <w:t>513</w:t>
      </w:r>
    </w:p>
    <w:p>
      <w:pPr>
        <w:spacing w:after="80"/>
        <w:ind w:left="360"/>
      </w:pPr>
      <w:r>
        <w:t xml:space="preserve">503. </w:t>
      </w:r>
      <w:r>
        <w:rPr>
          <w:b w:val="0"/>
          <w:i w:val="0"/>
        </w:rPr>
        <w:t>514</w:t>
      </w:r>
    </w:p>
    <w:p>
      <w:pPr>
        <w:spacing w:after="80"/>
        <w:ind w:left="360"/>
      </w:pPr>
      <w:r>
        <w:t xml:space="preserve">504. </w:t>
      </w:r>
      <w:r>
        <w:rPr>
          <w:b w:val="0"/>
          <w:i w:val="0"/>
        </w:rPr>
        <w:t>515</w:t>
      </w:r>
    </w:p>
    <w:p>
      <w:pPr>
        <w:spacing w:after="80"/>
        <w:ind w:left="360"/>
      </w:pPr>
      <w:r>
        <w:t xml:space="preserve">505. </w:t>
      </w:r>
      <w:r>
        <w:rPr>
          <w:b w:val="0"/>
          <w:i w:val="0"/>
        </w:rPr>
        <w:t>516</w:t>
      </w:r>
    </w:p>
    <w:p>
      <w:pPr>
        <w:spacing w:after="80"/>
        <w:ind w:left="360"/>
      </w:pPr>
      <w:r>
        <w:t xml:space="preserve">506. </w:t>
      </w:r>
      <w:r>
        <w:rPr>
          <w:b w:val="0"/>
          <w:i w:val="0"/>
        </w:rPr>
        <w:t>517</w:t>
      </w:r>
    </w:p>
    <w:p>
      <w:pPr>
        <w:spacing w:after="80"/>
        <w:ind w:left="360"/>
      </w:pPr>
      <w:r>
        <w:t xml:space="preserve">507. </w:t>
      </w:r>
      <w:r>
        <w:rPr>
          <w:b w:val="0"/>
          <w:i w:val="0"/>
        </w:rPr>
        <w:t>518</w:t>
      </w:r>
    </w:p>
    <w:p>
      <w:pPr>
        <w:spacing w:after="80"/>
        <w:ind w:left="360"/>
      </w:pPr>
      <w:r>
        <w:t xml:space="preserve">508. </w:t>
      </w:r>
      <w:r>
        <w:rPr>
          <w:b w:val="0"/>
          <w:i w:val="0"/>
        </w:rPr>
        <w:t>519</w:t>
      </w:r>
    </w:p>
    <w:p>
      <w:pPr>
        <w:spacing w:after="80"/>
        <w:ind w:left="360"/>
      </w:pPr>
      <w:r>
        <w:t xml:space="preserve">509. </w:t>
      </w:r>
      <w:r>
        <w:rPr>
          <w:b w:val="0"/>
          <w:i w:val="0"/>
        </w:rPr>
        <w:t>520</w:t>
      </w:r>
    </w:p>
    <w:p>
      <w:pPr>
        <w:spacing w:after="80"/>
        <w:ind w:left="360"/>
      </w:pPr>
      <w:r>
        <w:t xml:space="preserve">510. </w:t>
      </w:r>
      <w:r>
        <w:rPr>
          <w:b w:val="0"/>
          <w:i w:val="0"/>
        </w:rPr>
        <w:t>522</w:t>
      </w:r>
    </w:p>
    <w:p>
      <w:pPr>
        <w:spacing w:after="80"/>
        <w:ind w:left="360"/>
      </w:pPr>
      <w:r>
        <w:t xml:space="preserve">511. </w:t>
      </w:r>
      <w:r>
        <w:rPr>
          <w:b w:val="0"/>
          <w:i w:val="0"/>
        </w:rPr>
        <w:t>523</w:t>
      </w:r>
    </w:p>
    <w:p>
      <w:pPr>
        <w:spacing w:after="80"/>
        <w:ind w:left="360"/>
      </w:pPr>
      <w:r>
        <w:t xml:space="preserve">512. </w:t>
      </w:r>
      <w:r>
        <w:rPr>
          <w:b w:val="0"/>
          <w:i w:val="0"/>
        </w:rPr>
        <w:t>524</w:t>
      </w:r>
    </w:p>
    <w:p>
      <w:pPr>
        <w:spacing w:after="80"/>
        <w:ind w:left="360"/>
      </w:pPr>
      <w:r>
        <w:t xml:space="preserve">513. </w:t>
      </w:r>
      <w:r>
        <w:rPr>
          <w:b w:val="0"/>
          <w:i w:val="0"/>
        </w:rPr>
        <w:t>525</w:t>
      </w:r>
    </w:p>
    <w:p>
      <w:pPr>
        <w:spacing w:after="80"/>
        <w:ind w:left="360"/>
      </w:pPr>
      <w:r>
        <w:t xml:space="preserve">514. </w:t>
      </w:r>
      <w:r>
        <w:rPr>
          <w:b w:val="0"/>
          <w:i w:val="0"/>
        </w:rPr>
        <w:t>526</w:t>
      </w:r>
    </w:p>
    <w:p>
      <w:pPr>
        <w:spacing w:after="80"/>
        <w:ind w:left="360"/>
      </w:pPr>
      <w:r>
        <w:t xml:space="preserve">515. </w:t>
      </w:r>
      <w:r>
        <w:rPr>
          <w:b w:val="0"/>
          <w:i w:val="0"/>
        </w:rPr>
        <w:t>527</w:t>
      </w:r>
    </w:p>
    <w:p>
      <w:pPr>
        <w:spacing w:after="80"/>
        <w:ind w:left="360"/>
      </w:pPr>
      <w:r>
        <w:t xml:space="preserve">516. </w:t>
      </w:r>
      <w:r>
        <w:rPr>
          <w:b w:val="0"/>
          <w:i w:val="0"/>
        </w:rPr>
        <w:t>528</w:t>
      </w:r>
    </w:p>
    <w:p>
      <w:pPr>
        <w:spacing w:after="80"/>
        <w:ind w:left="360"/>
      </w:pPr>
      <w:r>
        <w:t xml:space="preserve">517. </w:t>
      </w:r>
      <w:r>
        <w:rPr>
          <w:b w:val="0"/>
          <w:i w:val="0"/>
        </w:rPr>
        <w:t>529</w:t>
      </w:r>
    </w:p>
    <w:p>
      <w:pPr>
        <w:spacing w:after="80"/>
        <w:ind w:left="360"/>
      </w:pPr>
      <w:r>
        <w:t xml:space="preserve">518. </w:t>
      </w:r>
      <w:r>
        <w:rPr>
          <w:b w:val="0"/>
          <w:i w:val="0"/>
        </w:rPr>
        <w:t>530</w:t>
      </w:r>
    </w:p>
    <w:p>
      <w:pPr>
        <w:spacing w:after="80"/>
        <w:ind w:left="360"/>
      </w:pPr>
      <w:r>
        <w:t xml:space="preserve">519. </w:t>
      </w:r>
      <w:r>
        <w:rPr>
          <w:b w:val="0"/>
          <w:i w:val="0"/>
        </w:rPr>
        <w:t>531</w:t>
      </w:r>
    </w:p>
    <w:p>
      <w:pPr>
        <w:spacing w:after="80"/>
        <w:ind w:left="360"/>
      </w:pPr>
      <w:r>
        <w:t xml:space="preserve">520. </w:t>
      </w:r>
      <w:r>
        <w:rPr>
          <w:b w:val="0"/>
          <w:i w:val="0"/>
        </w:rPr>
        <w:t>532</w:t>
      </w:r>
    </w:p>
    <w:p>
      <w:pPr>
        <w:spacing w:after="80"/>
        <w:ind w:left="360"/>
      </w:pPr>
      <w:r>
        <w:t xml:space="preserve">521. </w:t>
      </w:r>
      <w:r>
        <w:rPr>
          <w:b w:val="0"/>
          <w:i w:val="0"/>
        </w:rPr>
        <w:t>533</w:t>
      </w:r>
    </w:p>
    <w:p>
      <w:pPr>
        <w:spacing w:after="80"/>
        <w:ind w:left="360"/>
      </w:pPr>
      <w:r>
        <w:t xml:space="preserve">522. </w:t>
      </w:r>
      <w:r>
        <w:rPr>
          <w:b w:val="0"/>
          <w:i w:val="0"/>
        </w:rPr>
        <w:t>534</w:t>
      </w:r>
    </w:p>
    <w:p>
      <w:pPr>
        <w:spacing w:after="80"/>
        <w:ind w:left="360"/>
      </w:pPr>
      <w:r>
        <w:t xml:space="preserve">523. </w:t>
      </w:r>
      <w:r>
        <w:rPr>
          <w:b w:val="0"/>
          <w:i w:val="0"/>
        </w:rPr>
        <w:t>535</w:t>
      </w:r>
    </w:p>
    <w:p>
      <w:pPr>
        <w:spacing w:after="80"/>
        <w:ind w:left="360"/>
      </w:pPr>
      <w:r>
        <w:t xml:space="preserve">524. </w:t>
      </w:r>
      <w:r>
        <w:rPr>
          <w:b w:val="0"/>
          <w:i w:val="0"/>
        </w:rPr>
        <w:t>536</w:t>
      </w:r>
    </w:p>
    <w:p>
      <w:pPr>
        <w:spacing w:after="80"/>
        <w:ind w:left="360"/>
      </w:pPr>
      <w:r>
        <w:t xml:space="preserve">525. </w:t>
      </w:r>
      <w:r>
        <w:rPr>
          <w:b w:val="0"/>
          <w:i w:val="0"/>
        </w:rPr>
        <w:t>538</w:t>
      </w:r>
    </w:p>
    <w:p>
      <w:pPr>
        <w:spacing w:after="80"/>
        <w:ind w:left="360"/>
      </w:pPr>
      <w:r>
        <w:t xml:space="preserve">526. </w:t>
      </w:r>
      <w:r>
        <w:rPr>
          <w:b w:val="0"/>
          <w:i w:val="0"/>
        </w:rPr>
        <w:t>539</w:t>
      </w:r>
    </w:p>
    <w:p>
      <w:pPr>
        <w:spacing w:after="80"/>
        <w:ind w:left="360"/>
      </w:pPr>
      <w:r>
        <w:t xml:space="preserve">527. </w:t>
      </w:r>
      <w:r>
        <w:rPr>
          <w:b w:val="0"/>
          <w:i w:val="0"/>
        </w:rPr>
        <w:t>540</w:t>
      </w:r>
    </w:p>
    <w:p>
      <w:pPr>
        <w:spacing w:after="80"/>
        <w:ind w:left="360"/>
      </w:pPr>
      <w:r>
        <w:t xml:space="preserve">528. </w:t>
      </w:r>
      <w:r>
        <w:rPr>
          <w:b w:val="0"/>
          <w:i w:val="0"/>
        </w:rPr>
        <w:t>541</w:t>
      </w:r>
    </w:p>
    <w:p>
      <w:pPr>
        <w:spacing w:after="80"/>
        <w:ind w:left="360"/>
      </w:pPr>
      <w:r>
        <w:t xml:space="preserve">529. </w:t>
      </w:r>
      <w:r>
        <w:rPr>
          <w:b w:val="0"/>
          <w:i w:val="0"/>
        </w:rPr>
        <w:t>543</w:t>
      </w:r>
    </w:p>
    <w:p>
      <w:pPr>
        <w:spacing w:after="80"/>
        <w:ind w:left="360"/>
      </w:pPr>
      <w:r>
        <w:t xml:space="preserve">530. </w:t>
      </w:r>
      <w:r>
        <w:rPr>
          <w:b w:val="0"/>
          <w:i w:val="0"/>
        </w:rPr>
        <w:t>544</w:t>
      </w:r>
    </w:p>
    <w:p>
      <w:pPr>
        <w:spacing w:after="80"/>
        <w:ind w:left="360"/>
      </w:pPr>
      <w:r>
        <w:t xml:space="preserve">531. </w:t>
      </w:r>
      <w:r>
        <w:rPr>
          <w:b w:val="0"/>
          <w:i w:val="0"/>
        </w:rPr>
        <w:t>545</w:t>
      </w:r>
    </w:p>
    <w:p>
      <w:pPr>
        <w:spacing w:after="80"/>
        <w:ind w:left="360"/>
      </w:pPr>
      <w:r>
        <w:t xml:space="preserve">532. </w:t>
      </w:r>
      <w:r>
        <w:rPr>
          <w:b w:val="0"/>
          <w:i w:val="0"/>
        </w:rPr>
        <w:t>546</w:t>
      </w:r>
    </w:p>
    <w:p>
      <w:pPr>
        <w:spacing w:after="80"/>
        <w:ind w:left="360"/>
      </w:pPr>
      <w:r>
        <w:t xml:space="preserve">533. </w:t>
      </w:r>
      <w:r>
        <w:rPr>
          <w:b w:val="0"/>
          <w:i w:val="0"/>
        </w:rPr>
        <w:t>547</w:t>
      </w:r>
    </w:p>
    <w:p>
      <w:pPr>
        <w:spacing w:after="80"/>
        <w:ind w:left="360"/>
      </w:pPr>
      <w:r>
        <w:t xml:space="preserve">534. </w:t>
      </w:r>
      <w:r>
        <w:rPr>
          <w:b w:val="0"/>
          <w:i w:val="0"/>
        </w:rPr>
        <w:t>548</w:t>
      </w:r>
    </w:p>
    <w:p>
      <w:pPr>
        <w:spacing w:after="80"/>
        <w:ind w:left="360"/>
      </w:pPr>
      <w:r>
        <w:t xml:space="preserve">535. </w:t>
      </w:r>
      <w:r>
        <w:rPr>
          <w:b w:val="0"/>
          <w:i w:val="0"/>
        </w:rPr>
        <w:t>549</w:t>
      </w:r>
    </w:p>
    <w:p>
      <w:pPr>
        <w:spacing w:after="80"/>
        <w:ind w:left="360"/>
      </w:pPr>
      <w:r>
        <w:t xml:space="preserve">536. </w:t>
      </w:r>
      <w:r>
        <w:rPr>
          <w:b w:val="0"/>
          <w:i w:val="0"/>
        </w:rPr>
        <w:t>550</w:t>
      </w:r>
    </w:p>
    <w:p>
      <w:pPr>
        <w:spacing w:after="80"/>
        <w:ind w:left="360"/>
      </w:pPr>
      <w:r>
        <w:t xml:space="preserve">537. </w:t>
      </w:r>
      <w:r>
        <w:rPr>
          <w:b w:val="0"/>
          <w:i w:val="0"/>
        </w:rPr>
        <w:t>551</w:t>
      </w:r>
    </w:p>
    <w:p>
      <w:pPr>
        <w:spacing w:after="80"/>
        <w:ind w:left="360"/>
      </w:pPr>
      <w:r>
        <w:t xml:space="preserve">538. </w:t>
      </w:r>
      <w:r>
        <w:rPr>
          <w:b w:val="0"/>
          <w:i w:val="0"/>
        </w:rPr>
        <w:t>552</w:t>
      </w:r>
    </w:p>
    <w:p>
      <w:pPr>
        <w:spacing w:after="80"/>
        <w:ind w:left="360"/>
      </w:pPr>
      <w:r>
        <w:t xml:space="preserve">539. </w:t>
      </w:r>
      <w:r>
        <w:rPr>
          <w:b w:val="0"/>
          <w:i w:val="0"/>
        </w:rPr>
        <w:t>553</w:t>
      </w:r>
    </w:p>
    <w:p>
      <w:pPr>
        <w:spacing w:after="80"/>
        <w:ind w:left="360"/>
      </w:pPr>
      <w:r>
        <w:t xml:space="preserve">540. </w:t>
      </w:r>
      <w:r>
        <w:rPr>
          <w:b w:val="0"/>
          <w:i w:val="0"/>
        </w:rPr>
        <w:t>555</w:t>
      </w:r>
    </w:p>
    <w:p>
      <w:pPr>
        <w:spacing w:after="80"/>
        <w:ind w:left="360"/>
      </w:pPr>
      <w:r>
        <w:t xml:space="preserve">541. </w:t>
      </w:r>
      <w:r>
        <w:rPr>
          <w:b w:val="0"/>
          <w:i w:val="0"/>
        </w:rPr>
        <w:t>556</w:t>
      </w:r>
    </w:p>
    <w:p>
      <w:pPr>
        <w:spacing w:after="80"/>
        <w:ind w:left="360"/>
      </w:pPr>
      <w:r>
        <w:t xml:space="preserve">542. </w:t>
      </w:r>
      <w:r>
        <w:rPr>
          <w:b w:val="0"/>
          <w:i w:val="0"/>
        </w:rPr>
        <w:t>557</w:t>
      </w:r>
    </w:p>
    <w:p>
      <w:pPr>
        <w:spacing w:after="80"/>
        <w:ind w:left="360"/>
      </w:pPr>
      <w:r>
        <w:t xml:space="preserve">543. </w:t>
      </w:r>
      <w:r>
        <w:rPr>
          <w:b w:val="0"/>
          <w:i w:val="0"/>
        </w:rPr>
        <w:t>558</w:t>
      </w:r>
    </w:p>
    <w:p>
      <w:pPr>
        <w:spacing w:after="80"/>
        <w:ind w:left="360"/>
      </w:pPr>
      <w:r>
        <w:t xml:space="preserve">544. </w:t>
      </w:r>
      <w:r>
        <w:rPr>
          <w:b w:val="0"/>
          <w:i w:val="0"/>
        </w:rPr>
        <w:t>559</w:t>
      </w:r>
    </w:p>
    <w:p>
      <w:pPr>
        <w:spacing w:after="80"/>
        <w:ind w:left="360"/>
      </w:pPr>
      <w:r>
        <w:t xml:space="preserve">545. </w:t>
      </w:r>
      <w:r>
        <w:rPr>
          <w:b w:val="0"/>
          <w:i w:val="0"/>
        </w:rPr>
        <w:t>560</w:t>
      </w:r>
    </w:p>
    <w:p>
      <w:pPr>
        <w:spacing w:after="80"/>
        <w:ind w:left="360"/>
      </w:pPr>
      <w:r>
        <w:t xml:space="preserve">546. </w:t>
      </w:r>
      <w:r>
        <w:rPr>
          <w:b w:val="0"/>
          <w:i w:val="0"/>
        </w:rPr>
        <w:t>561</w:t>
      </w:r>
    </w:p>
    <w:p>
      <w:pPr>
        <w:spacing w:after="80"/>
        <w:ind w:left="360"/>
      </w:pPr>
      <w:r>
        <w:t xml:space="preserve">547. </w:t>
      </w:r>
      <w:r>
        <w:rPr>
          <w:b w:val="0"/>
          <w:i w:val="0"/>
        </w:rPr>
        <w:t>562</w:t>
      </w:r>
    </w:p>
    <w:p>
      <w:pPr>
        <w:spacing w:after="80"/>
        <w:ind w:left="360"/>
      </w:pPr>
      <w:r>
        <w:t xml:space="preserve">548. </w:t>
      </w:r>
      <w:r>
        <w:rPr>
          <w:b w:val="0"/>
          <w:i w:val="0"/>
        </w:rPr>
        <w:t>563</w:t>
      </w:r>
    </w:p>
    <w:p>
      <w:pPr>
        <w:spacing w:after="80"/>
        <w:ind w:left="360"/>
      </w:pPr>
      <w:r>
        <w:t xml:space="preserve">549. </w:t>
      </w:r>
      <w:r>
        <w:rPr>
          <w:b w:val="0"/>
          <w:i w:val="0"/>
        </w:rPr>
        <w:t>564</w:t>
      </w:r>
    </w:p>
    <w:p>
      <w:pPr>
        <w:spacing w:after="80"/>
        <w:ind w:left="360"/>
      </w:pPr>
      <w:r>
        <w:t xml:space="preserve">550. </w:t>
      </w:r>
      <w:r>
        <w:rPr>
          <w:b w:val="0"/>
          <w:i w:val="0"/>
        </w:rPr>
        <w:t>565</w:t>
      </w:r>
    </w:p>
    <w:p>
      <w:pPr>
        <w:spacing w:after="80"/>
        <w:ind w:left="360"/>
      </w:pPr>
      <w:r>
        <w:t xml:space="preserve">551. </w:t>
      </w:r>
      <w:r>
        <w:rPr>
          <w:b w:val="0"/>
          <w:i w:val="0"/>
        </w:rPr>
        <w:t>567</w:t>
      </w:r>
    </w:p>
    <w:p>
      <w:pPr>
        <w:spacing w:after="80"/>
        <w:ind w:left="360"/>
      </w:pPr>
      <w:r>
        <w:t xml:space="preserve">552. </w:t>
      </w:r>
      <w:r>
        <w:rPr>
          <w:b w:val="0"/>
          <w:i w:val="0"/>
        </w:rPr>
        <w:t>568</w:t>
      </w:r>
    </w:p>
    <w:p>
      <w:pPr>
        <w:spacing w:after="80"/>
        <w:ind w:left="360"/>
      </w:pPr>
      <w:r>
        <w:t xml:space="preserve">553. </w:t>
      </w:r>
      <w:r>
        <w:rPr>
          <w:b w:val="0"/>
          <w:i w:val="0"/>
        </w:rPr>
        <w:t>569</w:t>
      </w:r>
    </w:p>
    <w:p>
      <w:pPr>
        <w:spacing w:after="80"/>
        <w:ind w:left="360"/>
      </w:pPr>
      <w:r>
        <w:t xml:space="preserve">554. </w:t>
      </w:r>
      <w:r>
        <w:rPr>
          <w:b w:val="0"/>
          <w:i w:val="0"/>
        </w:rPr>
        <w:t>570</w:t>
      </w:r>
    </w:p>
    <w:p>
      <w:pPr>
        <w:spacing w:after="80"/>
        <w:ind w:left="360"/>
      </w:pPr>
      <w:r>
        <w:t xml:space="preserve">555. </w:t>
      </w:r>
      <w:r>
        <w:rPr>
          <w:b w:val="0"/>
          <w:i w:val="0"/>
        </w:rPr>
        <w:t>571</w:t>
      </w:r>
    </w:p>
    <w:p>
      <w:pPr>
        <w:spacing w:after="80"/>
        <w:ind w:left="360"/>
      </w:pPr>
      <w:r>
        <w:t xml:space="preserve">556. </w:t>
      </w:r>
      <w:r>
        <w:rPr>
          <w:b w:val="0"/>
          <w:i w:val="0"/>
        </w:rPr>
        <w:t>572</w:t>
      </w:r>
    </w:p>
    <w:p>
      <w:pPr>
        <w:spacing w:after="80"/>
        <w:ind w:left="360"/>
      </w:pPr>
      <w:r>
        <w:t xml:space="preserve">557. </w:t>
      </w:r>
      <w:r>
        <w:rPr>
          <w:b w:val="0"/>
          <w:i w:val="0"/>
        </w:rPr>
        <w:t>573</w:t>
      </w:r>
    </w:p>
    <w:p>
      <w:pPr>
        <w:spacing w:after="80"/>
        <w:ind w:left="360"/>
      </w:pPr>
      <w:r>
        <w:t xml:space="preserve">558. </w:t>
      </w:r>
      <w:r>
        <w:rPr>
          <w:b w:val="0"/>
          <w:i w:val="0"/>
        </w:rPr>
        <w:t>574</w:t>
      </w:r>
    </w:p>
    <w:p>
      <w:pPr>
        <w:spacing w:after="80"/>
        <w:ind w:left="360"/>
      </w:pPr>
      <w:r>
        <w:t xml:space="preserve">559. </w:t>
      </w:r>
      <w:r>
        <w:rPr>
          <w:b w:val="0"/>
          <w:i w:val="0"/>
        </w:rPr>
        <w:t>575</w:t>
      </w:r>
    </w:p>
    <w:p>
      <w:pPr>
        <w:spacing w:after="80"/>
        <w:ind w:left="360"/>
      </w:pPr>
      <w:r>
        <w:t xml:space="preserve">560. </w:t>
      </w:r>
      <w:r>
        <w:rPr>
          <w:b w:val="0"/>
          <w:i w:val="0"/>
        </w:rPr>
        <w:t>576</w:t>
      </w:r>
    </w:p>
    <w:p>
      <w:pPr>
        <w:spacing w:after="80"/>
        <w:ind w:left="360"/>
      </w:pPr>
      <w:r>
        <w:t xml:space="preserve">561. </w:t>
      </w:r>
      <w:r>
        <w:rPr>
          <w:b w:val="0"/>
          <w:i w:val="0"/>
        </w:rPr>
        <w:t>577</w:t>
      </w:r>
    </w:p>
    <w:p>
      <w:pPr>
        <w:spacing w:after="80"/>
        <w:ind w:left="360"/>
      </w:pPr>
      <w:r>
        <w:t xml:space="preserve">562. </w:t>
      </w:r>
      <w:r>
        <w:rPr>
          <w:b w:val="0"/>
          <w:i w:val="0"/>
        </w:rPr>
        <w:t>578</w:t>
      </w:r>
    </w:p>
    <w:p>
      <w:pPr>
        <w:spacing w:after="80"/>
        <w:ind w:left="360"/>
      </w:pPr>
      <w:r>
        <w:t xml:space="preserve">563. </w:t>
      </w:r>
      <w:r>
        <w:rPr>
          <w:b w:val="0"/>
          <w:i w:val="0"/>
        </w:rPr>
        <w:t>579</w:t>
      </w:r>
    </w:p>
    <w:p>
      <w:pPr>
        <w:spacing w:after="80"/>
        <w:ind w:left="360"/>
      </w:pPr>
      <w:r>
        <w:t xml:space="preserve">564. </w:t>
      </w:r>
      <w:r>
        <w:rPr>
          <w:b w:val="0"/>
          <w:i w:val="0"/>
        </w:rPr>
        <w:t>581</w:t>
      </w:r>
    </w:p>
    <w:p>
      <w:pPr>
        <w:spacing w:after="80"/>
        <w:ind w:left="360"/>
      </w:pPr>
      <w:r>
        <w:t xml:space="preserve">565. </w:t>
      </w:r>
      <w:r>
        <w:rPr>
          <w:b w:val="0"/>
          <w:i w:val="0"/>
        </w:rPr>
        <w:t>582</w:t>
      </w:r>
    </w:p>
    <w:p>
      <w:pPr>
        <w:spacing w:after="80"/>
        <w:ind w:left="360"/>
      </w:pPr>
      <w:r>
        <w:t xml:space="preserve">566. </w:t>
      </w:r>
      <w:r>
        <w:rPr>
          <w:b w:val="0"/>
          <w:i w:val="0"/>
        </w:rPr>
        <w:t>583</w:t>
      </w:r>
    </w:p>
    <w:p>
      <w:pPr>
        <w:spacing w:after="80"/>
        <w:ind w:left="360"/>
      </w:pPr>
      <w:r>
        <w:t xml:space="preserve">567. </w:t>
      </w:r>
      <w:r>
        <w:rPr>
          <w:b w:val="0"/>
          <w:i w:val="0"/>
        </w:rPr>
        <w:t>584</w:t>
      </w:r>
    </w:p>
    <w:p>
      <w:pPr>
        <w:spacing w:after="80"/>
        <w:ind w:left="360"/>
      </w:pPr>
      <w:r>
        <w:t xml:space="preserve">568. </w:t>
      </w:r>
      <w:r>
        <w:rPr>
          <w:b w:val="0"/>
          <w:i w:val="0"/>
        </w:rPr>
        <w:t>585</w:t>
      </w:r>
    </w:p>
    <w:p>
      <w:pPr>
        <w:spacing w:after="80"/>
        <w:ind w:left="360"/>
      </w:pPr>
      <w:r>
        <w:t xml:space="preserve">569. </w:t>
      </w:r>
      <w:r>
        <w:rPr>
          <w:b w:val="0"/>
          <w:i w:val="0"/>
        </w:rPr>
        <w:t>586</w:t>
      </w:r>
    </w:p>
    <w:p>
      <w:pPr>
        <w:spacing w:after="80"/>
        <w:ind w:left="360"/>
      </w:pPr>
      <w:r>
        <w:t xml:space="preserve">570. </w:t>
      </w:r>
      <w:r>
        <w:rPr>
          <w:b w:val="0"/>
          <w:i w:val="0"/>
        </w:rPr>
        <w:t>587</w:t>
      </w:r>
    </w:p>
    <w:p>
      <w:pPr>
        <w:spacing w:after="80"/>
        <w:ind w:left="360"/>
      </w:pPr>
      <w:r>
        <w:t xml:space="preserve">571. </w:t>
      </w:r>
      <w:r>
        <w:rPr>
          <w:b w:val="0"/>
          <w:i w:val="0"/>
        </w:rPr>
        <w:t>588</w:t>
      </w:r>
    </w:p>
    <w:p>
      <w:pPr>
        <w:spacing w:after="80"/>
        <w:ind w:left="360"/>
      </w:pPr>
      <w:r>
        <w:t xml:space="preserve">572. </w:t>
      </w:r>
      <w:r>
        <w:rPr>
          <w:b w:val="0"/>
          <w:i w:val="0"/>
        </w:rPr>
        <w:t>589</w:t>
      </w:r>
    </w:p>
    <w:p>
      <w:pPr>
        <w:spacing w:after="80"/>
        <w:ind w:left="360"/>
      </w:pPr>
      <w:r>
        <w:t xml:space="preserve">573. </w:t>
      </w:r>
      <w:r>
        <w:rPr>
          <w:b w:val="0"/>
          <w:i w:val="0"/>
        </w:rPr>
        <w:t>590</w:t>
      </w:r>
    </w:p>
    <w:p>
      <w:pPr>
        <w:spacing w:after="80"/>
        <w:ind w:left="360"/>
      </w:pPr>
      <w:r>
        <w:t xml:space="preserve">574. </w:t>
      </w:r>
      <w:r>
        <w:rPr>
          <w:b w:val="0"/>
          <w:i w:val="0"/>
        </w:rPr>
        <w:t>591</w:t>
      </w:r>
    </w:p>
    <w:p>
      <w:pPr>
        <w:spacing w:after="80"/>
        <w:ind w:left="360"/>
      </w:pPr>
      <w:r>
        <w:t xml:space="preserve">575. </w:t>
      </w:r>
      <w:r>
        <w:rPr>
          <w:b w:val="0"/>
          <w:i w:val="0"/>
        </w:rPr>
        <w:t>592</w:t>
      </w:r>
    </w:p>
    <w:p>
      <w:pPr>
        <w:spacing w:after="80"/>
        <w:ind w:left="360"/>
      </w:pPr>
      <w:r>
        <w:t xml:space="preserve">576. </w:t>
      </w:r>
      <w:r>
        <w:rPr>
          <w:b w:val="0"/>
          <w:i w:val="0"/>
        </w:rPr>
        <w:t>593</w:t>
      </w:r>
    </w:p>
    <w:p>
      <w:pPr>
        <w:spacing w:after="80"/>
        <w:ind w:left="360"/>
      </w:pPr>
      <w:r>
        <w:t xml:space="preserve">577. </w:t>
      </w:r>
      <w:r>
        <w:rPr>
          <w:b w:val="0"/>
          <w:i w:val="0"/>
        </w:rPr>
        <w:t>594</w:t>
      </w:r>
    </w:p>
    <w:p>
      <w:pPr>
        <w:spacing w:after="80"/>
        <w:ind w:left="360"/>
      </w:pPr>
      <w:r>
        <w:t xml:space="preserve">578. </w:t>
      </w:r>
      <w:r>
        <w:rPr>
          <w:b w:val="0"/>
          <w:i w:val="0"/>
        </w:rPr>
        <w:t>595</w:t>
      </w:r>
    </w:p>
    <w:p>
      <w:pPr>
        <w:spacing w:after="80"/>
        <w:ind w:left="360"/>
      </w:pPr>
      <w:r>
        <w:t xml:space="preserve">579. </w:t>
      </w:r>
      <w:r>
        <w:rPr>
          <w:b w:val="0"/>
          <w:i w:val="0"/>
        </w:rPr>
        <w:t>596</w:t>
      </w:r>
    </w:p>
    <w:p>
      <w:pPr>
        <w:spacing w:after="80"/>
        <w:ind w:left="360"/>
      </w:pPr>
      <w:r>
        <w:t xml:space="preserve">580. </w:t>
      </w:r>
      <w:r>
        <w:rPr>
          <w:b w:val="0"/>
          <w:i w:val="0"/>
        </w:rPr>
        <w:t>597</w:t>
      </w:r>
    </w:p>
    <w:p>
      <w:pPr>
        <w:spacing w:after="80"/>
        <w:ind w:left="360"/>
      </w:pPr>
      <w:r>
        <w:t xml:space="preserve">581. </w:t>
      </w:r>
      <w:r>
        <w:rPr>
          <w:b w:val="0"/>
          <w:i w:val="0"/>
        </w:rPr>
        <w:t>598</w:t>
      </w:r>
    </w:p>
    <w:p>
      <w:pPr>
        <w:spacing w:after="80"/>
        <w:ind w:left="360"/>
      </w:pPr>
      <w:r>
        <w:t xml:space="preserve">582. </w:t>
      </w:r>
      <w:r>
        <w:rPr>
          <w:b w:val="0"/>
          <w:i w:val="0"/>
        </w:rPr>
        <w:t>599</w:t>
      </w:r>
    </w:p>
    <w:p>
      <w:pPr>
        <w:spacing w:after="80"/>
        <w:ind w:left="360"/>
      </w:pPr>
      <w:r>
        <w:t xml:space="preserve">583. </w:t>
      </w:r>
      <w:r>
        <w:rPr>
          <w:b w:val="0"/>
          <w:i w:val="0"/>
        </w:rPr>
        <w:t>600</w:t>
      </w:r>
    </w:p>
    <w:p>
      <w:pPr>
        <w:spacing w:after="80"/>
        <w:ind w:left="360"/>
      </w:pPr>
      <w:r>
        <w:t xml:space="preserve">584. </w:t>
      </w:r>
      <w:r>
        <w:rPr>
          <w:b w:val="0"/>
          <w:i w:val="0"/>
        </w:rPr>
        <w:t>601</w:t>
      </w:r>
    </w:p>
    <w:p>
      <w:pPr>
        <w:spacing w:after="80"/>
        <w:ind w:left="360"/>
      </w:pPr>
      <w:r>
        <w:t xml:space="preserve">585. </w:t>
      </w:r>
      <w:r>
        <w:rPr>
          <w:b w:val="0"/>
          <w:i w:val="0"/>
        </w:rPr>
        <w:t>602</w:t>
      </w:r>
    </w:p>
    <w:p>
      <w:pPr>
        <w:spacing w:after="80"/>
        <w:ind w:left="360"/>
      </w:pPr>
      <w:r>
        <w:t xml:space="preserve">586. </w:t>
      </w:r>
      <w:r>
        <w:rPr>
          <w:b w:val="0"/>
          <w:i w:val="0"/>
        </w:rPr>
        <w:t>603</w:t>
      </w:r>
    </w:p>
    <w:p>
      <w:pPr>
        <w:spacing w:after="80"/>
        <w:ind w:left="360"/>
      </w:pPr>
      <w:r>
        <w:t xml:space="preserve">587. </w:t>
      </w:r>
      <w:r>
        <w:rPr>
          <w:b w:val="0"/>
          <w:i w:val="0"/>
        </w:rPr>
        <w:t>604</w:t>
      </w:r>
    </w:p>
    <w:p>
      <w:pPr>
        <w:spacing w:after="80"/>
        <w:ind w:left="360"/>
      </w:pPr>
      <w:r>
        <w:t xml:space="preserve">588. </w:t>
      </w:r>
      <w:r>
        <w:rPr>
          <w:b w:val="0"/>
          <w:i w:val="0"/>
        </w:rPr>
        <w:t>605</w:t>
      </w:r>
    </w:p>
    <w:p>
      <w:pPr>
        <w:spacing w:after="80"/>
        <w:ind w:left="360"/>
      </w:pPr>
      <w:r>
        <w:t xml:space="preserve">589. </w:t>
      </w:r>
      <w:r>
        <w:rPr>
          <w:b w:val="0"/>
          <w:i w:val="0"/>
        </w:rPr>
        <w:t>606</w:t>
      </w:r>
    </w:p>
    <w:p>
      <w:pPr>
        <w:spacing w:after="80"/>
        <w:ind w:left="360"/>
      </w:pPr>
      <w:r>
        <w:t xml:space="preserve">590. </w:t>
      </w:r>
      <w:r>
        <w:rPr>
          <w:b w:val="0"/>
          <w:i w:val="0"/>
        </w:rPr>
        <w:t>607</w:t>
      </w:r>
    </w:p>
    <w:p>
      <w:pPr>
        <w:spacing w:after="80"/>
        <w:ind w:left="360"/>
      </w:pPr>
      <w:r>
        <w:t xml:space="preserve">591. </w:t>
      </w:r>
      <w:r>
        <w:rPr>
          <w:b w:val="0"/>
          <w:i w:val="0"/>
        </w:rPr>
        <w:t>608</w:t>
      </w:r>
    </w:p>
    <w:p>
      <w:pPr>
        <w:spacing w:after="80"/>
        <w:ind w:left="360"/>
      </w:pPr>
      <w:r>
        <w:t xml:space="preserve">592. </w:t>
      </w:r>
      <w:r>
        <w:rPr>
          <w:b w:val="0"/>
          <w:i w:val="0"/>
        </w:rPr>
        <w:t>609</w:t>
      </w:r>
    </w:p>
    <w:p>
      <w:pPr>
        <w:spacing w:after="80"/>
        <w:ind w:left="360"/>
      </w:pPr>
      <w:r>
        <w:t xml:space="preserve">593. </w:t>
      </w:r>
      <w:r>
        <w:rPr>
          <w:b w:val="0"/>
          <w:i w:val="0"/>
        </w:rPr>
        <w:t>610</w:t>
      </w:r>
    </w:p>
    <w:p>
      <w:pPr>
        <w:spacing w:after="80"/>
        <w:ind w:left="360"/>
      </w:pPr>
      <w:r>
        <w:t xml:space="preserve">594. </w:t>
      </w:r>
      <w:r>
        <w:rPr>
          <w:b w:val="0"/>
          <w:i w:val="0"/>
        </w:rPr>
        <w:t>611</w:t>
      </w:r>
    </w:p>
    <w:p>
      <w:pPr>
        <w:spacing w:after="80"/>
        <w:ind w:left="360"/>
      </w:pPr>
      <w:r>
        <w:t xml:space="preserve">595. </w:t>
      </w:r>
      <w:r>
        <w:rPr>
          <w:b w:val="0"/>
          <w:i w:val="0"/>
        </w:rPr>
        <w:t>612</w:t>
      </w:r>
    </w:p>
    <w:p>
      <w:pPr>
        <w:spacing w:after="80"/>
        <w:ind w:left="360"/>
      </w:pPr>
      <w:r>
        <w:t xml:space="preserve">596. </w:t>
      </w:r>
      <w:r>
        <w:rPr>
          <w:b w:val="0"/>
          <w:i w:val="0"/>
        </w:rPr>
        <w:t>613</w:t>
      </w:r>
    </w:p>
    <w:p>
      <w:pPr>
        <w:spacing w:after="80"/>
        <w:ind w:left="360"/>
      </w:pPr>
      <w:r>
        <w:t xml:space="preserve">597. </w:t>
      </w:r>
      <w:r>
        <w:rPr>
          <w:b w:val="0"/>
          <w:i w:val="0"/>
        </w:rPr>
        <w:t>614</w:t>
      </w:r>
    </w:p>
    <w:p>
      <w:pPr>
        <w:spacing w:after="80"/>
      </w:pPr>
      <w:r>
        <w:rPr>
          <w:b/>
          <w:i w:val="0"/>
        </w:rPr>
        <w:t>ERIC LAMARRE | KATE SMAJE | ROB LEVIN</w:t>
      </w:r>
    </w:p>
    <w:p>
      <w:pPr>
        <w:spacing w:after="80"/>
      </w:pPr>
      <w:r>
        <w:rPr>
          <w:b/>
          <w:i w:val="0"/>
        </w:rPr>
        <w:t>CÙNG VỚI ALEX SINGLA VÀ ALEXANDER SUKHAREVSKY</w:t>
      </w:r>
    </w:p>
    <w:p>
      <w:pPr>
        <w:spacing w:after="80"/>
      </w:pPr>
      <w:r>
        <w:rPr>
          <w:b/>
          <w:i w:val="0"/>
        </w:rPr>
        <w:t>ĐƯỢC SỬA ĐỔI VÀ MỞ RỘNG</w:t>
      </w:r>
    </w:p>
    <w:p>
      <w:pPr>
        <w:spacing w:after="80"/>
      </w:pPr>
      <w:r>
        <w:rPr>
          <w:b/>
          <w:i w:val="0"/>
        </w:rPr>
        <w:t>ẤN BẢN THỨ HAI</w:t>
      </w:r>
    </w:p>
    <w:p>
      <w:pPr>
        <w:pStyle w:val="Heading1"/>
      </w:pPr>
      <w:r>
        <w:rPr>
          <w:rFonts w:ascii="Calibri" w:hAnsi="Calibri"/>
          <w:b/>
          <w:i w:val="0"/>
          <w:sz w:val="40"/>
        </w:rPr>
        <w:t>REWIRED</w:t>
      </w:r>
    </w:p>
    <w:p>
      <w:pPr>
        <w:pStyle w:val="Heading2"/>
      </w:pPr>
      <w:r>
        <w:rPr>
          <w:rFonts w:ascii="Calibri" w:hAnsi="Calibri"/>
          <w:b/>
          <w:i w:val="0"/>
          <w:sz w:val="32"/>
        </w:rPr>
        <w:t>CẨM NANG CỦA McKINSEY VỀ CÁCH CÁC CÔNG TY HÀNG ĐẦU GIÀNH CHIẾN THẮNG BẰNG CÔNG NGHỆ VÀ AI</w:t>
      </w:r>
    </w:p>
    <w:p>
      <w:pPr>
        <w:jc w:val="center"/>
      </w:pPr>
      <w:r>
        <w:drawing>
          <wp:inline xmlns:a="http://schemas.openxmlformats.org/drawingml/2006/main" xmlns:pic="http://schemas.openxmlformats.org/drawingml/2006/picture">
            <wp:extent cx="1695450" cy="36195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695450" cy="361950"/>
                    </a:xfrm>
                    <a:prstGeom prst="rect"/>
                  </pic:spPr>
                </pic:pic>
              </a:graphicData>
            </a:graphic>
          </wp:inline>
        </w:drawing>
      </w:r>
    </w:p>
    <w:p>
      <w:pPr>
        <w:spacing w:after="80"/>
      </w:pPr>
      <w:r>
        <w:rPr>
          <w:b w:val="0"/>
          <w:i w:val="0"/>
        </w:rPr>
        <w:t>Bản quyền © 2026 thuộc McKinsey &amp; Company. Bảo lưu mọi quyền.</w:t>
      </w:r>
    </w:p>
    <w:p>
      <w:pPr>
        <w:spacing w:after="80"/>
      </w:pPr>
      <w:r>
        <w:rPr>
          <w:b w:val="0"/>
          <w:i w:val="0"/>
        </w:rPr>
        <w:t>Xuất bản bởi John Wiley &amp; Sons, Inc., Hoboken, New Jersey.</w:t>
      </w:r>
    </w:p>
    <w:p>
      <w:pPr>
        <w:spacing w:after="80"/>
      </w:pPr>
      <w:r>
        <w:rPr>
          <w:b w:val="0"/>
          <w:i w:val="0"/>
        </w:rPr>
        <w:t>Không phần nào của ấn phẩm này được phép sao chép, lưu trữ trong hệ thống truy xuất, hoặc truyền tải dưới bất kỳ hình thức nào hay bằng bất kỳ phương tiện nào — điện tử, cơ học, photocopy, ghi âm, quét, hay cách khác —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phù hợp cho mỗi bản sao cho Copyright Clearance Center, Inc., 222 Rosewood Drive, Danvers, MA 01923, (978) 750-8400, fax (978) 750-4470, hoặc trên web tại www.copyright.com. Các yêu cầu xin phép gửi đến Nhà xuất bản nên được gửi tới Phòng Cấp phép, John Wiley &amp; Sons, Inc., 111 River Street, Hoboken, NJ 07030, (201) 748-6011, fax (201) 748-6008, hoặc trực tuyến tại http://www.wiley.com/go/permission.</w:t>
      </w:r>
    </w:p>
    <w:p>
      <w:pPr>
        <w:spacing w:after="80"/>
      </w:pPr>
      <w:r>
        <w:rPr>
          <w:b w:val="0"/>
          <w:i w:val="0"/>
        </w:rPr>
        <w:t>Đại diện được nhà sản xuất ủy quyền theo Quy định An toàn Sản phẩm Chung của EU là Wiley-VCH GmbH, Boschstr. 12, 69469 Weinheim, Đức, email: Product_Safety@wiley.com.</w:t>
      </w:r>
    </w:p>
    <w:p>
      <w:pPr>
        <w:spacing w:after="80"/>
      </w:pPr>
      <w:r>
        <w:rPr>
          <w:b w:val="0"/>
          <w:i w:val="0"/>
        </w:rPr>
        <w:t>Nhãn hiệu: Wiley và logo Wiley là nhãn hiệu hoặc nhãn hiệu đã đăng ký của John Wiley &amp; Sons, Inc. và/hoặc các chi nhánh của công ty tại Hoa Kỳ và các quốc gia khác và không được sử dụng nếu không có sự cho phép bằng văn bản. Tất cả các nhãn hiệu khác là tài sản của chủ sở hữu tương ứng. John Wiley &amp; Sons, Inc. không liên kết với bất kỳ sản phẩm hay nhà cung cấp nào được đề cập trong cuốn sách này.</w:t>
      </w:r>
    </w:p>
    <w:p>
      <w:pPr>
        <w:spacing w:after="80"/>
      </w:pPr>
      <w:r>
        <w:rPr>
          <w:b w:val="0"/>
          <w:i w:val="0"/>
        </w:rPr>
        <w:t>Giới hạn Trách nhiệm/Tuyên bố Miễn trừ Bảo hành: Mặc dù nhà xuất bản và các tác giả đã nỗ lực hết sức trong việc chuẩn bị tác phẩm này, bao gồm việc xem xét nội dung của tác phẩm, cả nhà xuất bản lẫn các tác giả đều không đưa ra bất kỳ tuyên bố hay bảo đảm nào về tính chính xác hoặc đầy đủ của nội dung tác phẩm này và đặc biệt từ chối mọi bảo đảm, bao gồm nhưng không giới hạn ở bất kỳ bảo đảm ngụ ý nào về khả năng bán được hoặc sự phù hợp cho một mục đích cụ thể. Một số hệ thống AI nhất định đã được sử dụng trong quá trình tạo ra tác phẩm này. Không có bảo đảm nào có thể được tạo ra hoặc mở rộng bởi nhân viên bán hàng, tài liệu bán hàng bằng văn bản hay tuyên bố quảng cáo cho tác phẩm này. Việc một tổ chức, trang web, hay sản phẩm được đề cập trong tác phẩm này như một trích dẫn và/hoặc nguồn thông tin tiềm năng không có nghĩa là nhà xuất bản và các tác giả chứng thực thông tin hay dịch vụ mà tổ chức, trang web, hoặc sản phẩm đó có thể cung cấp hoặc các khuyến nghị mà nó có thể đưa ra. Tác phẩm này được bán với sự hiểu biết rằng nhà xuất bản không tham gia vào việc cung cấp dịch vụ chuyên nghiệp.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này được viết và thời điểm nó được đọc. Cả nhà xuất bản lẫn các tác giả đều không chịu trách nhiệm cho bất kỳ tổn thất lợi nhuận hay bất kỳ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lãnh thổ Hoa Kỳ theo số (800) 762-2974, ngoài Hoa Kỳ theo số (317) 572-3993 hoặc fax (317) 572-4002.</w:t>
      </w:r>
    </w:p>
    <w:p>
      <w:pPr>
        <w:spacing w:after="80"/>
      </w:pPr>
      <w:r>
        <w:rPr>
          <w:b w:val="0"/>
          <w:i w:val="0"/>
        </w:rPr>
        <w:t>Wiley cũng xuất bản sách của mình dưới nhiều định dạng điện tử khác nhau. Một số nội dung xuất hiện trên bản in có thể không có sẵn ở định dạng điện tử. Để biết thêm thông tin về các sản phẩm của Wiley, hãy truy cập trang web của chúng tôi tại www.wiley.com.</w:t>
      </w:r>
    </w:p>
    <w:p>
      <w:pPr>
        <w:spacing w:after="80"/>
      </w:pPr>
      <w:r>
        <w:rPr>
          <w:b/>
          <w:i/>
        </w:rPr>
        <w:t>Dữ liệu Biên mục Xuất bản của Thư viện Quốc hội Hoa Kỳ đã có sẵn:</w:t>
      </w:r>
    </w:p>
    <w:p>
      <w:pPr>
        <w:spacing w:after="80"/>
      </w:pPr>
      <w:r>
        <w:rPr>
          <w:b w:val="0"/>
          <w:i w:val="0"/>
        </w:rPr>
        <w:t>ISBN 9781394381906 (Bìa cứng)</w:t>
      </w:r>
      <w:r>
        <w:br/>
      </w:r>
      <w:r>
        <w:rPr>
          <w:b w:val="0"/>
          <w:i w:val="0"/>
        </w:rPr>
        <w:t>ISBN 9781394381913 (ePUB)</w:t>
      </w:r>
      <w:r>
        <w:br/>
      </w:r>
      <w:r>
        <w:rPr>
          <w:b w:val="0"/>
          <w:i w:val="0"/>
        </w:rPr>
        <w:t>ISBN 9781394381920 (ePDF)</w:t>
      </w:r>
    </w:p>
    <w:p>
      <w:pPr>
        <w:spacing w:after="80"/>
      </w:pPr>
      <w:r>
        <w:rPr>
          <w:b w:val="0"/>
          <w:i w:val="0"/>
        </w:rPr>
        <w:t>Thiết kế bìa: Wiley</w:t>
      </w:r>
      <w:r>
        <w:br/>
      </w:r>
      <w:r>
        <w:rPr>
          <w:b w:val="0"/>
          <w:i w:val="0"/>
        </w:rPr>
        <w:t>Hình ảnh bìa: Được cung cấp bởi McKinsey &amp; Company, Inc. Hoa Kỳ</w:t>
      </w:r>
      <w:r>
        <w:br/>
      </w:r>
      <w:r>
        <w:rPr>
          <w:b w:val="0"/>
          <w:i w:val="0"/>
        </w:rPr>
        <w:t>Ảnh tác giả: Được cung cấp bởi các Tác giả</w:t>
      </w:r>
    </w:p>
    <w:p>
      <w:pPr>
        <w:pStyle w:val="Heading1"/>
      </w:pPr>
      <w:r>
        <w:rPr>
          <w:rFonts w:ascii="Calibri" w:hAnsi="Calibri"/>
          <w:b/>
          <w:i w:val="0"/>
          <w:sz w:val="40"/>
        </w:rPr>
        <w:t>Chúng tôi hiểu thế nào là chuyển đổi Công nghệ &amp; AI</w:t>
      </w:r>
    </w:p>
    <w:p>
      <w:pPr>
        <w:jc w:val="center"/>
      </w:pPr>
      <w:r>
        <w:drawing>
          <wp:inline xmlns:a="http://schemas.openxmlformats.org/drawingml/2006/main" xmlns:pic="http://schemas.openxmlformats.org/drawingml/2006/picture">
            <wp:extent cx="5486400" cy="3500549"/>
            <wp:docPr id="3" name="Picture 3"/>
            <wp:cNvGraphicFramePr>
              <a:graphicFrameLocks noChangeAspect="1"/>
            </wp:cNvGraphicFramePr>
            <a:graphic>
              <a:graphicData uri="http://schemas.openxmlformats.org/drawingml/2006/picture">
                <pic:pic>
                  <pic:nvPicPr>
                    <pic:cNvPr id="0" name="f03f001.png"/>
                    <pic:cNvPicPr/>
                  </pic:nvPicPr>
                  <pic:blipFill>
                    <a:blip r:embed="rId11"/>
                    <a:stretch>
                      <a:fillRect/>
                    </a:stretch>
                  </pic:blipFill>
                  <pic:spPr>
                    <a:xfrm>
                      <a:off x="0" y="0"/>
                      <a:ext cx="5486400" cy="3500549"/>
                    </a:xfrm>
                    <a:prstGeom prst="rect"/>
                  </pic:spPr>
                </pic:pic>
              </a:graphicData>
            </a:graphic>
          </wp:inline>
        </w:drawing>
      </w:r>
    </w:p>
    <w:p>
      <w:pPr>
        <w:pStyle w:val="Heading1"/>
      </w:pPr>
      <w:r>
        <w:rPr>
          <w:rFonts w:ascii="Calibri" w:hAnsi="Calibri"/>
          <w:b/>
          <w:i w:val="0"/>
          <w:sz w:val="40"/>
        </w:rPr>
        <w:t>GIỚI THIỆU</w:t>
      </w:r>
      <w:r>
        <w:rPr>
          <w:rFonts w:ascii="Calibri" w:hAnsi="Calibri"/>
          <w:b/>
          <w:i w:val="0"/>
          <w:sz w:val="40"/>
        </w:rPr>
      </w:r>
      <w:r>
        <w:rPr>
          <w:rFonts w:ascii="Calibri" w:hAnsi="Calibri"/>
          <w:b/>
          <w:i w:val="0"/>
          <w:sz w:val="40"/>
        </w:rPr>
        <w:t xml:space="preserve">Hướng dẫn của bạn về </w:t>
      </w:r>
      <w:r>
        <w:rPr>
          <w:rFonts w:ascii="Calibri" w:hAnsi="Calibri"/>
          <w:b/>
          <w:i/>
          <w:sz w:val="40"/>
        </w:rPr>
        <w:t>Rewired</w:t>
      </w:r>
    </w:p>
    <w:p>
      <w:pPr>
        <w:spacing w:after="80"/>
      </w:pPr>
      <w:r>
        <w:rPr>
          <w:b w:val="0"/>
          <w:i/>
        </w:rPr>
        <w:t>Các nhà lãnh đạo doanh nghiệp sẽ chuyển đổi công ty của mình bằng công nghệ trong suốt phần còn lại của sự nghiệp</w:t>
      </w:r>
      <w:r>
        <w:rPr>
          <w:b w:val="0"/>
          <w:i w:val="0"/>
        </w:rPr>
        <w:t>.</w:t>
      </w:r>
    </w:p>
    <w:p>
      <w:pPr>
        <w:spacing w:after="80"/>
      </w:pPr>
      <w:r>
        <w:rPr>
          <w:b w:val="0"/>
          <w:i w:val="0"/>
        </w:rPr>
        <w:t xml:space="preserve">Đó là câu mở đầu của ấn bản đầu tiên cuốn </w:t>
      </w:r>
      <w:r>
        <w:rPr>
          <w:b w:val="0"/>
          <w:i/>
        </w:rPr>
        <w:t>Rewired</w:t>
      </w:r>
      <w:r>
        <w:rPr>
          <w:b w:val="0"/>
          <w:i w:val="0"/>
        </w:rPr>
        <w:t>, và các sự kiện đã càng khẳng định điều đó đúng đến nhường nào. Khi chúng tôi viết cuốn sách, GenAI vừa mới bước vào nhận thức của công chúng và agentic AI chỉ còn là một tia lóe lên trong mắt ai đó. Những công nghệ này đã vươn lên đứng đầu chương trình nghị sự của doanh nghiệp kể từ đó, buộc các công ty phải thích nghi với một làn sóng thay đổi mới.</w:t>
      </w:r>
    </w:p>
    <w:p>
      <w:pPr>
        <w:spacing w:after="80"/>
      </w:pPr>
      <w:r>
        <w:rPr>
          <w:b w:val="0"/>
          <w:i w:val="0"/>
        </w:rPr>
        <w:t>Là thế lực chi phối định hình nên doanh nghiệp, công nghệ giờ đây thấm vào gần như mọi ưu tiên chiến lược: trải nghiệm khách hàng, sản phẩm và dịch vụ mới, tăng trưởng, năng suất, nhân tài, v.v. Với các công nghệ tạo sinh, chúng ta đang ở khởi đầu của một đường cong S đổi mới doanh nghiệp mới.</w:t>
      </w:r>
    </w:p>
    <w:p>
      <w:pPr>
        <w:spacing w:after="80"/>
      </w:pPr>
      <w:r>
        <w:rPr>
          <w:b w:val="0"/>
          <w:i w:val="0"/>
        </w:rPr>
        <w:t>Hãy tưởng tượng điều gì sẽ trở nên khả thi khi sản lượng phát triển phần mềm tăng gấp 20 lần với cùng một ngân sách. Những sản phẩm số, dịch vụ số và mô hình kinh doanh từng không mang lại hiệu quả kinh tế—hoặc đơn giản là bất khả thi—bỗng nhiên nằm trong tầm tay.</w:t>
      </w:r>
    </w:p>
    <w:p>
      <w:pPr>
        <w:spacing w:after="80"/>
      </w:pPr>
      <w:r>
        <w:rPr>
          <w:b w:val="0"/>
          <w:i w:val="0"/>
        </w:rPr>
        <w:t>Giờ hãy nghĩ đến những hoạt động kinh doanh phức tạp như bệnh viện, hãng hàng không, ngân hàng, nhà máy sản xuất hay chuỗi bán lẻ. Sẽ thế nào nếu việc lập kế hoạch, thực thi, xử lý ngoại lệ và ra quyết định vận hành được đồng bộ liên tục xuyên suốt các chức năng, hệ thống và các tầm nhìn thời gian? Trong thế giới đó, AI không chỉ hỗ trợ công việc ở rìa; nó trở thành một phần được nhúng vào chính cấu trúc vận hành của doanh nghiệp, định hình cách doanh nghiệp thực sự vận hành.</w:t>
      </w:r>
    </w:p>
    <w:p>
      <w:pPr>
        <w:spacing w:after="80"/>
      </w:pPr>
      <w:r>
        <w:rPr>
          <w:b w:val="0"/>
          <w:i w:val="0"/>
        </w:rPr>
        <w:t>Đây không phải là khoa học viễn tưởng. Đây là thực tế đang hình thành mà các doanh nghiệp phải thích nghi, như chúng tôi khám phá trong các trang của cuốn sách này.</w:t>
      </w:r>
    </w:p>
    <w:p>
      <w:pPr>
        <w:spacing w:after="80"/>
      </w:pPr>
      <w:r>
        <w:rPr>
          <w:b w:val="0"/>
          <w:i w:val="0"/>
        </w:rPr>
        <w:t xml:space="preserve">Hãy nói rõ ngay từ đầu: </w:t>
      </w:r>
      <w:r>
        <w:rPr>
          <w:b w:val="0"/>
          <w:i/>
        </w:rPr>
        <w:t>Rewired</w:t>
      </w:r>
      <w:r>
        <w:rPr>
          <w:b w:val="0"/>
          <w:i w:val="0"/>
        </w:rPr>
        <w:t xml:space="preserve"> không nói về việc áp dụng rộng rãi các công cụ AI trong công việc hằng ngày của nhân viên. Điều đó quan trọng nhưng việc áp dụng công cụ nhanh chóng trở thành điều kiện tối thiểu. Lợi thế cạnh tranh đến từ một điều khó hơn nhiều: tái tưởng tượng các quy trình kinh doanh cốt lõi, sản phẩm và dịch vụ từ đầu đến cuối bằng các hệ thống AI được phát triển và nhúng vào cốt lõi.</w:t>
      </w:r>
    </w:p>
    <w:p>
      <w:pPr>
        <w:spacing w:after="80"/>
      </w:pPr>
      <w:r>
        <w:rPr>
          <w:b w:val="0"/>
          <w:i/>
        </w:rPr>
        <w:t>Rewired</w:t>
      </w:r>
      <w:r>
        <w:rPr>
          <w:b w:val="0"/>
          <w:i w:val="0"/>
        </w:rPr>
        <w:t xml:space="preserve"> nói về những năng lực mà các nhà lãnh đạo phải phát triển để làm chính xác điều đó.</w:t>
      </w:r>
    </w:p>
    <w:p>
      <w:pPr>
        <w:spacing w:after="80"/>
      </w:pPr>
      <w:r>
        <w:rPr>
          <w:b w:val="0"/>
          <w:i w:val="0"/>
        </w:rPr>
        <w:t xml:space="preserve">Cuốn sách này không nói về công nghệ vì bản thân công nghệ. Chúng tôi cố ý dành ít thời gian mô tả các công cụ hay thuật toán cụ thể. </w:t>
      </w:r>
      <w:r>
        <w:rPr>
          <w:b w:val="0"/>
          <w:i/>
        </w:rPr>
        <w:t>Rewired</w:t>
      </w:r>
      <w:r>
        <w:rPr>
          <w:b w:val="0"/>
          <w:i w:val="0"/>
        </w:rPr>
        <w:t xml:space="preserve"> nói về cách công nghệ—đặc biệt là AI—được ứng dụng trong doanh nghiệp để tạo ra những cải thiện có ý nghĩa về hiệu suất.</w:t>
      </w:r>
    </w:p>
    <w:p>
      <w:pPr>
        <w:pStyle w:val="Heading2"/>
      </w:pPr>
      <w:r>
        <w:rPr>
          <w:rFonts w:ascii="Calibri" w:hAnsi="Calibri"/>
          <w:b/>
          <w:i w:val="0"/>
          <w:sz w:val="32"/>
        </w:rPr>
        <w:t>Công nghệ &amp; AI</w:t>
      </w:r>
    </w:p>
    <w:p>
      <w:pPr>
        <w:spacing w:after="80"/>
      </w:pPr>
      <w:r>
        <w:rPr>
          <w:b w:val="0"/>
          <w:i w:val="0"/>
        </w:rPr>
        <w:t>Xuyên suốt cuốn sách, chúng tôi nhắc đến các chuyển đổi và năng lực "Công nghệ &amp; AI" bởi vì công nghệ nói chung và trí tuệ nhân tạo nói riêng là nền tảng cho rất nhiều thay đổi đang định hình lại kinh doanh.</w:t>
      </w:r>
    </w:p>
    <w:p>
      <w:pPr>
        <w:pStyle w:val="Heading2"/>
      </w:pPr>
      <w:r>
        <w:rPr>
          <w:rFonts w:ascii="Calibri" w:hAnsi="Calibri"/>
          <w:b/>
          <w:i w:val="0"/>
          <w:sz w:val="32"/>
        </w:rPr>
        <w:t xml:space="preserve">Doanh nghiệp </w:t>
      </w:r>
      <w:r>
        <w:rPr>
          <w:rFonts w:ascii="Calibri" w:hAnsi="Calibri"/>
          <w:b/>
          <w:i/>
          <w:sz w:val="32"/>
        </w:rPr>
        <w:t>Rewired</w:t>
      </w:r>
    </w:p>
    <w:p>
      <w:pPr>
        <w:spacing w:after="80"/>
      </w:pPr>
      <w:r>
        <w:rPr>
          <w:b w:val="0"/>
          <w:i w:val="0"/>
        </w:rPr>
        <w:t xml:space="preserve">Chúng tôi thích nói rằng </w:t>
      </w:r>
      <w:r>
        <w:rPr>
          <w:b w:val="0"/>
          <w:i/>
        </w:rPr>
        <w:t>Rewired</w:t>
      </w:r>
      <w:r>
        <w:rPr>
          <w:b w:val="0"/>
          <w:i w:val="0"/>
        </w:rPr>
        <w:t xml:space="preserve"> vừa mang tính vượt thời gian vừa mang tính thời sự. Trong ấn bản đầu tiên, chúng tôi đã mô tả sáu năng lực cốt lõi mà doanh nghiệp cần có để cạnh tranh vượt trội trong thế giới Công nghệ &amp; AI (Hình I.1). Hiểu biết then chốt đó vẫn không thay đổi: các công ty phải mạnh ở cả sáu năng lực để giành chiến thắng. Đó là phần "vượt thời gian". Điều đã thay đổi là sự dịch chuyển trong việc "giỏi" trông như thế nào. Đó là ý chúng tôi khi nói "thời sự".</w:t>
      </w:r>
    </w:p>
    <w:p>
      <w:pPr>
        <w:jc w:val="center"/>
      </w:pPr>
      <w:r>
        <w:drawing>
          <wp:inline xmlns:a="http://schemas.openxmlformats.org/drawingml/2006/main" xmlns:pic="http://schemas.openxmlformats.org/drawingml/2006/picture">
            <wp:extent cx="5486400" cy="3744380"/>
            <wp:docPr id="4" name="Picture 4"/>
            <wp:cNvGraphicFramePr>
              <a:graphicFrameLocks noChangeAspect="1"/>
            </wp:cNvGraphicFramePr>
            <a:graphic>
              <a:graphicData uri="http://schemas.openxmlformats.org/drawingml/2006/picture">
                <pic:pic>
                  <pic:nvPicPr>
                    <pic:cNvPr id="0" name="cintroex001.png"/>
                    <pic:cNvPicPr/>
                  </pic:nvPicPr>
                  <pic:blipFill>
                    <a:blip r:embed="rId12"/>
                    <a:stretch>
                      <a:fillRect/>
                    </a:stretch>
                  </pic:blipFill>
                  <pic:spPr>
                    <a:xfrm>
                      <a:off x="0" y="0"/>
                      <a:ext cx="5486400" cy="3744380"/>
                    </a:xfrm>
                    <a:prstGeom prst="rect"/>
                  </pic:spPr>
                </pic:pic>
              </a:graphicData>
            </a:graphic>
          </wp:inline>
        </w:drawing>
      </w:r>
    </w:p>
    <w:p>
      <w:pPr>
        <w:spacing w:after="160"/>
        <w:jc w:val="center"/>
      </w:pPr>
      <w:r>
        <w:rPr>
          <w:rFonts w:ascii="Calibri" w:hAnsi="Calibri"/>
          <w:b w:val="0"/>
          <w:i/>
          <w:sz w:val="19"/>
        </w:rPr>
        <w:t>HÌNH I.1</w:t>
      </w:r>
    </w:p>
    <w:p>
      <w:pPr>
        <w:spacing w:after="80"/>
      </w:pPr>
      <w:r>
        <w:rPr>
          <w:b w:val="0"/>
          <w:i w:val="0"/>
        </w:rPr>
        <w:t xml:space="preserve">Hai động lực thúc đẩy sự dịch chuyển này. Thứ nhất, AI dạng tác tử (agentic AI) đã đưa ra những yêu cầu năng lực mới, bao gồm việc tích hợp dữ liệu phi cấu trúc và phát triển các luồng công việc dạng tác tử (agentic workflows). Thứ hai, các thực hành quản lý đã phát triển—đáng chú ý nhất là kỳ vọng rằng các nhà lãnh đạo doanh nghiệp có thể tái tưởng tượng doanh nghiệp của mình bằng công nghệ và mức độ thay đổi tổ chức sâu sắc được đòi hỏi để đạt được các chu kỳ đổi mới nhanh hơn. Đó là lý do chúng tôi quyết định đã đến lúc cập nhật </w:t>
      </w:r>
      <w:r>
        <w:rPr>
          <w:b w:val="0"/>
          <w:i/>
        </w:rPr>
        <w:t>Rewired</w:t>
      </w:r>
      <w:r>
        <w:rPr>
          <w:b w:val="0"/>
          <w:i w:val="0"/>
        </w:rPr>
        <w:t>.</w:t>
      </w:r>
    </w:p>
    <w:p>
      <w:pPr>
        <w:spacing w:after="80"/>
      </w:pPr>
      <w:r>
        <w:rPr>
          <w:b/>
          <w:i/>
        </w:rPr>
        <w:t>Tổng cộng, 40% của ấn bản thứ hai này là hoàn toàn mới, và 25% khác đã được mở rộng đáng kể—một dấu hiệu cho thấy lĩnh vực này đã phát triển nhanh đến mức nào chỉ trong ba năm</w:t>
      </w:r>
      <w:r>
        <w:rPr>
          <w:b/>
          <w:i w:val="0"/>
        </w:rPr>
        <w:t>.</w:t>
      </w:r>
    </w:p>
    <w:p>
      <w:pPr>
        <w:spacing w:after="80"/>
      </w:pPr>
      <w:r>
        <w:rPr>
          <w:b w:val="0"/>
          <w:i w:val="0"/>
        </w:rPr>
        <w:t>Cuốn sách được tổ chức thành sáu phần, mỗi phần tập trung vào cách phát triển và mở rộng một năng lực đã được rewired. Xuyên suốt cuốn sách, chúng tôi làm nổi bật nhiều ví dụ, và phần thứ bảy là nơi chúng tôi có bốn nghiên cứu tình huống công ty chuyên sâu minh họa việc phát triển cả sáu năng lực trông như thế nào và tác động kinh doanh mà những năng lực này có thể mang lại.</w:t>
      </w:r>
    </w:p>
    <w:p>
      <w:pPr>
        <w:spacing w:after="80"/>
      </w:pPr>
      <w:r>
        <w:rPr>
          <w:b w:val="0"/>
          <w:i w:val="0"/>
        </w:rPr>
        <w:t>Chúng tôi giới thiệu từng năng lực cốt lõi dưới đây và nêu rõ những gì mới trong ấn bản thứ hai này. Sau đó chúng tôi cung cấp tổng quan về cách những năng lực này nên phát triển.</w:t>
      </w:r>
    </w:p>
    <w:p>
      <w:pPr>
        <w:pStyle w:val="Heading3"/>
      </w:pPr>
      <w:r>
        <w:rPr>
          <w:rFonts w:ascii="Calibri" w:hAnsi="Calibri"/>
          <w:b/>
          <w:i w:val="0"/>
          <w:sz w:val="26"/>
        </w:rPr>
        <w:t>Phần Một: Tạo lập Lộ trình Chuyển đổi</w:t>
      </w:r>
    </w:p>
    <w:p>
      <w:pPr>
        <w:spacing w:after="80"/>
      </w:pPr>
      <w:r>
        <w:rPr>
          <w:b w:val="0"/>
          <w:i w:val="0"/>
        </w:rPr>
        <w:t>Phần đầu tiên này khám phá cách truyền cảm hứng và gắn kết đội ngũ lãnh đạo cấp cao của bạn, đồng thời đưa công ty lên con đường chuyển đổi thành công. Phần này nêu bật các thực hành của những tổ chức duy trì được đà tiến—gắn kết ngay từ đầu về tham vọng và giá trị, tập trung đầu tư vào một số ít lĩnh vực kinh doanh có tác động cao, và giữ chắc việc tái định hình các lĩnh vực này trong tay các nhà lãnh đạo kinh doanh cấp cao.</w:t>
      </w:r>
    </w:p>
    <w:p>
      <w:pPr>
        <w:spacing w:after="80"/>
      </w:pPr>
      <w:r>
        <w:rPr>
          <w:b w:val="0"/>
          <w:i w:val="0"/>
        </w:rPr>
        <w:t>Trong ấn bản này, chúng tôi đặc biệt chú ý đến agentic AI (AI tác tử), cụ thể là cách chọn những quy trình làm việc phù hợp để tự động hóa bằng tác tử. Chúng tôi cũng chia sẻ một số bài học xương máu từ những người tiên phong trong lĩnh vực tác tử. Cuối cùng, chúng tôi nêu bật vai trò mà mỗi nhà lãnh đạo cấp C phải đảm nhận để đảm bảo thành công.</w:t>
      </w:r>
    </w:p>
    <w:p>
      <w:pPr>
        <w:pStyle w:val="Heading3"/>
      </w:pPr>
      <w:r>
        <w:rPr>
          <w:rFonts w:ascii="Calibri" w:hAnsi="Calibri"/>
          <w:b/>
          <w:i w:val="0"/>
          <w:sz w:val="26"/>
        </w:rPr>
        <w:t>Mục Hai: Xây dựng đội ngũ nhân tài của bạn</w:t>
      </w:r>
    </w:p>
    <w:p>
      <w:pPr>
        <w:spacing w:after="80"/>
      </w:pPr>
      <w:r>
        <w:rPr>
          <w:b w:val="0"/>
          <w:i w:val="0"/>
        </w:rPr>
        <w:t>Mục này không chỉ tập trung vào việc thu hút và phát triển nhân tài công nghệ mạnh, mà còn vào việc phát triển các nhà lãnh đạo kinh doanh cấp cao có năng lực công nghệ—những người đóng vai trò trung tâm trong việc điều phối chuyển đổi kinh doanh bằng AI. Chúng tôi đi sâu vào quá trình chuyển đổi khó khăn nhưng cần thiết của nhân tài IT, sự dịch chuyển sang hệ thống nhân tài dựa trên kỹ năng, và cách tạo ra môi trường để những chuyên gia công nghệ hàng đầu phát triển mạnh.</w:t>
      </w:r>
    </w:p>
    <w:p>
      <w:pPr>
        <w:spacing w:after="80"/>
      </w:pPr>
      <w:r>
        <w:rPr>
          <w:b w:val="0"/>
          <w:i w:val="0"/>
        </w:rPr>
        <w:t>Ấn bản thứ hai này cũng nhìn về tương lai của thế giới cộng tác giữa con người và tác tử, và những năng lực mới mà các nhà lãnh đạo cùng đội ngũ phải phát triển để thành công trong đó.</w:t>
      </w:r>
    </w:p>
    <w:p>
      <w:pPr>
        <w:pStyle w:val="Heading3"/>
      </w:pPr>
      <w:r>
        <w:rPr>
          <w:rFonts w:ascii="Calibri" w:hAnsi="Calibri"/>
          <w:b/>
          <w:i w:val="0"/>
          <w:sz w:val="26"/>
        </w:rPr>
        <w:t>Mục Ba: Mô hình vận hành vượt trội so với đối thủ</w:t>
      </w:r>
    </w:p>
    <w:p>
      <w:pPr>
        <w:spacing w:after="80"/>
      </w:pPr>
      <w:r>
        <w:rPr>
          <w:b w:val="0"/>
          <w:i w:val="0"/>
        </w:rPr>
        <w:t>Công nghệ thì ai cũng có thể tiếp cận; lợi thế giờ đây đến từ việc tổ chức sử dụng nó nhanh và hiệu quả đến mức nào. Đó là câu hỏi về mô hình vận hành, vì nó định hình cách một công ty tự tổ chức để thực thi chiến lược và tạo giá trị mỗi ngày. Phát triển và triển khai một mô hình vận hành mới như vậy có lẽ là khía cạnh phức tạp và quan trọng nhất để trở thành một doanh nghiệp được tái cấu trúc toàn diện.</w:t>
      </w:r>
    </w:p>
    <w:p>
      <w:pPr>
        <w:spacing w:after="80"/>
      </w:pPr>
      <w:r>
        <w:rPr>
          <w:b w:val="0"/>
          <w:i w:val="0"/>
        </w:rPr>
        <w:t>Vì lý do này, ấn bản thứ hai của chúng tôi đào sâu đáng kể vào mô hình vận hành. Chúng tôi tìm hiểu cách thiết lập cơ cấu tổ chức (ai sở hữu cái gì), hệ thống quản lý (cách ra quyết định), quy trình (cách công việc luân chuyển), nhân tài (kỹ năng nào đi đâu), và các chuẩn mực văn hóa (điều gì định hướng hành vi). Qua các ví dụ chi tiết, chúng tôi khám phá ba nguyên mẫu mô hình vận hành chủ đạo và cách chuyển đổi sang chúng một cách có kiểm soát.</w:t>
      </w:r>
    </w:p>
    <w:p>
      <w:pPr>
        <w:pStyle w:val="Heading3"/>
      </w:pPr>
      <w:r>
        <w:rPr>
          <w:rFonts w:ascii="Calibri" w:hAnsi="Calibri"/>
          <w:b/>
          <w:i w:val="0"/>
          <w:sz w:val="26"/>
        </w:rPr>
        <w:t>Mục Bốn: Công nghệ cho tốc độ và đổi mới phân tán</w:t>
      </w:r>
    </w:p>
    <w:p>
      <w:pPr>
        <w:spacing w:after="80"/>
      </w:pPr>
      <w:r>
        <w:rPr>
          <w:b w:val="0"/>
          <w:i w:val="0"/>
        </w:rPr>
        <w:t>Mục này giúp các nhà điều hành hiểu cách các nền tảng công nghệ cho phép đội ngũ đổi mới nhanh chóng và an toàn bằng cách xây dựng một lần rồi tái sử dụng trên toàn doanh nghiệp. Mục này giải thích kiến trúc nền tảng và các thực hành kỹ thuật hiện đại đã trở thành nền tảng cho những tổ chức dẫn đầu bằng Tech &amp; AI.</w:t>
      </w:r>
    </w:p>
    <w:p>
      <w:pPr>
        <w:spacing w:after="80"/>
      </w:pPr>
      <w:r>
        <w:rPr>
          <w:b w:val="0"/>
          <w:i w:val="0"/>
        </w:rPr>
        <w:t>Điểm mới trong ấn bản này là phần đi sâu vào một trong những dịch chuyển sâu sắc nhất đang diễn ra hiện nay: cách AI đang biến đổi chính quá trình phát triển phần mềm. Chúng tôi khám phá sự tiến hóa từ copilot đến các nhà máy tác tử tự trị, và những bước nhảy vọt về năng suất mà chúng mở ra. Mục này cũng giới thiệu năng lực kỹ thuật mới nổi là xây dựng các hệ thống tác tử—thứ sẽ ngày càng tạo nên sự khác biệt cho các tổ chức có hiệu suất cao.</w:t>
      </w:r>
    </w:p>
    <w:p>
      <w:pPr>
        <w:spacing w:after="80"/>
      </w:pPr>
      <w:r>
        <w:rPr>
          <w:b w:val="0"/>
          <w:i w:val="0"/>
        </w:rPr>
        <w:t>Bạn có thể bị cám dỗ bỏ qua mục này. Đừng. Chúng tôi đã làm cho nội dung dễ tiếp cận với cả những người không chuyên về công nghệ, và vì lý do chính đáng: hiểu cách các nền tảng và thực hành này vận hành giờ đây là điều thiết yếu để dẫn dắt các cuộc chuyển đổi thành công—và cuối cùng là những doanh nghiệp thành công.</w:t>
      </w:r>
    </w:p>
    <w:p>
      <w:pPr>
        <w:pStyle w:val="Heading3"/>
      </w:pPr>
      <w:r>
        <w:rPr>
          <w:rFonts w:ascii="Calibri" w:hAnsi="Calibri"/>
          <w:b/>
          <w:i w:val="0"/>
          <w:sz w:val="26"/>
        </w:rPr>
        <w:t>Mục Năm: Nhúng dữ liệu vào mọi nơi</w:t>
      </w:r>
    </w:p>
    <w:p>
      <w:pPr>
        <w:spacing w:after="80"/>
      </w:pPr>
      <w:r>
        <w:rPr>
          <w:b w:val="0"/>
          <w:i w:val="0"/>
        </w:rPr>
        <w:t>Dữ liệu là tài sản quan trọng nhất trong một doanh nghiệp vận hành bằng AI—nhưng nó thường là rào cản lớn nhất đối với việc tạo giá trị vì không được sử dụng hiệu quả. Chúng tôi bắt đầu bằng việc giải thích cách các tổ chức dẫn đầu khởi đầu bằng việc nói rõ dữ liệu có thể mở khóa giá trị nhiều nhất ở đâu. Từ đó, trọng tâm chuyển sang việc làm cho dữ liệu dễ khám phá, dễ truy cập và dễ sử dụng. Ba yếu tố nền tảng làm nên điều này: một kiến trúc dữ liệu hiện đại cung cấp môi trường dữ liệu thống nhất; việc sản phẩm hóa dữ liệu để dễ tiêu thụ; và một mô hình quản trị liên kết nhằm thực thi trách nhiệm giải trình của bộ phận kinh doanh đối với dữ liệu, đồng thời đảm bảo tính nhất quán trên toàn doanh nghiệp.</w:t>
      </w:r>
    </w:p>
    <w:p>
      <w:pPr>
        <w:spacing w:after="80"/>
      </w:pPr>
      <w:r>
        <w:rPr>
          <w:b w:val="0"/>
          <w:i w:val="0"/>
        </w:rPr>
        <w:t>Ấn bản thứ hai này mở rộng thảo luận để bao gồm dữ liệu phi cấu trúc cho GenAI và các ứng dụng tác tử, cùng nhu cầu ngày càng tăng về bảo vệ dữ liệu tự động trong một thế giới được hỗ trợ bởi LLM. Chúng tôi kết thúc mục này bằng việc định hình lại dữ liệu như một loại tài sản chiến lược—một loại tài sản đòi hỏi đầu tư bền vững để làm giàu theo thời gian.</w:t>
      </w:r>
    </w:p>
    <w:p>
      <w:pPr>
        <w:pStyle w:val="Heading3"/>
      </w:pPr>
      <w:r>
        <w:rPr>
          <w:rFonts w:ascii="Calibri" w:hAnsi="Calibri"/>
          <w:b/>
          <w:i w:val="0"/>
          <w:sz w:val="26"/>
        </w:rPr>
        <w:t>Mục Sáu: Chấp nhận và mở rộng quy mô—Các đòn bẩy sức mạnh của bạn</w:t>
      </w:r>
    </w:p>
    <w:p>
      <w:pPr>
        <w:spacing w:after="80"/>
      </w:pPr>
      <w:r>
        <w:rPr>
          <w:b w:val="0"/>
          <w:i w:val="0"/>
        </w:rPr>
        <w:t>Xây dựng các giải pháp Công nghệ &amp; AI vốn đã khó; hiện thực hóa giá trị của chúng ở quy mô lớn lại càng khó hơn. Phần này tập trung vào việc áp dụng và mở rộng quy mô—hai đòn bẩy then chốt quyết định liệu AI có mang lại tác động kinh doanh bền vững hay không. Việc áp dụng diễn ra ở cấp độ lĩnh vực. Nó đòi hỏi phải lôi cuốn người dùng cuối tham gia vào quá trình thiết kế giải pháp và phải tái cấu trúc các quy trình kinh doanh xung quanh để giải pháp thực sự chuyển hóa thành giá trị.</w:t>
      </w:r>
    </w:p>
    <w:p>
      <w:pPr>
        <w:spacing w:after="80"/>
      </w:pPr>
      <w:r>
        <w:rPr>
          <w:b w:val="0"/>
          <w:i w:val="0"/>
        </w:rPr>
        <w:t>Việc mở rộng quy mô diễn ra ở cấp độ doanh nghiệp. Nó xoay quanh việc nhân rộng các giải pháp đã được chứng minh trên khắp các thị trường, nhà máy, phân khúc khách hàng hoặc dòng sản phẩm—một cách nhanh chóng và tiết kiệm. Điều đó đòi hỏi những kiến trúc mô-đun và các thông lệ triển khai thực địa vững mạnh.</w:t>
      </w:r>
    </w:p>
    <w:p>
      <w:pPr>
        <w:spacing w:after="80"/>
      </w:pPr>
      <w:r>
        <w:rPr>
          <w:b w:val="0"/>
          <w:i w:val="0"/>
        </w:rPr>
        <w:t>Trong ấn bản thứ hai này, chúng tôi xem xét cách AI tác tử (agentic AI) thay đổi bản chất của rủi ro—và vì sao các công ty phải vượt ra khỏi việc giảm thiểu rủi ro để chủ động thiết kế niềm tin số vào cách các hệ thống AI được thiết kế, kiểm thử và vận hành. Chúng tôi thảo luận cách điều chỉnh hướng đi khi đà chuyển đổi bị đình trệ, và khám phá cách những năng lực được tái cấu trúc định hình văn hóa của một tổ chức.</w:t>
      </w:r>
    </w:p>
    <w:p>
      <w:pPr>
        <w:pStyle w:val="Heading3"/>
      </w:pPr>
      <w:r>
        <w:rPr>
          <w:rFonts w:ascii="Calibri" w:hAnsi="Calibri"/>
          <w:b/>
          <w:i w:val="0"/>
          <w:sz w:val="26"/>
        </w:rPr>
        <w:t>Mục Bảy: Những câu chuyện về hành trình chuyển đổi</w:t>
      </w:r>
    </w:p>
    <w:p>
      <w:pPr>
        <w:spacing w:after="80"/>
      </w:pPr>
      <w:r>
        <w:rPr>
          <w:b w:val="0"/>
          <w:i w:val="0"/>
        </w:rPr>
        <w:t>Chúng tôi khép lại cuốn sách bằng cái nhìn sâu sắc về bốn công ty—DBS Bank, Freeport-McMoRan, LATAM Airlines và Toyota Motor North America—những đơn vị dẫn đầu trong việc nâng cao hiệu suất nhờ công nghệ. Hai trong số này, từng xuất hiện trong ấn bản đầu tiên, mang đến góc nhìn độc đáo về việc chuyển đổi là một hành trình không có điểm dừng và cách những năng lực được tái cấu trúc cho phép một tổ chức tăng tốc lợi thế cạnh tranh của mình theo thời gian.</w:t>
      </w:r>
    </w:p>
    <w:p>
      <w:pPr>
        <w:spacing w:after="80"/>
      </w:pPr>
      <w:r>
        <w:rPr>
          <w:b w:val="0"/>
          <w:i w:val="0"/>
        </w:rPr>
        <w:t>Qua những tình huống này, chúng tôi cho thấy sáu năng lực được đề cập trong cuốn sách kết hợp với nhau trong thực tế như thế nào. Các tình huống làm nổi bật những điểm uốn quan trọng, những thách thức mà các tổ chức này phải vượt qua, và những lựa chọn giúp họ vượt trội nhờ công nghệ.</w:t>
      </w:r>
    </w:p>
    <w:p>
      <w:pPr>
        <w:pStyle w:val="Heading2"/>
      </w:pPr>
      <w:r>
        <w:rPr>
          <w:rFonts w:ascii="Calibri" w:hAnsi="Calibri"/>
          <w:b/>
          <w:i w:val="0"/>
          <w:sz w:val="32"/>
        </w:rPr>
        <w:t xml:space="preserve">Sự tiến hóa của các năng lực </w:t>
      </w:r>
      <w:r>
        <w:rPr>
          <w:rFonts w:ascii="Calibri" w:hAnsi="Calibri"/>
          <w:b/>
          <w:i/>
          <w:sz w:val="32"/>
        </w:rPr>
        <w:t>Rewired</w:t>
      </w:r>
    </w:p>
    <w:p>
      <w:pPr>
        <w:spacing w:after="80"/>
      </w:pPr>
      <w:r>
        <w:rPr>
          <w:b w:val="0"/>
          <w:i w:val="0"/>
        </w:rPr>
        <w:t xml:space="preserve">Chúng tôi thường được hỏi vì sao khung năng lực </w:t>
      </w:r>
      <w:r>
        <w:rPr>
          <w:b w:val="0"/>
          <w:i/>
        </w:rPr>
        <w:t>Rewired</w:t>
      </w:r>
      <w:r>
        <w:rPr>
          <w:b w:val="0"/>
          <w:i w:val="0"/>
        </w:rPr>
        <w:t xml:space="preserve"> vẫn giữ nguyên như trong ấn bản đầu tiên, dù mọi thứ đã thay đổi rất nhiều. Câu trả lời rất đơn giản: sáu năng lực được tái cấu trúc mô tả những gì một tổ chức phải nắm vững để tiếp thu bất kỳ công nghệ mới nào và liên tục chuyển hóa nó thành giá trị kinh doanh. Vì lý do đó, chúng tôi tin rằng khung sáu phần này là trường tồn.</w:t>
      </w:r>
    </w:p>
    <w:p>
      <w:pPr>
        <w:spacing w:after="80"/>
      </w:pPr>
      <w:r>
        <w:rPr>
          <w:b w:val="0"/>
          <w:i w:val="0"/>
        </w:rPr>
        <w:t>Tuy nhiên, điều thực sự tiến hóa chính là biên giới của những năng lực thực hành tốt nhất. Chúng tôi tóm tắt sự tiến hóa này qua ba thời kỳ (Hình I.2):</w:t>
      </w:r>
    </w:p>
    <w:p>
      <w:pPr>
        <w:spacing w:after="80"/>
        <w:ind w:left="360"/>
      </w:pPr>
      <w:r>
        <w:t xml:space="preserve">• </w:t>
      </w:r>
      <w:r>
        <w:rPr>
          <w:b/>
          <w:i w:val="0"/>
        </w:rPr>
        <w:t>Những thắng lợi ban đầu.</w:t>
      </w:r>
      <w:r>
        <w:rPr>
          <w:b w:val="0"/>
          <w:i w:val="0"/>
        </w:rPr>
        <w:t xml:space="preserve"> Thời kỳ đầu tiên là khi các công ty đã thành danh thử nghiệm với công nghệ hiện đại và đạt được những thành công ban đầu ở dạng giải pháp điểm.</w:t>
      </w:r>
    </w:p>
    <w:p>
      <w:pPr>
        <w:spacing w:after="80"/>
        <w:ind w:left="360"/>
      </w:pPr>
      <w:r>
        <w:t xml:space="preserve">• </w:t>
      </w:r>
      <w:r>
        <w:rPr>
          <w:b/>
          <w:i w:val="0"/>
        </w:rPr>
        <w:t>Mở rộng giá trị.</w:t>
      </w:r>
      <w:r>
        <w:rPr>
          <w:b w:val="0"/>
          <w:i w:val="0"/>
        </w:rPr>
        <w:t xml:space="preserve"> Thời kỳ thứ hai xoay quanh việc hiện thực hóa toàn bộ tiềm năng của Công nghệ &amp; AI bằng cách tái tạo từ đầu đến cuối một số ít lĩnh vực kinh doanh ưu tiên. Những thông lệ cần thiết để thành công nay đã được hiểu rõ, nhưng còn xa mới được nắm vững một cách phổ biến.</w:t>
      </w:r>
    </w:p>
    <w:p>
      <w:pPr>
        <w:spacing w:after="80"/>
        <w:ind w:left="360"/>
      </w:pPr>
      <w:r>
        <w:t xml:space="preserve">• </w:t>
      </w:r>
      <w:r>
        <w:rPr>
          <w:b/>
          <w:i w:val="0"/>
        </w:rPr>
        <w:t>Doanh nghiệp AI.</w:t>
      </w:r>
      <w:r>
        <w:rPr>
          <w:b w:val="0"/>
          <w:i w:val="0"/>
        </w:rPr>
        <w:t xml:space="preserve"> Thời kỳ thứ ba mới chỉ bắt đầu thành hình. Đường nét của nó đang dần hiện rõ, nhưng chưa tổ chức nào hiện thực hóa trọn vẹn nó, và những thông lệ định hình nó vẫn đang được kiến tạo.</w:t>
      </w:r>
    </w:p>
    <w:p>
      <w:pPr>
        <w:spacing w:after="80"/>
      </w:pPr>
      <w:r>
        <w:rPr>
          <w:b w:val="0"/>
          <w:i w:val="0"/>
        </w:rPr>
        <w:t>Các năng lực của mỗi thời kỳ được xây dựng dựa trên những năng lực đã phát triển ở thời kỳ trước đó. Các công ty có thể tăng tốc vượt qua một thời kỳ nhưng không thể bỏ qua nó. Điều này chạm đến ý tưởng về giá trị tích lũy khi các năng lực bồi đắp lẫn nhau và khoảng cách cạnh tranh ngày càng lớn. Đó là lý do vì sao những công ty từng dẫn đầu ngành mình trong việc sử dụng công nghệ một cách chiến lược thường lại là những đơn vị dẫn đầu trong kỷ nguyên AI.</w:t>
      </w:r>
    </w:p>
    <w:p>
      <w:pPr>
        <w:jc w:val="center"/>
      </w:pPr>
      <w:r>
        <w:drawing>
          <wp:inline xmlns:a="http://schemas.openxmlformats.org/drawingml/2006/main" xmlns:pic="http://schemas.openxmlformats.org/drawingml/2006/picture">
            <wp:extent cx="5486400" cy="3546207"/>
            <wp:docPr id="5" name="Picture 5"/>
            <wp:cNvGraphicFramePr>
              <a:graphicFrameLocks noChangeAspect="1"/>
            </wp:cNvGraphicFramePr>
            <a:graphic>
              <a:graphicData uri="http://schemas.openxmlformats.org/drawingml/2006/picture">
                <pic:pic>
                  <pic:nvPicPr>
                    <pic:cNvPr id="0" name="cintroex002.png"/>
                    <pic:cNvPicPr/>
                  </pic:nvPicPr>
                  <pic:blipFill>
                    <a:blip r:embed="rId13"/>
                    <a:stretch>
                      <a:fillRect/>
                    </a:stretch>
                  </pic:blipFill>
                  <pic:spPr>
                    <a:xfrm>
                      <a:off x="0" y="0"/>
                      <a:ext cx="5486400" cy="3546207"/>
                    </a:xfrm>
                    <a:prstGeom prst="rect"/>
                  </pic:spPr>
                </pic:pic>
              </a:graphicData>
            </a:graphic>
          </wp:inline>
        </w:drawing>
      </w:r>
    </w:p>
    <w:p>
      <w:pPr>
        <w:spacing w:after="160"/>
        <w:jc w:val="center"/>
      </w:pPr>
      <w:r>
        <w:rPr>
          <w:rFonts w:ascii="Calibri" w:hAnsi="Calibri"/>
          <w:b w:val="0"/>
          <w:i/>
          <w:sz w:val="19"/>
        </w:rPr>
        <w:t>HÌNH I.2</w:t>
      </w:r>
    </w:p>
    <w:p>
      <w:pPr>
        <w:pStyle w:val="Heading2"/>
      </w:pPr>
      <w:r>
        <w:rPr>
          <w:rFonts w:ascii="Calibri" w:hAnsi="Calibri"/>
          <w:b/>
          <w:i w:val="0"/>
          <w:sz w:val="32"/>
        </w:rPr>
        <w:t>Về ấn bản thứ hai này</w:t>
      </w:r>
    </w:p>
    <w:p>
      <w:pPr>
        <w:spacing w:after="80"/>
      </w:pPr>
      <w:r>
        <w:rPr>
          <w:b w:val="0"/>
          <w:i w:val="0"/>
        </w:rPr>
        <w:t xml:space="preserve">Ngay từ đầu, chúng tôi đã định hướng </w:t>
      </w:r>
      <w:r>
        <w:rPr>
          <w:b w:val="0"/>
          <w:i/>
        </w:rPr>
        <w:t>Rewired</w:t>
      </w:r>
      <w:r>
        <w:rPr>
          <w:b w:val="0"/>
          <w:i w:val="0"/>
        </w:rPr>
        <w:t xml:space="preserve"> trở thành một cuốn sách sống động, mã nguồn mở, được cập nhật định kỳ để phản ánh cách lĩnh vực này tiến hóa. Khi bắt tay vào thực hiện ấn bản thứ hai này, chưa bao giờ chúng tôi phải học nhanh đến vậy!</w:t>
      </w:r>
    </w:p>
    <w:p>
      <w:pPr>
        <w:pStyle w:val="Heading2"/>
      </w:pPr>
      <w:r>
        <w:rPr>
          <w:rFonts w:ascii="Calibri" w:hAnsi="Calibri"/>
          <w:b/>
          <w:i w:val="0"/>
          <w:sz w:val="32"/>
        </w:rPr>
        <w:t>Thuật ngữ Công nghệ &amp; AI</w:t>
      </w:r>
    </w:p>
    <w:p>
      <w:pPr>
        <w:jc w:val="center"/>
      </w:pPr>
      <w:r>
        <w:drawing>
          <wp:inline xmlns:a="http://schemas.openxmlformats.org/drawingml/2006/main" xmlns:pic="http://schemas.openxmlformats.org/drawingml/2006/picture">
            <wp:extent cx="2000250" cy="2000250"/>
            <wp:docPr id="6" name="Picture 6"/>
            <wp:cNvGraphicFramePr>
              <a:graphicFrameLocks noChangeAspect="1"/>
            </wp:cNvGraphicFramePr>
            <a:graphic>
              <a:graphicData uri="http://schemas.openxmlformats.org/drawingml/2006/picture">
                <pic:pic>
                  <pic:nvPicPr>
                    <pic:cNvPr id="0" name="cintroqr001.png"/>
                    <pic:cNvPicPr/>
                  </pic:nvPicPr>
                  <pic:blipFill>
                    <a:blip r:embed="rId14"/>
                    <a:stretch>
                      <a:fillRect/>
                    </a:stretch>
                  </pic:blipFill>
                  <pic:spPr>
                    <a:xfrm>
                      <a:off x="0" y="0"/>
                      <a:ext cx="2000250" cy="2000250"/>
                    </a:xfrm>
                    <a:prstGeom prst="rect"/>
                  </pic:spPr>
                </pic:pic>
              </a:graphicData>
            </a:graphic>
          </wp:inline>
        </w:drawing>
      </w:r>
    </w:p>
    <w:p>
      <w:pPr>
        <w:spacing w:after="80"/>
      </w:pPr>
      <w:r>
        <w:rPr>
          <w:b w:val="0"/>
          <w:i w:val="0"/>
        </w:rPr>
        <w:t>Lĩnh vực công nghệ và AI đang phát triển nhanh chóng, và ngôn ngữ của nó có thể nhanh chóng trở nên quá tải. Để giúp độc giả định hướng sự phức tạp này, ấn bản thứ hai bao gồm một bảng thuật ngữ trực tuyến định nghĩa các thuật ngữ và khái niệm chính được sử dụng xuyên suốt cuốn sách—để ngôn ngữ không bao giờ trở thành rào cản đối với sự hiểu biết hay hành động.</w:t>
      </w:r>
    </w:p>
    <w:p>
      <w:pPr>
        <w:spacing w:after="80"/>
      </w:pPr>
      <w:r>
        <w:rPr>
          <w:b w:val="0"/>
          <w:i w:val="0"/>
        </w:rPr>
        <w:t>Chúng tôi—và các đồng nghiệp tại McKinsey—đã có may mắn được làm việc với nhiều tập đoàn hàng đầu thế giới về những thực tế khắc nghiệt của việc mang lại những cải thiện đột phá về hiệu suất bằng công nghệ. Điều đó bao gồm việc vật lộn với các vấn đề như xung đột trong tổ chức, hạn chế về nhân tài, đánh đổi về kiến trúc, và vô số quyết định lãnh đạo có thể tạo nên hoặc phá vỡ các cuộc chuyển đổi. Đây là những vấn đề thường bị bỏ qua trong sự cường điệu về công nghệ được đưa tin trên báo chí, nhưng chúng lại mang tính quyết định đối với việc liệu cuộc chuyển đổi Công nghệ &amp; AI của một doanh nghiệp có thành công hay không.</w:t>
      </w:r>
    </w:p>
    <w:p>
      <w:pPr>
        <w:spacing w:after="80"/>
      </w:pPr>
      <w:r>
        <w:rPr>
          <w:b w:val="0"/>
          <w:i w:val="0"/>
        </w:rPr>
        <w:t>Như với ấn bản đầu tiên, quan điểm của chúng tôi được đặt nền tảng trên công việc khách hàng, nghiên cứu của chính chúng tôi, và của những người khác. Trong ba năm qua, chúng tôi tiếp tục nghiên cứu có phương pháp dựa trên kinh nghiệm từ khoảng 200 công ty, với việc đào sâu vào khoảng 20 công ty thuộc nhiều ngành khác nhau—những công ty hàng đầu thế giới khi nói đến việc tạo ra giá trị thực sự thay đổi cuộc chơi bằng AI. Những công ty này định hình nên biên giới thực hành tốt nhất hiện tại của chúng tôi.</w:t>
      </w:r>
    </w:p>
    <w:p>
      <w:pPr>
        <w:spacing w:after="80"/>
      </w:pPr>
      <w:r>
        <w:rPr>
          <w:b w:val="0"/>
          <w:i w:val="0"/>
        </w:rPr>
        <w:t>Chúng tôi đã phản hồi lại phản hồi về ấn bản đầu tiên bằng cách cung cấp thêm nhiều minh họa về các khái niệm chính và nhiều ví dụ công ty hơn. Chúng tôi đã tận dụng cơ hội—như bạn sẽ làm với bất kỳ ấn bản thứ hai nào—để làm rõ ràng và đơn giản hóa cách trình bày các khái niệm chính. Chúng tôi cũng làm mới diện mạo và cảm nhận của cuốn sách, và hy vọng nó làm cho nội dung trở nên dễ tiếp cận hơn nữa. Cuối cùng, nếu bạn đã đọc ấn bản đầu tiên, mục lục sẽ nhanh chóng dẫn bạn đến các chương mới hoặc được mở rộng.</w:t>
      </w:r>
    </w:p>
    <w:p>
      <w:pPr>
        <w:pStyle w:val="Heading2"/>
      </w:pPr>
      <w:r>
        <w:rPr>
          <w:rFonts w:ascii="Calibri" w:hAnsi="Calibri"/>
          <w:b/>
          <w:i w:val="0"/>
          <w:sz w:val="32"/>
        </w:rPr>
        <w:t>Cuốn sách này là gì … và không phải là gì</w:t>
      </w:r>
    </w:p>
    <w:p>
      <w:pPr>
        <w:spacing w:after="80"/>
      </w:pPr>
      <w:r>
        <w:rPr>
          <w:b w:val="0"/>
          <w:i w:val="0"/>
        </w:rPr>
        <w:t>Cuốn sách này là một cẩm nang làm việc. Những trang tiếp theo chứa đựng những công cụ mà các nhà lãnh đạo thực sự sử dụng để thay đổi cách tổ chức của họ vận hành: các khung ra quyết định, thiết kế mô hình vận hành, kiến trúc công nghệ và dữ liệu, danh sách kiểm tra, và các mô hình phân bổ nguồn lực được rút ra từ những cuộc chuyển đổi thực tế.</w:t>
      </w:r>
    </w:p>
    <w:p>
      <w:pPr>
        <w:spacing w:after="80"/>
      </w:pPr>
      <w:r>
        <w:rPr>
          <w:b w:val="0"/>
          <w:i w:val="0"/>
        </w:rPr>
        <w:t>Cuốn sách này được viết cho những nhà lãnh đạo chịu trách nhiệm về kết quả. Điều đó bao gồm các CEO và giám đốc cấp C, những người mà sự lãnh đạo tích cực là thiết yếu cho bất kỳ cuộc chuyển đổi Công nghệ &amp; AI thành công nào, cũng như các nhà lãnh đạo kinh doanh và chức năng, những người chịu trách nhiệm biến công nghệ thành những lợi ích hiệu suất có thể đo lường được.</w:t>
      </w:r>
    </w:p>
    <w:p>
      <w:pPr>
        <w:spacing w:after="80"/>
      </w:pPr>
      <w:r>
        <w:rPr>
          <w:b w:val="0"/>
          <w:i w:val="0"/>
        </w:rPr>
        <w:t>Cuốn sách cũng dành cho các giám đốc điều hành và thành viên hội đồng quản trị, những người cảm nhận được sức nặng của trách nhiệm nhưng chưa có được sự thoải mái của việc thông thạo công nghệ. Cuốn sách này không nhằm biến các nhà lãnh đạo thành những chuyên gia công nghệ. Nó trang bị cho họ khả năng đặt đúng câu hỏi, đưa ra những đánh đổi đúng đắn, và lãnh đạo với niềm tin vững chắc trong một thế giới được dẫn dắt bởi AI.</w:t>
      </w:r>
    </w:p>
    <w:p>
      <w:pPr>
        <w:spacing w:after="80"/>
      </w:pPr>
      <w:r>
        <w:rPr>
          <w:b w:val="0"/>
          <w:i w:val="0"/>
        </w:rPr>
        <w:t>Đây cũng không phải là một danh mục các trường hợp sử dụng. Thay vào đó, cuốn sách tập trung vào cách các nhà lãnh đạo quyết định nơi áp dụng công nghệ để đạt giá trị tối đa—và cách xây dựng, mở rộng, và duy trì những giải pháp đó để giá trị thực sự thể hiện trong hiệu suất.</w:t>
      </w:r>
    </w:p>
    <w:p>
      <w:pPr>
        <w:spacing w:after="80"/>
      </w:pPr>
      <w:r>
        <w:rPr>
          <w:b w:val="0"/>
          <w:i/>
        </w:rPr>
        <w:t>Rewired</w:t>
      </w:r>
      <w:r>
        <w:rPr>
          <w:b w:val="0"/>
          <w:i w:val="0"/>
        </w:rPr>
        <w:t xml:space="preserve"> đi theo vòng cung tự nhiên của một cuộc chuyển đổi Công nghệ &amp; AI, từ việc định hướng đến việc mở rộng tác động. Đồng thời, mỗi phần đều độc lập, cho phép độc giả quay lại với những năng lực phù hợp nhất với vai trò của họ hoặc thách thức mà họ đang đối mặt tại một thời điểm nhất định. Đây là một cuốn sách để sử dụng, không chỉ để đọc.</w:t>
      </w:r>
    </w:p>
    <w:p>
      <w:pPr>
        <w:jc w:val="center"/>
      </w:pPr>
      <w:r>
        <w:drawing>
          <wp:inline xmlns:a="http://schemas.openxmlformats.org/drawingml/2006/main" xmlns:pic="http://schemas.openxmlformats.org/drawingml/2006/picture">
            <wp:extent cx="1905000" cy="104775"/>
            <wp:docPr id="7" name="Picture 7"/>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Cách các công ty khai thác công nghệ để tạo ra lợi thế cạnh tranh bền vững là một trong những thách thức lãnh đạo mang tính định hình của thời đại chúng ta. Đó không phải là một chương trình có ngày kết thúc. Đó là một sự thay đổi vĩnh viễn trong cách giá trị được tạo ra, cách công việc được thực hiện, và cách các tổ chức học hỏi và thích nghi. Chấp nhận thực tế đó thay đổi bản chất của lãnh đạo: từ việc giám sát các dự án sang việc liên tục định hình một doanh nghiệp vì tốc độ, quy mô, và sự tái tạo.</w:t>
      </w:r>
    </w:p>
    <w:p>
      <w:pPr>
        <w:spacing w:after="80"/>
      </w:pPr>
      <w:r>
        <w:rPr>
          <w:b w:val="0"/>
          <w:i w:val="0"/>
        </w:rPr>
        <w:t>Mượn lời của Jeff Bezos, vẫn còn là ngày đầu tiên cho cuộc chuyển đổi Công nghệ &amp; AI của bạn. Cơ hội là rất lớn—nhưng trách nhiệm cũng vậy.</w:t>
      </w:r>
    </w:p>
    <w:p>
      <w:pPr>
        <w:spacing w:after="80"/>
      </w:pPr>
      <w:r>
        <w:rPr>
          <w:b w:val="0"/>
          <w:i/>
        </w:rPr>
        <w:t>Lưu ý: Adobe Firefly đã được sử dụng để hỗ trợ tạo ra các hình ảnh mở đầu phần. GenAI đã được sử dụng như một công cụ hỗ trợ biên tập để cấu trúc và súc tích hóa. Mọi việc sử dụng các công cụ GenAI đều nhằm hỗ trợ cho tư duy, quyền tác giả, và sự sáng tạo nguyên bản của McKinsey. Mọi kết quả đầu ra liên quan đều đã được các biên tập viên của McKinsey xem xét, chỉnh sửa, xác thực dựa trên các nguồn gốc, và kiểm tra chéo về tính chính xác</w:t>
      </w:r>
      <w:r>
        <w:rPr>
          <w:b w:val="0"/>
          <w:i w:val="0"/>
        </w:rPr>
        <w:t>.</w:t>
      </w:r>
    </w:p>
    <w:p>
      <w:pPr>
        <w:pStyle w:val="Heading1"/>
      </w:pPr>
      <w:r>
        <w:rPr>
          <w:rFonts w:ascii="Calibri" w:hAnsi="Calibri"/>
          <w:b/>
          <w:i w:val="0"/>
          <w:sz w:val="40"/>
        </w:rPr>
        <w:t>GIỚI THIỆU</w:t>
      </w:r>
      <w:r>
        <w:rPr>
          <w:rFonts w:ascii="Calibri" w:hAnsi="Calibri"/>
          <w:b/>
          <w:i w:val="0"/>
          <w:sz w:val="40"/>
        </w:rPr>
      </w:r>
      <w:r>
        <w:rPr>
          <w:rFonts w:ascii="Calibri" w:hAnsi="Calibri"/>
          <w:b/>
          <w:i w:val="0"/>
          <w:sz w:val="40"/>
        </w:rPr>
        <w:t>Tuyên ngôn chuyển đổi của bạn</w:t>
      </w:r>
    </w:p>
    <w:p>
      <w:pPr>
        <w:spacing w:after="80"/>
      </w:pPr>
      <w:r>
        <w:rPr>
          <w:b w:val="0"/>
          <w:i/>
        </w:rPr>
        <w:t>Một lá thư gửi các CEO, giám đốc điều hành cấp cao, những người thực hành công nghệ và AI, các nhà lãnh đạo kinh doanh, và thành viên hội đồng quản trị</w:t>
      </w:r>
    </w:p>
    <w:p>
      <w:pPr>
        <w:spacing w:after="80"/>
      </w:pPr>
      <w:r>
        <w:rPr>
          <w:b w:val="0"/>
          <w:i w:val="0"/>
        </w:rPr>
        <w:t>Những công ty thực sự đổi mới sáng tạo với AI đang làm một điều rất khác: họ hình thành ý tưởng và phát triển các hệ thống AI nhằm định hình lại sản phẩm, dịch vụ, quy trình kinh doanh cốt lõi và hệ thống tổ chức của mình. Qua đó, họ tạo ra lợi thế cạnh tranh.</w:t>
      </w:r>
    </w:p>
    <w:p>
      <w:pPr>
        <w:spacing w:after="80"/>
      </w:pPr>
      <w:r>
        <w:rPr>
          <w:b w:val="0"/>
          <w:i w:val="0"/>
        </w:rPr>
        <w:t xml:space="preserve">Những công ty dẫn đầu này, nhiều công ty trong số đó được giới thiệu trong ấn bản thứ hai của </w:t>
      </w:r>
      <w:r>
        <w:rPr>
          <w:b w:val="0"/>
          <w:i/>
        </w:rPr>
        <w:t>Rewired</w:t>
      </w:r>
      <w:r>
        <w:rPr>
          <w:b w:val="0"/>
          <w:i w:val="0"/>
        </w:rPr>
        <w:t>, đã và đang đạt được những kết quả thay đổi cuộc chơi. Tuy nhiên, lợi thế của họ không đến từ công nghệ họ sử dụng—những công cụ đó ai cũng có thể tiếp cận rộng rãi. Lợi thế của họ đến từ cách họ áp dụng công nghệ để giải quyết các bài toán kinh doanh thực tế ở quy mô lớn, và áp dụng nhanh đến mức nào.</w:t>
      </w:r>
    </w:p>
    <w:p>
      <w:pPr>
        <w:spacing w:after="80"/>
      </w:pPr>
      <w:r>
        <w:rPr>
          <w:b w:val="0"/>
          <w:i w:val="0"/>
        </w:rPr>
        <w:t>Chúng tôi tóm tắt quan điểm của mình về cách họ làm điều đó trong Tuyên ngôn Chuyển đổi này. Đây là những chủ đề định hình, phân biệt những công ty đang chuyển đổi thành công hoạt động kinh doanh của mình bằng công nghệ và AI với phần còn lại.</w:t>
      </w:r>
    </w:p>
    <w:p>
      <w:pPr>
        <w:spacing w:after="80"/>
        <w:ind w:left="360"/>
      </w:pPr>
      <w:r>
        <w:t xml:space="preserve">1. </w:t>
      </w:r>
      <w:r>
        <w:rPr>
          <w:b/>
          <w:i w:val="0"/>
        </w:rPr>
        <w:t>Công nghệ đơn thuần không tạo ra lợi thế—những năng lực bền vững mới làm được điều đó.</w:t>
      </w:r>
      <w:r>
        <w:rPr>
          <w:b w:val="0"/>
          <w:i w:val="0"/>
        </w:rPr>
        <w:t xml:space="preserve"> Ai là những người thắng cuộc sớm trong lĩnh vực AI? Chính là những công ty đã chiến thắng từ trước bằng cách xây dựng các năng lực cho phép họ khai thác hiệu quả bất kỳ công nghệ nào. Chúng tôi gọi họ là những công ty được tái cấu trúc (rewired companies). Khi những năng lực mới này được xây dựng—và chúng cần thời gian để xây dựng—công ty sẽ tăng tốc chuyển đổi hoạt động kinh doanh bằng công nghệ và vượt trội hơn đối thủ. Những năng lực đó trở thành lợi thế cạnh tranh. [Mục Một]</w:t>
        <w:br/>
      </w:r>
      <w:r>
        <w:rPr>
          <w:b w:val="0"/>
          <w:i/>
        </w:rPr>
        <w:t>Bạn đang xây dựng những năng lực bền vững cho hành trình dài hạn—hay chỉ đang tạo ra những giải pháp nhất thời?</w:t>
      </w:r>
    </w:p>
    <w:p>
      <w:pPr>
        <w:spacing w:after="80"/>
        <w:ind w:left="360"/>
      </w:pPr>
      <w:r>
        <w:t xml:space="preserve">2. </w:t>
      </w:r>
      <w:r>
        <w:rPr>
          <w:b/>
          <w:i w:val="0"/>
        </w:rPr>
        <w:t>Các điểm đòn bẩy kinh tế là tiêu điểm tốt nhất của bạn.</w:t>
      </w:r>
      <w:r>
        <w:rPr>
          <w:b w:val="0"/>
          <w:i w:val="0"/>
        </w:rPr>
        <w:t xml:space="preserve"> Bất kỳ mô hình kinh doanh nào cũng có một vài điểm đòn bẩy kinh tế then chốt mang lại tác động lớn nhất khi được cải thiện bằng AI. Trong ngành khai khoáng, hiệu suất và sản lượng quy trình là một điểm đòn bẩy kinh tế then chốt và đó là nơi Freeport-McMoRan đạt được tác động thay đổi cuộc chơi. Trong ngành ô tô, tích hợp chuỗi cung ứng là một điểm đòn bẩy then chốt và đó là nơi Toyota Motor North America có bước đột phá về AI.</w:t>
        <w:br/>
        <w:t>Hầu hết các công ty đều có danh sách dài những trường hợp sử dụng rải rác. Những công ty thành công tập trung vào việc đạt được chuyển đổi kinh doanh sâu sắc ở một vài lĩnh vực thực sự quan trọng về mặt chiến lược. Đó là nơi họ dồn sức để xây dựng các hệ thống AI. [Mục Một]</w:t>
        <w:br/>
      </w:r>
      <w:r>
        <w:rPr>
          <w:b w:val="0"/>
          <w:i/>
        </w:rPr>
        <w:t>Bạn có đang tập trung một cách tương xứng nỗ lực AI của mình vào các điểm đòn bẩy kinh tế không?</w:t>
      </w:r>
    </w:p>
    <w:p>
      <w:pPr>
        <w:spacing w:after="80"/>
        <w:ind w:left="360"/>
      </w:pPr>
      <w:r>
        <w:t xml:space="preserve">3. </w:t>
      </w:r>
      <w:r>
        <w:rPr>
          <w:b/>
          <w:i w:val="0"/>
        </w:rPr>
        <w:t>Nếu giá trị bạn tạo ra không thúc đẩy được hoạt động kinh doanh, bạn đang làm sai.</w:t>
      </w:r>
      <w:r>
        <w:rPr>
          <w:b w:val="0"/>
          <w:i w:val="0"/>
        </w:rPr>
        <w:t xml:space="preserve"> Chúng tôi đã nghiên cứu tác động mà 20 công ty thuộc nhiều ngành khác nhau, những công ty đã chứng minh mình là những nhà dẫn đầu về AI, đạt được. Trung bình, các cuộc chuyển đổi kinh doanh dựa trên công nghệ và AI của họ mang lại mức tăng EBITDA 20%, đạt điểm hòa vốn trong 1–2 năm, và tạo ra 3 đô-la EBITDA gia tăng cho mỗi 1 đô-la đầu tư.</w:t>
        <w:br/>
        <w:t>Những công ty này tập trung nỗ lực vào một đến ba lĩnh vực kinh doanh, tái tạo sâu sắc chúng bằng AI. Điều đó đòi hỏi khả năng giải quyết vấn đề sáng tạo, sử dụng phối hợp các đòn bẩy công nghệ và phi công nghệ, sự tập trung cao độ vào khách hàng/người dùng, và trách nhiệm rõ ràng đối với các KPI kinh doanh quan trọng nhất. Họ thực hiện những khoản đầu tư đáng kể, có phân giai đoạn, và vẫn tiếp tục cải thiện để giữ vị trí dẫn đầu. [Mục Một]</w:t>
        <w:br/>
      </w:r>
      <w:r>
        <w:rPr>
          <w:b w:val="0"/>
          <w:i/>
        </w:rPr>
        <w:t>Kế hoạch chuyển đổi kinh doanh của bạn sẽ mang lại giá trị thay đổi cuộc chơi, hay chỉ là những thắng lợi nhỏ lẻ?</w:t>
      </w:r>
    </w:p>
    <w:p>
      <w:pPr>
        <w:spacing w:after="80"/>
        <w:ind w:left="360"/>
      </w:pPr>
      <w:r>
        <w:t xml:space="preserve">4. </w:t>
      </w:r>
      <w:r>
        <w:rPr>
          <w:b/>
          <w:i w:val="0"/>
        </w:rPr>
        <w:t>Xây dựng năng lực Công nghệ &amp; AI cho các nhà lãnh đạo kinh doanh cấp cao nên là ưu tiên hàng đầu.</w:t>
      </w:r>
      <w:r>
        <w:rPr>
          <w:b w:val="0"/>
          <w:i w:val="0"/>
        </w:rPr>
        <w:t xml:space="preserve"> Chúng tôi không có một câu chuyện thành công nào mà các nhà lãnh đạo kinh doanh cấp cao lại không ngồi ở vị trí cầm lái. Các nhà lãnh đạo CNTT tất nhiên có thể hỗ trợ, nhưng chính các nhà lãnh đạo kinh doanh mới là người cần dẫn dắt quá trình chuyển đổi. Tại các công ty dẫn đầu, họ chủ động nắm quyền sở hữu chương trình nghị sự công nghệ, từ việc định hình cách hoạt động kinh doanh sẽ được tái tưởng tượng bằng công nghệ đến việc chỉ đạo phát triển giải pháp đến việc đảm bảo mang lại giá trị.</w:t>
        <w:br/>
        <w:t>Những nhà lãnh đạo này—thường ở một đến ba cấp dưới CEO—kết hợp chuyên môn sâu về lĩnh vực kinh doanh với hiểu biết về công nghệ, dữ liệu và AI, khiến họ trở thành những nhà chuyển đổi kinh doanh đáng gờm. [Mục Hai]</w:t>
        <w:br/>
      </w:r>
      <w:r>
        <w:rPr>
          <w:b w:val="0"/>
          <w:i/>
        </w:rPr>
        <w:t>Các nhà lãnh đạo kinh doanh cấp cao của bạn có năng lực về công nghệ và AI không?</w:t>
      </w:r>
    </w:p>
    <w:p>
      <w:pPr>
        <w:spacing w:after="80"/>
        <w:ind w:left="360"/>
      </w:pPr>
      <w:r>
        <w:t xml:space="preserve">5. </w:t>
      </w:r>
      <w:r>
        <w:rPr>
          <w:b/>
          <w:i w:val="0"/>
        </w:rPr>
        <w:t>Mọi cuộc chuyển đổi Công nghệ &amp; AI đều là một cuộc chuyển đổi về con người.</w:t>
      </w:r>
      <w:r>
        <w:rPr>
          <w:b w:val="0"/>
          <w:i w:val="0"/>
        </w:rPr>
        <w:t xml:space="preserve"> Các công ty dẫn đầu tăng mật độ nhân tài công nghệ của mình bằng cách tuân theo cái mà chúng tôi gọi là "những dịch chuyển 70%": 70%+ nhân tài nên là nội bộ, 70%+ trong số đó nên là các kỹ sư "làm thật" (doer) - những người xây dựng các giải pháp dựa trên phần mềm tuyệt vời, và 70%+ trong số đó nên ở các mức kỹ năng cao hơn (tức là thành thạo hoặc chuyên gia). Điều này tạo ra những đội nhỏ, có kỹ năng cao, hoạt động hiệu quả hơn cả những đội quân lớn gồm nhân sự kỹ năng thấp hơn.</w:t>
        <w:br/>
        <w:t>Về phía kinh doanh, các nhà lãnh đạo tiến hóa thành những người sở hữu lĩnh vực và giải pháp, chịu trách nhiệm về kết quả và dẫn dắt các đội agile đa chức năng. Các công ty dẫn đầu phần lớn đã hoàn thành quá trình chuyển đổi này, dẫn đến mật độ nhân tài cao hơn và quyền sở hữu kinh doanh chặt chẽ hơn nhiều.</w:t>
        <w:br/>
        <w:t>Khi các tác nhân AI (AI agents) đảm nhận nhiều hơn công việc điều phối, thực thi và ra quyết định thường ngày, vai trò của con người dịch chuyển lên cao hơn trong chuỗi giá trị. Các kỹ sư dành ít thời gian hơn cho các tác vụ lập trình thường ngày và nhiều thời gian hơn cho việc thiết kế kiến trúc, quy trình làm việc, các ràng buộc và kiểm soát chất lượng. Các nhà lãnh đạo kinh doanh và giải pháp tập trung ít hơn vào quản lý tác vụ và nhiều hơn vào việc đặt mục tiêu, xác định các chỉ số thành công và đưa ra các đánh đổi. Kết quả là ít người hơn làm những công việc có đòn bẩy cao hơn, với trách nhiệm rõ ràng hơn và vòng lặp học hỏi nhanh hơn.</w:t>
        <w:br/>
        <w:t>Đó là những gì chúng tôi đang quan sát trong những triển khai tác nhân (agentic) đầu tiên. Quá trình chuyển đổi này diễn ra nhanh đến mức nào vẫn còn chưa chắc chắn. Nhưng một điều đang trở nên rõ ràng: mật độ nhân tài của bạn rất quan trọng. [Mục Hai]</w:t>
        <w:br/>
      </w:r>
      <w:r>
        <w:rPr>
          <w:b w:val="0"/>
          <w:i/>
        </w:rPr>
        <w:t>Bạn có đủ mật độ nhân tài để thực hiện thành công quá trình chuyển đổi sang một công ty có năng lực Công nghệ &amp; AI không?</w:t>
      </w:r>
    </w:p>
    <w:p>
      <w:pPr>
        <w:spacing w:after="80"/>
        <w:ind w:left="360"/>
      </w:pPr>
      <w:r>
        <w:t xml:space="preserve">6. </w:t>
      </w:r>
      <w:r>
        <w:rPr>
          <w:b/>
          <w:i w:val="0"/>
        </w:rPr>
        <w:t>Tốc độ là lợi thế tổ chức định hình.</w:t>
      </w:r>
      <w:r>
        <w:rPr>
          <w:b w:val="0"/>
          <w:i w:val="0"/>
        </w:rPr>
        <w:t xml:space="preserve"> Chúng ta đang trong một cuộc đua đổi mới sáng tạo giữa các công ty có quyền tiếp cận cùng những công nghệ. Các công ty thắng cuộc đua đó khi mô hình vận hành của họ tái phân bổ nguồn lực nhanh hơn đến những cơ hội quan trọng, trao quyền cho các đội hành động mà không bị phụ thuộc quá mức, và giảm độ trễ từ hiểu biết đến quyết định và từ quyết định đến hành động.</w:t>
        <w:br/>
        <w:t>Tốc độ đòi hỏi phải nhúng trực tiếp nhân tài kỹ thuật và các nhân tài chức năng khác vào hoạt động kinh doanh, tối đa hóa việc tái sử dụng công nghệ và dữ liệu thông qua các nền tảng, và quản trị bằng các kết quả kinh doanh rõ ràng cùng nguồn tài trợ duy trì gắn với kết quả, chứ không phải dự án. Điều này rút ngắn đáng kể thời gian chu kỳ. Không có nó, không công ty nào có thể thực sự đổi mới sáng tạo với Công nghệ &amp; AI ở quy mô lớn; họ sẽ đơn giản là quá chậm. [Mục Ba]</w:t>
        <w:br/>
      </w:r>
      <w:r>
        <w:rPr>
          <w:b w:val="0"/>
          <w:i/>
        </w:rPr>
        <w:t>Bạn đang làm gì để tăng tốc độ chuyển hóa của tổ chức mình?</w:t>
      </w:r>
    </w:p>
    <w:p>
      <w:pPr>
        <w:spacing w:after="80"/>
        <w:ind w:left="360"/>
      </w:pPr>
      <w:r>
        <w:t xml:space="preserve">7. </w:t>
      </w:r>
      <w:r>
        <w:rPr>
          <w:b/>
          <w:i w:val="0"/>
        </w:rPr>
        <w:t>Các nền tảng công nghệ là tài sản chiến lược—hãy đầu tư vào chúng theo cách đó.</w:t>
      </w:r>
      <w:r>
        <w:rPr>
          <w:b w:val="0"/>
          <w:i w:val="0"/>
        </w:rPr>
        <w:t xml:space="preserve"> Các nền tảng quyết định tốc độ thực thi của một công ty, giảm chi phí đơn vị thông qua tái sử dụng, đưa công nghệ và dữ liệu vào tay những người cần chúng, và cho phép AI mở rộng quy mô một cách có trách nhiệm.</w:t>
        <w:br/>
        <w:t>Các công ty dẫn đầu quản lý các nền tảng của mình một cách chiến lược với các đội chuyên trách, lộ trình, ngân sách, mức dịch vụ mục tiêu, và người dùng mà nhu cầu của họ định hình cách nền tảng phát triển. Với tư cách là một lãnh đạo cấp cao, hiểu rõ kiến trúc kỹ thuật của mình, mức độ linh hoạt mà nó mang lại, và cách nó thúc đẩy sự khác biệt cạnh tranh giờ đây cũng thiết yếu đối với việc lãnh đạo một công ty hiện đại như việc nắm rõ báo cáo lãi lỗ (P&amp;L) của bạn. [Mục Bốn]</w:t>
        <w:br/>
      </w:r>
      <w:r>
        <w:rPr>
          <w:b w:val="0"/>
          <w:i/>
        </w:rPr>
        <w:t>Các nền tảng có được thảo luận như những tài sản chiến lược không và chúng có đang kìm hãm bạn không?</w:t>
      </w:r>
    </w:p>
    <w:p>
      <w:pPr>
        <w:spacing w:after="80"/>
        <w:ind w:left="360"/>
      </w:pPr>
      <w:r>
        <w:t xml:space="preserve">8. </w:t>
      </w:r>
      <w:r>
        <w:rPr>
          <w:b/>
          <w:i w:val="0"/>
        </w:rPr>
        <w:t>Làm cho dữ liệu dễ tiêu thụ—và làm giàu nó để tạo lợi thế.</w:t>
      </w:r>
      <w:r>
        <w:rPr>
          <w:b w:val="0"/>
          <w:i w:val="0"/>
        </w:rPr>
        <w:t xml:space="preserve"> Như David Baker, người đoạt giải Nobel hóa học năm 2024, đã nhận xét khi suy ngẫm về những đột phá gần đây: "AI cần khối lượng lớn dữ liệu chất lượng cao để hữu ích … ." Không có dữ liệu tốt, những đột phá AI là không thể. Tuy nhiên, trong hầu hết các tổ chức, dữ liệu thường vẫn đóng vai trò là yếu tố hạn chế.</w:t>
        <w:br/>
        <w:t>Do đó, việc mở rộng quy mô AI bắt đầu bằng việc sản phẩm hóa dữ liệu—làm cho nó dễ khám phá, truy cập và tiêu thụ trên nhiều ứng dụng được hỗ trợ bởi AI. Điều đó đòi hỏi đầu tư vào việc xây dựng các sản phẩm dữ liệu. Theo thời gian, cuộc chơi chuyển sang làm giàu dữ liệu, nâng cao chất lượng, ngữ cảnh và tính độc đáo của nó để đạt được những cải thiện hiệu suất bền vững với AI. Trong các tổ chức được tái cấu trúc, dữ liệu là một tài sản hiệu suất thuộc sở hữu của bộ phận kinh doanh. [Mục Năm]</w:t>
        <w:br/>
      </w:r>
      <w:r>
        <w:rPr>
          <w:b w:val="0"/>
          <w:i/>
        </w:rPr>
        <w:t>Các đội của bạn có thể dễ dàng tiêu thụ dữ liệu không, hay họ vẫn đang loay hoay với nó?</w:t>
      </w:r>
    </w:p>
    <w:p>
      <w:pPr>
        <w:spacing w:after="80"/>
        <w:ind w:left="360"/>
      </w:pPr>
      <w:r>
        <w:t xml:space="preserve">9. </w:t>
      </w:r>
      <w:r>
        <w:rPr>
          <w:b/>
          <w:i w:val="0"/>
        </w:rPr>
        <w:t>Thiết kế để được đón nhận và xây dựng để mở rộng quy mô.</w:t>
      </w:r>
      <w:r>
        <w:rPr>
          <w:b w:val="0"/>
          <w:i w:val="0"/>
        </w:rPr>
        <w:t xml:space="preserve"> Các hệ thống AI chỉ tạo ra giá trị khi chúng được đón nhận và mở rộng quy mô. Nghe có vẻ hiển nhiên, nhưng đây vẫn là một trong những thách thức khó nhất. Việc đón nhận thường thất bại vì các quy trình thượng nguồn và hạ nguồn liền kề bị bỏ mặc không thay đổi. Một giải pháp AI có thể dự đoán hỏng hóc thiết bị trước nhiều ngày, nhưng nếu việc bảo trì vẫn theo lịch dựa trên lịch, thì chẳng có gì xảy ra cả.</w:t>
        <w:br/>
        <w:t>Mở rộng quy mô là một thách thức khác, nhưng cũng khó không kém. Việc mở rộng các giải pháp AI một cách nhanh chóng và tiết kiệm trên các thị trường, nhà máy, phân khúc khách hàng hoặc dòng sản phẩm đòi hỏi các kiến trúc giải pháp mô-đun và một "điệu nhảy" được dàn dựng kỹ lưỡng giữa các đội trung tâm và các đơn vị tiếp nhận. Những cân nhắc này—bao gồm các khoản đầu tư cần thiết và chi phí vận hành—phải được giải quyết ngay từ đầu, chứ không phải trang bị thêm sau này. Các tổ chức dẫn đầu đã phát triển được bí quyết này. [Mục Sáu]</w:t>
        <w:br/>
      </w:r>
      <w:r>
        <w:rPr>
          <w:b w:val="0"/>
          <w:i/>
        </w:rPr>
        <w:t>Tổ chức của bạn có thể liên tục đón nhận và mở rộng quy mô AI không? Hay bạn vẫn đang dựa vào những nỗ lực anh hùng đơn lẻ?</w:t>
      </w:r>
    </w:p>
    <w:p>
      <w:pPr>
        <w:spacing w:after="80"/>
        <w:ind w:left="360"/>
      </w:pPr>
      <w:r>
        <w:t xml:space="preserve">10. </w:t>
      </w:r>
      <w:r>
        <w:rPr>
          <w:b/>
          <w:i w:val="0"/>
        </w:rPr>
        <w:t>Không có niềm tin, không có quyền triển khai AI.</w:t>
      </w:r>
      <w:r>
        <w:rPr>
          <w:b w:val="0"/>
          <w:i w:val="0"/>
        </w:rPr>
        <w:t xml:space="preserve"> Khi các hệ thống AI thất bại, chúng thách thức niềm tin với khách hàng, cơ quan quản lý, nhân viên, đối tác và toàn xã hội. Niềm tin số đạt được khi các bên liên quan có sự tin tưởng rằng với tư cách là một tổ chức, bạn bảo vệ dữ liệu người tiêu dùng, thực thi an ninh mạng hiệu quả, cung cấp các sản phẩm và dịch vụ được hỗ trợ bởi AI đáng tin cậy, và mang lại sự minh bạch xung quanh việc sử dụng AI và dữ liệu.</w:t>
        <w:br/>
        <w:t>Những thách thức chỉ ngày càng tăng lên cùng với sự mở rộng của các công nghệ tác nhân (agentic). Điều này đòi hỏi phải dành nhiều thời gian hơn để kiểm thử các hệ thống tác nhân và tự động hóa các kiểm soát rủi ro trong dòng sử dụng. Đây là một lĩnh vực chuyển động nhanh và sự hào hứng với AI tác nhân có thể đang vượt trước khả năng của các công ty trong việc quản lý những rủi ro phức tạp hơn gắn với công nghệ này. [Mục Sáu]</w:t>
        <w:br/>
      </w:r>
      <w:r>
        <w:rPr>
          <w:b w:val="0"/>
          <w:i/>
        </w:rPr>
        <w:t>Các triển khai AI của bạn có thể chịu được sự soi xét của công chúng, cơ quan quản lý và khách hàng ngay hôm nay không?</w:t>
      </w:r>
    </w:p>
    <w:p>
      <w:pPr>
        <w:spacing w:after="80"/>
        <w:ind w:left="360"/>
      </w:pPr>
      <w:r>
        <w:t xml:space="preserve">11. </w:t>
      </w:r>
      <w:r>
        <w:rPr>
          <w:b/>
          <w:i w:val="0"/>
        </w:rPr>
        <w:t>Kỹ thuật tác nhân (agentic engineering) là năng lực tiếp theo cần thành thạo.</w:t>
      </w:r>
      <w:r>
        <w:rPr>
          <w:b w:val="0"/>
          <w:i w:val="0"/>
        </w:rPr>
        <w:t xml:space="preserve"> Các mô hình nền tảng (foundation models) giờ đây có khả năng làm việc tự chủ, duy trì trong thời gian dài, khiến việc xây dựng các quy trình làm việc tác nhân phức tạp trở nên khả thi. Không đâu thể hiện rõ điều này hơn trong phát triển phần mềm, nơi những lợi ích về năng suất thật đáng kinh ngạc.</w:t>
        <w:br/>
        <w:t>Các công ty dẫn đầu đang nhanh chóng thành thạo kỹ thuật tác nhân. Họ đang tiếp nhận dữ liệu phi cấu trúc, mở rộng các nền tảng AI của mình với các năng lực tác nhân, tự động hóa các rào chắn và kiểm soát, và nhanh chóng thử nghiệm để hệ thống hóa những gì hiệu quả thành một cẩm nang tác nhân có thể lặp lại. Chúng tôi đã thấy mô hình này trước đây. Những nhà lãnh đạo được tái cấu trúc luôn tiếp thu công nghệ mới nhanh hơn vì họ đã xây dựng được những năng lực nền tảng để làm điều đó. Những người khác cần một kế hoạch bắt kịp nghiêm túc. [Mục Bốn]</w:t>
        <w:br/>
      </w:r>
      <w:r>
        <w:rPr>
          <w:b w:val="0"/>
          <w:i/>
        </w:rPr>
        <w:t>Các quy trình làm việc tác nhân sẽ là lợi thế kỹ thuật tiếp theo của bạn—hay là vấn đề bắt kịp tiếp theo của bạn?</w:t>
      </w:r>
    </w:p>
    <w:p>
      <w:pPr>
        <w:spacing w:after="80"/>
        <w:ind w:left="360"/>
      </w:pPr>
      <w:r>
        <w:t xml:space="preserve">12. </w:t>
      </w:r>
      <w:r>
        <w:rPr>
          <w:b/>
          <w:i w:val="0"/>
        </w:rPr>
        <w:t>(Tái) học hỏi như thể hoạt động kinh doanh của bạn phụ thuộc vào điều đó.</w:t>
      </w:r>
      <w:r>
        <w:rPr>
          <w:b w:val="0"/>
          <w:i w:val="0"/>
        </w:rPr>
        <w:t xml:space="preserve"> Một trong những lý do chúng tôi yêu thích làm việc trong lĩnh vực này là nó không ngừng thay đổi. Chu kỳ bán rã của kiến thức và kỹ năng đang ngắn lại khi đổi mới sáng tạo tăng tốc. Những tổ chức học hỏi, gỡ bỏ học hỏi và tái học hỏi nhanh nhất sẽ có lợi thế.</w:t>
        <w:br/>
        <w:t>Đưa đội ngũ lãnh đạo của bạn vào những hành trình học hỏi là điều quan trọng nhất mà một CEO có thể làm để tăng tốc hiệu quả việc chuyển đổi kinh doanh bằng AI. Thông qua những hành trình này—như chúng tôi đã quan sát nhiều lần—đội ngũ lãnh đạo hàng đầu sẽ đạt đến điểm thuyết phục khi cả cơ hội chiến lược lẫn cách chuyển đổi đều trở nên rõ ràng. Vào thời điểm đó, mọi nhà lãnh đạo trong ban điều hành đều hiểu vai trò của mình và quá trình chuyển đổi thực sự tăng tốc. [Mục Một]</w:t>
        <w:br/>
      </w:r>
      <w:r>
        <w:rPr>
          <w:b w:val="0"/>
          <w:i/>
        </w:rPr>
        <w:t>Trở thành một nhà lãnh đạo thành công trong thời đại này bắt đầu bằng việc cam kết học hỏi liên tục—cá nhân bạn có đang đầu tư đủ cho việc học của chính mình không?</w:t>
      </w:r>
    </w:p>
    <w:p>
      <w:pPr>
        <w:jc w:val="center"/>
      </w:pPr>
      <w:r>
        <w:drawing>
          <wp:inline xmlns:a="http://schemas.openxmlformats.org/drawingml/2006/main" xmlns:pic="http://schemas.openxmlformats.org/drawingml/2006/picture">
            <wp:extent cx="1905000" cy="104775"/>
            <wp:docPr id="8" name="Picture 8"/>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Các chương tiếp theo là một lời mời vượt ra khỏi những thử nghiệm và lời hứa hẹn, để học hỏi cách những công ty liên tục vượt trội làm được điều đó, hết lần này đến lần khác.</w:t>
      </w:r>
    </w:p>
    <w:p>
      <w:pPr>
        <w:pStyle w:val="Heading1"/>
      </w:pPr>
      <w:r>
        <w:rPr>
          <w:rFonts w:ascii="Calibri" w:hAnsi="Calibri"/>
          <w:b/>
          <w:i w:val="0"/>
          <w:sz w:val="40"/>
        </w:rPr>
        <w:t>PHẦN MỘT</w:t>
      </w:r>
      <w:r>
        <w:rPr>
          <w:rFonts w:ascii="Calibri" w:hAnsi="Calibri"/>
          <w:b/>
          <w:i w:val="0"/>
          <w:sz w:val="40"/>
        </w:rPr>
      </w:r>
      <w:r>
        <w:rPr>
          <w:rFonts w:ascii="Calibri" w:hAnsi="Calibri"/>
          <w:b/>
          <w:i w:val="0"/>
          <w:sz w:val="40"/>
        </w:rPr>
        <w:t>Xây dựng Lộ trình Chuyển đổi</w:t>
      </w:r>
    </w:p>
    <w:p>
      <w:pPr>
        <w:jc w:val="center"/>
      </w:pPr>
      <w:r>
        <w:drawing>
          <wp:inline xmlns:a="http://schemas.openxmlformats.org/drawingml/2006/main" xmlns:pic="http://schemas.openxmlformats.org/drawingml/2006/picture">
            <wp:extent cx="5486400" cy="3402552"/>
            <wp:docPr id="9" name="Picture 9"/>
            <wp:cNvGraphicFramePr>
              <a:graphicFrameLocks noChangeAspect="1"/>
            </wp:cNvGraphicFramePr>
            <a:graphic>
              <a:graphicData uri="http://schemas.openxmlformats.org/drawingml/2006/picture">
                <pic:pic>
                  <pic:nvPicPr>
                    <pic:cNvPr id="0" name="p01f001.png"/>
                    <pic:cNvPicPr/>
                  </pic:nvPicPr>
                  <pic:blipFill>
                    <a:blip r:embed="rId16"/>
                    <a:stretch>
                      <a:fillRect/>
                    </a:stretch>
                  </pic:blipFill>
                  <pic:spPr>
                    <a:xfrm>
                      <a:off x="0" y="0"/>
                      <a:ext cx="5486400" cy="3402552"/>
                    </a:xfrm>
                    <a:prstGeom prst="rect"/>
                  </pic:spPr>
                </pic:pic>
              </a:graphicData>
            </a:graphic>
          </wp:inline>
        </w:drawing>
      </w:r>
    </w:p>
    <w:p>
      <w:pPr>
        <w:pStyle w:val="Heading2"/>
      </w:pPr>
      <w:r>
        <w:rPr>
          <w:rFonts w:ascii="Calibri" w:hAnsi="Calibri"/>
          <w:b/>
          <w:i w:val="0"/>
          <w:sz w:val="32"/>
        </w:rPr>
        <w:t>Một lộ trình do doanh nghiệp dẫn dắt chính là bản thiết kế cho một cuộc chuyển đổi Công nghệ &amp; AI thành công</w:t>
      </w:r>
    </w:p>
    <w:p>
      <w:pPr>
        <w:spacing w:after="80"/>
      </w:pPr>
      <w:r>
        <w:rPr>
          <w:b w:val="0"/>
          <w:i/>
        </w:rPr>
        <w:t>Hợp tác cùng Johannes-Tobias Lorenz</w:t>
      </w:r>
    </w:p>
    <w:p>
      <w:pPr>
        <w:spacing w:after="80"/>
      </w:pPr>
      <w:r>
        <w:rPr>
          <w:b w:val="0"/>
          <w:i w:val="0"/>
        </w:rPr>
        <w:t>Hãy tưởng tượng bạn đang ngồi tại bàn họp ban điều hành cấp cao của một công ty lớn. Vị CEO quay sang hỏi CIO của mình: "Quá trình chuyển đổi số của chúng ta đang diễn ra thế nào?"</w:t>
      </w:r>
    </w:p>
    <w:p>
      <w:pPr>
        <w:spacing w:after="80"/>
      </w:pPr>
      <w:r>
        <w:rPr>
          <w:b w:val="0"/>
          <w:i w:val="0"/>
        </w:rPr>
        <w:t>Vị CIO tự hào đáp: "Chúng tôi đã triển khai 55 use case (tình huống ứng dụng) và đang thực hiện thêm 18 cái nữa!" Vị CFO có vẻ hơi bực bội và đáp trả: "Chúng ta đã đầu tư khá nhiều vào việc này, và dù tôi biết số hóa là quan trọng, tôi vẫn chưa thấy được lợi nhuận thu về."</w:t>
      </w:r>
    </w:p>
    <w:p>
      <w:pPr>
        <w:spacing w:after="80"/>
      </w:pPr>
      <w:r>
        <w:rPr>
          <w:b w:val="0"/>
          <w:i w:val="0"/>
        </w:rPr>
        <w:t>Các trưởng bộ phận kinh doanh không nói gì. Họ đã quá xa rời với các use case trong mảng kinh doanh của mình, và ngôn ngữ cơ thể của họ nói rõ ràng rằng: "Lại thêm một dự án IT nữa sẽ chẳng mang lại giá trị kinh doanh nào cả."</w:t>
      </w:r>
    </w:p>
    <w:p>
      <w:pPr>
        <w:spacing w:after="80"/>
      </w:pPr>
      <w:r>
        <w:rPr>
          <w:b w:val="0"/>
          <w:i w:val="0"/>
        </w:rPr>
        <w:t>Vị CEO tiếp tục: "Còn AI thì sao? Chẳng lẽ chúng ta không nên đầu tư nhiều hơn vào nó ư? Ban quản trị cứ hỏi tôi mãi về chuyện này." Vị CIO lại xen vào: "Đúng vậy, nhưng trước tiên chúng ta cần dữ liệu của mình ở trong tình trạng tốt đã; đó là lý do tôi đề xuất đầu tư vào một nỗ lực làm sạch dữ liệu."</w:t>
      </w:r>
    </w:p>
    <w:p>
      <w:pPr>
        <w:spacing w:after="80"/>
      </w:pPr>
      <w:r>
        <w:rPr>
          <w:b w:val="0"/>
          <w:i w:val="0"/>
        </w:rPr>
        <w:t>"Việc đó sẽ mất bao lâu?" Vị CEO gặng hỏi. Sau một thoáng im lặng, vị CIO trả lời: "Ước tính của chúng tôi là sẽ mất vài năm để hoàn thành." Càng nhiều ánh mắt đảo lên trời. Vị CEO đang nghĩ: "Có lẽ mình cần tuyển một giám đốc AI (chief AI officer) nhỉ?"</w:t>
      </w:r>
    </w:p>
    <w:p>
      <w:pPr>
        <w:spacing w:after="80"/>
      </w:pPr>
      <w:r>
        <w:rPr>
          <w:b w:val="0"/>
          <w:i w:val="0"/>
        </w:rPr>
        <w:t>Những biến thể của cuộc trò chuyện này diễn ra thường xuyên khắp các bàn họp ban điều hành cấp cao. Và chúng phản ánh năm "tội lỗi" lớn trong chuyển đổi Công nghệ &amp; AI:</w:t>
      </w:r>
    </w:p>
    <w:p>
      <w:pPr>
        <w:spacing w:after="80"/>
        <w:ind w:left="360"/>
      </w:pPr>
      <w:r>
        <w:t xml:space="preserve">1. </w:t>
      </w:r>
      <w:r>
        <w:rPr>
          <w:b/>
          <w:i w:val="0"/>
        </w:rPr>
        <w:t>Các nhà lãnh đạo doanh nghiệp, bắt đầu từ CEO, không dẫn dắt cuộc chuyển đổi.</w:t>
      </w:r>
      <w:r>
        <w:rPr>
          <w:b w:val="0"/>
          <w:i w:val="0"/>
        </w:rPr>
        <w:t xml:space="preserve"> Họ nghĩ rằng đó là việc của CIO (hoặc của giám đốc số hay giám đốc AI). Đây là một phần của một mô thức lớn hơn: giao phó việc tái tưởng tượng doanh nghiệp của mình bằng công nghệ cho người khác.</w:t>
      </w:r>
    </w:p>
    <w:p>
      <w:pPr>
        <w:spacing w:after="80"/>
        <w:ind w:left="360"/>
      </w:pPr>
      <w:r>
        <w:t xml:space="preserve">2. </w:t>
      </w:r>
      <w:r>
        <w:rPr>
          <w:b/>
          <w:i w:val="0"/>
        </w:rPr>
        <w:t>Cuộc chuyển đổi đã biến thành một "cuộc đua triển khai use case".</w:t>
      </w:r>
      <w:r>
        <w:rPr>
          <w:b w:val="0"/>
          <w:i w:val="0"/>
        </w:rPr>
        <w:t xml:space="preserve"> Phương châm đã trở thành "càng nhiều càng vui", dẫn đến một mớ hoạt động không có định hướng (và thường ít giá trị). Vấn đề này lại tiếp tục tái diễn với GenAI.</w:t>
      </w:r>
    </w:p>
    <w:p>
      <w:pPr>
        <w:spacing w:after="80"/>
        <w:ind w:left="360"/>
      </w:pPr>
      <w:r>
        <w:t xml:space="preserve">3. </w:t>
      </w:r>
      <w:r>
        <w:rPr>
          <w:b/>
          <w:i w:val="0"/>
        </w:rPr>
        <w:t>Lợi ích không có ý nghĩa thiết thực (và không được theo dõi).</w:t>
      </w:r>
      <w:r>
        <w:rPr>
          <w:b w:val="0"/>
          <w:i w:val="0"/>
        </w:rPr>
        <w:t xml:space="preserve"> Các nhà lãnh đạo doanh nghiệp không đủ tự tin để cam kết cho sự thay đổi lớn, nên họ mặc định chọn những cải tiến nhỏ giọt với tác động không được theo dõi hay đo lường kỹ càng. Vị CFO không có cách nào để thấy được những lợi ích nào đang đi vào lợi nhuận cuối cùng.</w:t>
      </w:r>
    </w:p>
    <w:p>
      <w:pPr>
        <w:spacing w:after="80"/>
        <w:ind w:left="360"/>
      </w:pPr>
      <w:r>
        <w:t xml:space="preserve">4. </w:t>
      </w:r>
      <w:r>
        <w:rPr>
          <w:b/>
          <w:i w:val="0"/>
        </w:rPr>
        <w:t>Các nhà điều hành không có hiểu biết chung về những gì họ cần làm.</w:t>
      </w:r>
      <w:r>
        <w:rPr>
          <w:b w:val="0"/>
          <w:i w:val="0"/>
        </w:rPr>
        <w:t xml:space="preserve"> Họ nói chuyện lệch pha với nhau, hiểu sai mục tiêu, và không tiến bộ được với tư cách một tập thể.</w:t>
      </w:r>
    </w:p>
    <w:p>
      <w:pPr>
        <w:spacing w:after="80"/>
        <w:ind w:left="360"/>
      </w:pPr>
      <w:r>
        <w:t xml:space="preserve">5. </w:t>
      </w:r>
      <w:r>
        <w:rPr>
          <w:b/>
          <w:i w:val="0"/>
        </w:rPr>
        <w:t>Ban điều hành cấp cao coi cuộc chuyển đổi như một dự án IT.</w:t>
      </w:r>
      <w:r>
        <w:rPr>
          <w:b w:val="0"/>
          <w:i w:val="0"/>
        </w:rPr>
        <w:t xml:space="preserve"> Họ phớt lờ hoặc chỉ nói suông về việc xây dựng hàng loạt năng lực—từ nhân tài đến mô hình vận hành đến quản trị dữ liệu—những thứ cốt lõi cho các cuộc chuyển đổi Công nghệ &amp; AI thành công.</w:t>
      </w:r>
    </w:p>
    <w:p>
      <w:pPr>
        <w:spacing w:after="80"/>
      </w:pPr>
      <w:r>
        <w:rPr>
          <w:b w:val="0"/>
          <w:i w:val="0"/>
        </w:rPr>
        <w:t>Những triệu chứng này gây khổ sở cho nhiều ban điều hành cấp cao và thường là sản phẩm của hai vấn đề bao trùm: lãnh đạo không thống nhất và lập kế hoạch không đầy đủ. Nếu bạn không giải quyết chúng ở giai đoạn lập kế hoạch chiến lược, bạn gần như có thể chắc chắn rằng việc thực thi phía sau sẽ rối tung lên.</w:t>
      </w:r>
    </w:p>
    <w:p>
      <w:pPr>
        <w:spacing w:after="80"/>
      </w:pPr>
      <w:r>
        <w:rPr>
          <w:b w:val="0"/>
          <w:i w:val="0"/>
        </w:rPr>
        <w:t>Nếu bất kỳ vấn đề nào trong số này đang ảnh hưởng đến công ty bạn, hãy tạm dừng lại. Bất kể doanh nghiệp đang ở đâu trên hành trình chuyển đổi, không bao giờ là quá muộn để thiết lập lại. Bằng cách làm rõ điều bạn muốn đạt được và thống nhất quanh một kế hoạch để thực hiện điều đó, bạn có thể tạo ra sự hào hứng và niềm tin to lớn về hành trình phía trước.</w:t>
      </w:r>
    </w:p>
    <w:p>
      <w:pPr>
        <w:spacing w:after="80"/>
      </w:pPr>
      <w:r>
        <w:rPr>
          <w:b w:val="0"/>
          <w:i w:val="0"/>
        </w:rPr>
        <w:t>Những chương tiếp theo sẽ hướng dẫn bạn cách xây dựng lộ trình và tạo nền tảng vững chắc cho quá trình chuyển đổi Công nghệ &amp; AI của bạn:</w:t>
      </w:r>
    </w:p>
    <w:p>
      <w:pPr>
        <w:spacing w:after="80"/>
        <w:ind w:left="360"/>
      </w:pPr>
      <w:r>
        <w:t xml:space="preserve">• </w:t>
      </w:r>
      <w:r>
        <w:rPr>
          <w:b/>
          <w:i w:val="0"/>
        </w:rPr>
        <w:t>Chương 1. Truyền cảm hứng, thống nhất và sẵn sàng lên đường: Làm việc với đội ngũ lãnh đạo cấp cao của bạn.</w:t>
      </w:r>
      <w:r>
        <w:rPr>
          <w:b w:val="0"/>
          <w:i w:val="0"/>
        </w:rPr>
        <w:t xml:space="preserve"> Hãy dành thời gian vượt qua những từ ngữ hoa mỹ và thiết lập hiểu biết chung về công nghệ, xây dựng cơ bắp học hỏi, phát triển tầm nhìn chung (và phù hợp), và cam kết rõ ràng về những gì bạn sẽ làm để dẫn dắt quá trình chuyển đổi này.</w:t>
      </w:r>
    </w:p>
    <w:p>
      <w:pPr>
        <w:spacing w:after="80"/>
        <w:ind w:left="360"/>
      </w:pPr>
      <w:r>
        <w:t xml:space="preserve">• </w:t>
      </w:r>
      <w:r>
        <w:rPr>
          <w:b/>
          <w:i w:val="0"/>
        </w:rPr>
        <w:t>Chương 2. Kinh tế học của các cuộc chuyển đổi Công nghệ &amp; AI.</w:t>
      </w:r>
      <w:r>
        <w:rPr>
          <w:b w:val="0"/>
          <w:i w:val="0"/>
        </w:rPr>
        <w:t xml:space="preserve"> Nghiên cứu của chúng tôi rất rõ ràng: Trong khi hầu hết các công ty chật vật để thu được lợi nhuận từ các khoản đầu tư AI của mình, những công ty thành công lại mang về lợi nhuận kinh tế đáng kể. Hãy học hỏi từ họ để đặt ra tham vọng tài chính của bạn.</w:t>
      </w:r>
    </w:p>
    <w:p>
      <w:pPr>
        <w:spacing w:after="80"/>
        <w:ind w:left="360"/>
      </w:pPr>
      <w:r>
        <w:t xml:space="preserve">• </w:t>
      </w:r>
      <w:r>
        <w:rPr>
          <w:b/>
          <w:i w:val="0"/>
        </w:rPr>
        <w:t>Chương 3. Tập trung vào các lĩnh vực kinh doanh, không phải các trường hợp sử dụng.</w:t>
      </w:r>
      <w:r>
        <w:rPr>
          <w:b w:val="0"/>
          <w:i w:val="0"/>
        </w:rPr>
        <w:t xml:space="preserve"> Những cuộc chuyển đổi chật vật thường quá tập trung vào các trường hợp sử dụng rải rác thay vì tái tưởng tượng và chuyển đổi sâu sắc một vài lĩnh vực kinh doanh đầu-cuối.</w:t>
      </w:r>
    </w:p>
    <w:p>
      <w:pPr>
        <w:spacing w:after="80"/>
        <w:ind w:left="360"/>
      </w:pPr>
      <w:r>
        <w:t xml:space="preserve">• </w:t>
      </w:r>
      <w:r>
        <w:rPr>
          <w:b/>
          <w:i w:val="0"/>
        </w:rPr>
        <w:t>Chương 4. Để các nhà lãnh đạo kinh doanh dẫn dắt việc tái tưởng tượng lĩnh vực của họ.</w:t>
      </w:r>
      <w:r>
        <w:rPr>
          <w:b w:val="0"/>
          <w:i w:val="0"/>
        </w:rPr>
        <w:t xml:space="preserve"> Khi các nhà lãnh đạo kinh doanh đứng ra định nghĩa những kế hoạch chuyển đổi đầy tham vọng nhưng thực tế cho lĩnh vực kinh doanh của họ, họ khởi động cỗ máy thay đổi.</w:t>
      </w:r>
    </w:p>
    <w:p>
      <w:pPr>
        <w:spacing w:after="80"/>
        <w:ind w:left="360"/>
      </w:pPr>
      <w:r>
        <w:t xml:space="preserve">• </w:t>
      </w:r>
      <w:r>
        <w:rPr>
          <w:b/>
          <w:i w:val="0"/>
        </w:rPr>
        <w:t>Chương 5. Tái tưởng tượng quy trình làm việc với AI tác tử.</w:t>
      </w:r>
      <w:r>
        <w:rPr>
          <w:b w:val="0"/>
          <w:i w:val="0"/>
        </w:rPr>
        <w:t xml:space="preserve"> Các hệ thống tác tử có thể tạo ra bước ngoặt, nhưng việc xây dựng những ứng dụng hoàn chỉnh mang lại kết quả kinh doanh hiệu quả đã được chứng minh là khó khăn. Hãy học hỏi từ những công ty đang làm tốt điều này.</w:t>
      </w:r>
    </w:p>
    <w:p>
      <w:pPr>
        <w:spacing w:after="80"/>
        <w:ind w:left="360"/>
      </w:pPr>
      <w:r>
        <w:t xml:space="preserve">• </w:t>
      </w:r>
      <w:r>
        <w:rPr>
          <w:b/>
          <w:i w:val="0"/>
        </w:rPr>
        <w:t>Chương 6. Bạn chỉ giỏi bằng những năng lực bạn xây dựng.</w:t>
      </w:r>
      <w:r>
        <w:rPr>
          <w:b w:val="0"/>
          <w:i w:val="0"/>
        </w:rPr>
        <w:t xml:space="preserve"> "Cách làm" quan trọng hơn "làm gì." Các công ty vượt trội nhờ cách họ làm mọi thứ với những năng lực họ xây dựng. Những điều này thúc đẩy hành trình đổi mới kinh doanh. Quá trình chuyển đổi Công nghệ &amp; AI của bạn về cơ bản là nâng cấp năng lực của tổ chức bạn.</w:t>
      </w:r>
    </w:p>
    <w:p>
      <w:pPr>
        <w:spacing w:after="80"/>
        <w:ind w:left="360"/>
      </w:pPr>
      <w:r>
        <w:t xml:space="preserve">• </w:t>
      </w:r>
      <w:r>
        <w:rPr>
          <w:b/>
          <w:i w:val="0"/>
        </w:rPr>
        <w:t>Chương 7. Môn thể thao đồng đội đỉnh cao của doanh nghiệp.</w:t>
      </w:r>
      <w:r>
        <w:rPr>
          <w:b w:val="0"/>
          <w:i w:val="0"/>
        </w:rPr>
        <w:t xml:space="preserve"> Thành công đòi hỏi nhiều bộ phận trong doanh nghiệp phải thay đổi. CEO phải dẫn đầu và mọi giám đốc điều hành trong ban lãnh đạo cấp cao cần đóng góp phần của mình để quá trình chuyển đổi thành công và bền vững.</w:t>
      </w:r>
    </w:p>
    <w:p>
      <w:pPr>
        <w:pStyle w:val="Heading2"/>
      </w:pPr>
      <w:r>
        <w:rPr>
          <w:rFonts w:ascii="Calibri" w:hAnsi="Calibri"/>
          <w:b/>
          <w:i w:val="0"/>
          <w:sz w:val="32"/>
        </w:rPr>
        <w:t>Ghi chú</w:t>
      </w:r>
    </w:p>
    <w:p>
      <w:pPr>
        <w:spacing w:after="80"/>
        <w:ind w:left="360"/>
      </w:pPr>
      <w:r>
        <w:t xml:space="preserve">1. </w:t>
      </w:r>
      <w:r>
        <w:rPr>
          <w:b w:val="0"/>
          <w:i w:val="0"/>
        </w:rPr>
        <w:t>1   Johannes-Tobias Lorenz là thành viên cấp cao tại văn phòng McKinsey ở Düsseldorf.</w:t>
      </w:r>
    </w:p>
    <w:p>
      <w:pPr>
        <w:pStyle w:val="Heading2"/>
      </w:pPr>
      <w:r>
        <w:rPr>
          <w:rFonts w:ascii="Calibri" w:hAnsi="Calibri"/>
          <w:b/>
          <w:i/>
          <w:sz w:val="32"/>
        </w:rPr>
        <w:t>"Vội vàng làm phép lạ, ngươi sẽ nhận được những phép lạ thối rữa."</w:t>
      </w:r>
    </w:p>
    <w:p>
      <w:pPr>
        <w:spacing w:after="80"/>
      </w:pPr>
      <w:r>
        <w:rPr>
          <w:b/>
          <w:i w:val="0"/>
        </w:rPr>
        <w:t xml:space="preserve">— Miracle Max từ </w:t>
      </w:r>
      <w:r>
        <w:rPr>
          <w:b/>
          <w:i/>
        </w:rPr>
        <w:t>The Princess Bride</w:t>
      </w:r>
    </w:p>
    <w:p>
      <w:pPr>
        <w:pStyle w:val="Heading1"/>
      </w:pPr>
      <w:r>
        <w:rPr>
          <w:rFonts w:ascii="Calibri" w:hAnsi="Calibri"/>
          <w:b/>
          <w:i w:val="0"/>
          <w:sz w:val="40"/>
        </w:rPr>
        <w:t>CHƯƠNG 1</w:t>
      </w:r>
      <w:r>
        <w:rPr>
          <w:rFonts w:ascii="Calibri" w:hAnsi="Calibri"/>
          <w:b/>
          <w:i w:val="0"/>
          <w:sz w:val="40"/>
        </w:rPr>
      </w:r>
      <w:r>
        <w:rPr>
          <w:rFonts w:ascii="Calibri" w:hAnsi="Calibri"/>
          <w:b/>
          <w:i w:val="0"/>
          <w:sz w:val="40"/>
        </w:rPr>
        <w:t>Truyền cảm hứng, thống nhất và sẵn sàng lên đường: Làm việc với đội ngũ lãnh đạo cấp cao của bạn</w:t>
      </w:r>
    </w:p>
    <w:p>
      <w:pPr>
        <w:spacing w:after="80"/>
      </w:pPr>
      <w:r>
        <w:rPr>
          <w:b w:val="0"/>
          <w:i w:val="0"/>
        </w:rPr>
        <w:t>Ai chịu trách nhiệm cho quá trình chuyển đổi Công nghệ &amp; AI của bạn? Nếu câu trả lời của bạn chỉ là một người, đó là dấu hiệu đáng lo ngại, và không phải dấu hiệu tốt. Theo kinh nghiệm của chúng tôi, điều đó có nghĩa là đội ngũ lãnh đạo cấp cao không đảm nhận trách nhiệm khai thác công nghệ để thúc đẩy đổi mới kinh doanh. Nếu không có các nhà lãnh đạo kinh doanh thống nhất cùng phối hợp, quá trình chuyển đổi của bạn coi như chết ngay từ đầu.</w:t>
      </w:r>
    </w:p>
    <w:p>
      <w:pPr>
        <w:spacing w:after="80"/>
      </w:pPr>
      <w:r>
        <w:rPr>
          <w:b w:val="0"/>
          <w:i w:val="0"/>
        </w:rPr>
        <w:t>Sự thật là, mỗi nhà lãnh đạo cấp cao của bạn phải trở nên thành thạo trong việc dẫn dắt tổ chức của mình trong thời đại Công nghệ &amp; AI này, thống nhất về tầm nhìn chung mà họ đang cố gắng đạt được cùng nhau, và cam kết dẫn dắt theo cách khác biệt.</w:t>
      </w:r>
    </w:p>
    <w:p>
      <w:pPr>
        <w:pStyle w:val="Heading2"/>
      </w:pPr>
      <w:r>
        <w:rPr>
          <w:rFonts w:ascii="Calibri" w:hAnsi="Calibri"/>
          <w:b/>
          <w:i w:val="0"/>
          <w:sz w:val="32"/>
        </w:rPr>
        <w:t>Xây dựng đội ngũ giám đốc điều hành cấp cao am hiểu công nghệ</w:t>
      </w:r>
    </w:p>
    <w:p>
      <w:pPr>
        <w:spacing w:after="80"/>
      </w:pPr>
      <w:r>
        <w:rPr>
          <w:b w:val="0"/>
          <w:i w:val="0"/>
        </w:rPr>
        <w:t>Việc các nhà lãnh đạo không đồng lòng trong quá trình chuyển đổi Công nghệ &amp; AI là chuyện không hiếm gặp. Các giám đốc điều hành trong ban lãnh đạo thường tiếp cận nỗ lực này với những ưu tiên và góc nhìn khác nhau, bởi họ thường thiếu cả hiểu biết chung về công nghệ lẫn khả năng nhận diện mô hình (pattern recognition) về cách công nghệ mở ra các cơ hội kinh doanh.</w:t>
      </w:r>
    </w:p>
    <w:p>
      <w:pPr>
        <w:spacing w:after="80"/>
      </w:pPr>
      <w:r>
        <w:rPr>
          <w:b w:val="0"/>
          <w:i w:val="0"/>
        </w:rPr>
        <w:t>Điều đó có nghĩa là họ cần biết lập trình Python không? Tất nhiên là không. Nhưng nó có nghĩa là họ cần hiểu những khái niệm cơ bản như: Quy trình làm việc tác tử (agentic workflow) là gì? Kỹ sư dữ liệu (data engineer) làm những gì? Tại sao kiến trúc đám mây (cloud architecture) lại quan trọng? Các ban lãnh đạo phải xây dựng một ngôn ngữ chung khi thảo luận về Công nghệ &amp; AI, cùng sự hiểu biết chung về ý nghĩa của nó. Nền tảng kiến thức này là yếu tố then chốt để xây dựng niềm tin cá nhân vào tiềm năng đang bị đặt cược, và những gì cần thiết để nắm bắt nó.</w:t>
      </w:r>
    </w:p>
    <w:p>
      <w:pPr>
        <w:spacing w:after="80"/>
      </w:pPr>
      <w:r>
        <w:rPr>
          <w:b w:val="0"/>
          <w:i w:val="0"/>
        </w:rPr>
        <w:t>Đây là điều mà Peter Weill và các đồng nghiệp tại MIT gọi là am hiểu kỹ thuật số (digital savvy) (tức là hiểu cách sử dụng công nghệ), và điều này rất quan trọng. Một nghiên cứu họ thực hiện cho thấy khi tỷ lệ các đội ngũ quản lý cấp cao am hiểu kỹ thuật số tăng lên, hiệu suất cũng tăng theo ở các chỉ số biên lợi nhuận ròng, tăng trưởng doanh thu và định giá. Nghiên cứu phát hiện rằng các tổ chức có nhà lãnh đạo am hiểu kỹ thuật số vượt trội hơn các đối thủ cùng ngành về tăng trưởng doanh thu và định giá hơn 48%. Tuy nhiên, theo nghiên cứu của Weill, chỉ có 7% các công ty lớn có đội ngũ quản lý cấp cao am hiểu kỹ thuật số, một sự thiếu hụt vẫn còn quá phổ biến.</w:t>
      </w:r>
    </w:p>
    <w:p>
      <w:pPr>
        <w:spacing w:after="80"/>
      </w:pPr>
      <w:r>
        <w:rPr>
          <w:b w:val="0"/>
          <w:i w:val="0"/>
        </w:rPr>
        <w:t>Những phát hiện này xác nhận trải nghiệm thực tế của chính chúng tôi. Quá nhiều nhà lãnh đạo xem nhẹ nỗ lực xây dựng kiến thức công nghệ của mình, thay vào đó dựa dẫm vào những từ ngữ thời thượng (buzzword) và mức độ hiểu biết hời hợt. Điều đó không ổn chút nào. Theo nhiều cách, họ nên dấn thân vào hành trình học tập suốt đời, điều mà chúng tôi sẽ đi sâu chi tiết hơn ở Phần Hai. Nhưng trước mắt, để khởi động (hoặc khởi động lại) quá trình chuyển đổi của bạn một cách đúng đắn, việc xây dựng một đội ngũ lãnh đạo am hiểu công nghệ đòi hỏi phải đầu tư thời gian để đào sâu vào các công nghệ và tác động của chúng, cũng như học hỏi từ những công ty khác đang tiến xa hơn trên hành trình của họ.</w:t>
      </w:r>
    </w:p>
    <w:p>
      <w:pPr>
        <w:spacing w:after="80"/>
      </w:pPr>
      <w:r>
        <w:rPr>
          <w:b/>
          <w:i/>
        </w:rPr>
        <w:t>Theo kinh nghiệm của chúng tôi, hành trình học tập của ban lãnh đạo là điều quan trọng nhất mà một CEO có thể làm để khởi động hoặc tăng tốc hiệu quả quá trình chuyển đổi Công nghệ &amp; AI. Đây là điều chúng tôi gọi là "đi chậm để đi nhanh", và khoản đầu tư ban đầu này giúp tăng tốc tiến độ một cách đáng kể</w:t>
      </w:r>
      <w:r>
        <w:rPr>
          <w:b/>
          <w:i w:val="0"/>
        </w:rPr>
        <w:t>.</w:t>
      </w:r>
    </w:p>
    <w:p>
      <w:pPr>
        <w:pStyle w:val="Heading2"/>
      </w:pPr>
      <w:r>
        <w:rPr>
          <w:rFonts w:ascii="Calibri" w:hAnsi="Calibri"/>
          <w:b/>
          <w:i w:val="0"/>
          <w:sz w:val="32"/>
        </w:rPr>
        <w:t>Những yếu tố điển hình của một hành trình học tập Công nghệ &amp; AI dành cho các đội ngũ cấp cao</w:t>
      </w:r>
    </w:p>
    <w:p>
      <w:pPr>
        <w:spacing w:after="80"/>
      </w:pPr>
      <w:r>
        <w:rPr>
          <w:b/>
          <w:i w:val="0"/>
        </w:rPr>
        <w:t>Nâng cao kỹ năng cho giám đốc điều hành</w:t>
      </w:r>
      <w:r>
        <w:rPr>
          <w:b w:val="0"/>
          <w:i w:val="0"/>
        </w:rPr>
        <w:t xml:space="preserve"> để học những kiến thức cơ bản về công nghệ, cách nó áp dụng vào doanh nghiệp của họ, và những năng lực tổ chức cần thiết để tận dụng nó</w:t>
      </w:r>
    </w:p>
    <w:p>
      <w:pPr>
        <w:spacing w:after="80"/>
      </w:pPr>
      <w:r>
        <w:rPr>
          <w:b/>
          <w:i w:val="0"/>
        </w:rPr>
        <w:t>Các chuyến thăm quan thực tế</w:t>
      </w:r>
      <w:r>
        <w:rPr>
          <w:b w:val="0"/>
          <w:i w:val="0"/>
        </w:rPr>
        <w:t xml:space="preserve"> đến những công ty đổi mới sáng tạo (bao gồm cả những công ty ngoài nhóm cùng ngành của bạn) để được truyền cảm hứng về những điều có thể làm được và xây dựng khả năng nhận diện mô hình về cách các nhà lãnh đạo thành công dẫn dắt một quá trình chuyển đổi Công nghệ &amp; AI</w:t>
      </w:r>
    </w:p>
    <w:p>
      <w:pPr>
        <w:spacing w:after="80"/>
      </w:pPr>
      <w:r>
        <w:rPr>
          <w:b/>
          <w:i w:val="0"/>
        </w:rPr>
        <w:t>Các buổi hội thảo về nghệ thuật của những điều có thể</w:t>
      </w:r>
      <w:r>
        <w:rPr>
          <w:b w:val="0"/>
          <w:i w:val="0"/>
        </w:rPr>
        <w:t xml:space="preserve"> để xây dựng khả năng nhận diện mô hình và niềm tin vào cách Công nghệ &amp; AI có thể biến đổi những lĩnh vực kinh doanh cụ thể</w:t>
      </w:r>
    </w:p>
    <w:p>
      <w:pPr>
        <w:spacing w:after="80"/>
      </w:pPr>
      <w:r>
        <w:rPr>
          <w:b w:val="0"/>
          <w:i w:val="0"/>
        </w:rPr>
        <w:t>Một số CEO thích đưa đội ngũ của mình ra ngoài văn phòng để tham gia một chương trình kéo dài ba ngày đầy cường độ, nơi họ cùng nhau học hỏi (Hình 1.1). Những người khác lại thích tổ chức một chuỗi các buổi học trong khoảng ba đến bốn tháng.</w:t>
      </w:r>
    </w:p>
    <w:p>
      <w:pPr>
        <w:jc w:val="center"/>
      </w:pPr>
      <w:r>
        <w:drawing>
          <wp:inline xmlns:a="http://schemas.openxmlformats.org/drawingml/2006/main" xmlns:pic="http://schemas.openxmlformats.org/drawingml/2006/picture">
            <wp:extent cx="5486400" cy="5224225"/>
            <wp:docPr id="10" name="Picture 10"/>
            <wp:cNvGraphicFramePr>
              <a:graphicFrameLocks noChangeAspect="1"/>
            </wp:cNvGraphicFramePr>
            <a:graphic>
              <a:graphicData uri="http://schemas.openxmlformats.org/drawingml/2006/picture">
                <pic:pic>
                  <pic:nvPicPr>
                    <pic:cNvPr id="0" name="c01ex001.png"/>
                    <pic:cNvPicPr/>
                  </pic:nvPicPr>
                  <pic:blipFill>
                    <a:blip r:embed="rId17"/>
                    <a:stretch>
                      <a:fillRect/>
                    </a:stretch>
                  </pic:blipFill>
                  <pic:spPr>
                    <a:xfrm>
                      <a:off x="0" y="0"/>
                      <a:ext cx="5486400" cy="5224225"/>
                    </a:xfrm>
                    <a:prstGeom prst="rect"/>
                  </pic:spPr>
                </pic:pic>
              </a:graphicData>
            </a:graphic>
          </wp:inline>
        </w:drawing>
      </w:r>
    </w:p>
    <w:p>
      <w:pPr>
        <w:spacing w:after="160"/>
        <w:jc w:val="center"/>
      </w:pPr>
      <w:r>
        <w:rPr>
          <w:rFonts w:ascii="Calibri" w:hAnsi="Calibri"/>
          <w:b w:val="0"/>
          <w:i/>
          <w:sz w:val="19"/>
        </w:rPr>
        <w:t>HÌNH 1.1</w:t>
      </w:r>
    </w:p>
    <w:p>
      <w:pPr>
        <w:jc w:val="center"/>
      </w:pPr>
      <w:r>
        <w:drawing>
          <wp:inline xmlns:a="http://schemas.openxmlformats.org/drawingml/2006/main" xmlns:pic="http://schemas.openxmlformats.org/drawingml/2006/picture">
            <wp:extent cx="571500" cy="561975"/>
            <wp:docPr id="11" name="Picture 11"/>
            <wp:cNvGraphicFramePr>
              <a:graphicFrameLocks noChangeAspect="1"/>
            </wp:cNvGraphicFramePr>
            <a:graphic>
              <a:graphicData uri="http://schemas.openxmlformats.org/drawingml/2006/picture">
                <pic:pic>
                  <pic:nvPicPr>
                    <pic:cNvPr id="0" name="RULE_OF_THUMB_darkblue.png"/>
                    <pic:cNvPicPr/>
                  </pic:nvPicPr>
                  <pic:blipFill>
                    <a:blip r:embed="rId18"/>
                    <a:stretch>
                      <a:fillRect/>
                    </a:stretch>
                  </pic:blipFill>
                  <pic:spPr>
                    <a:xfrm>
                      <a:off x="0" y="0"/>
                      <a:ext cx="571500" cy="5619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Tối thiểu 20 giờ học tập</w:t>
      </w:r>
    </w:p>
    <w:p>
      <w:pPr>
        <w:spacing w:after="80"/>
      </w:pPr>
      <w:r>
        <w:rPr>
          <w:b w:val="0"/>
          <w:i w:val="0"/>
        </w:rPr>
        <w:t>Hãy lên kế hoạch để mỗi giám đốc điều hành cấp cao đầu tư tối thiểu 20 giờ học tập—và thường là nhiều hơn thế—trước khi họ có thể dẫn dắt hiệu quả một quá trình chuyển đổi doanh nghiệp dựa trên công nghệ cùng với các đồng nghiệp của mình.</w:t>
      </w:r>
    </w:p>
    <w:p>
      <w:pPr>
        <w:pStyle w:val="Heading2"/>
      </w:pPr>
      <w:r>
        <w:rPr>
          <w:rFonts w:ascii="Calibri" w:hAnsi="Calibri"/>
          <w:b/>
          <w:i w:val="0"/>
          <w:sz w:val="32"/>
        </w:rPr>
        <w:t>Thống nhất về một tầm nhìn</w:t>
      </w:r>
    </w:p>
    <w:p>
      <w:pPr>
        <w:spacing w:after="80"/>
      </w:pPr>
      <w:r>
        <w:rPr>
          <w:b w:val="0"/>
          <w:i w:val="0"/>
        </w:rPr>
        <w:t>Khi đội ngũ cấp cao trải qua hành trình học tập này, một tầm nhìn sẽ bắt đầu hình thành. Chúng tôi nói "hình thành" bởi vì tầm nhìn này sẽ được tinh chỉnh và trở nên chính xác hơn theo thời gian. Tầm nhìn này sau đó đóng vai trò như Ngôi Sao Bắc Đẩu (North Star) của công ty, mang lại một đích đến rõ ràng cho việc doanh nghiệp của họ có thể được chuyển đổi như thế nào nhờ công nghệ.</w:t>
      </w:r>
    </w:p>
    <w:p>
      <w:pPr>
        <w:spacing w:after="80"/>
      </w:pPr>
      <w:r>
        <w:rPr>
          <w:b w:val="0"/>
          <w:i w:val="0"/>
        </w:rPr>
        <w:t>Đây là một điểm mấu chốt. Chúng ta không quan tâm đến việc triển khai AI chỉ vì bản thân AI. Đây cũng không phải là một cuộc đẩy mạnh GenAI. Chúng ta không quan tâm công nghệ nào cuối cùng sẽ được triển khai—chúng ta chỉ quan tâm đến sự cải thiện hiệu quả kinh doanh mà nó tạo ra. Chúng ta đón nhận mọi cách tiếp cận công nghệ lẫn phi công nghệ miễn là nó giúp đạt được kết quả kinh doanh. Vì vậy, tầm nhìn không nên chỉ xoay quanh công nghệ.</w:t>
      </w:r>
    </w:p>
    <w:p>
      <w:pPr>
        <w:spacing w:after="80"/>
      </w:pPr>
      <w:r>
        <w:rPr>
          <w:b/>
          <w:i/>
        </w:rPr>
        <w:t>Đây là một cuộc chuyển đổi kinh doanh được hỗ trợ bởi Công nghệ &amp; AI, chứ không phải là một cuộc chuyển đổi AI. Điều này nghe có vẻ chỉ là vấn đề ngữ nghĩa, nhưng nó là một tư duy hoàn toàn khác biệt về cách bạn tiếp cận sự thay đổi</w:t>
      </w:r>
      <w:r>
        <w:rPr>
          <w:b/>
          <w:i w:val="0"/>
        </w:rPr>
        <w:t>.</w:t>
      </w:r>
    </w:p>
    <w:p>
      <w:pPr>
        <w:spacing w:after="80"/>
      </w:pPr>
      <w:r>
        <w:rPr>
          <w:b w:val="0"/>
          <w:i w:val="0"/>
        </w:rPr>
        <w:t>Những tầm nhìn mạnh mẽ đều có một số thành phần chung: một khát vọng, thường neo vào khách hàng, cùng với giá trị kinh tế kỳ vọng. Tầm nhìn cũng nên chỉ rõ những lĩnh vực kinh doanh nào sẽ được tái định hình, và nó cần diễn đạt rõ những năng lực mới cần thiết để hiện thực hóa. Hình 1.2 cho thấy tầm nhìn kiểu này trông như thế nào đối với một công ty hàng tiêu dùng đóng gói (CPG) toàn cầu.</w:t>
      </w:r>
    </w:p>
    <w:p>
      <w:pPr>
        <w:jc w:val="center"/>
      </w:pPr>
      <w:r>
        <w:drawing>
          <wp:inline xmlns:a="http://schemas.openxmlformats.org/drawingml/2006/main" xmlns:pic="http://schemas.openxmlformats.org/drawingml/2006/picture">
            <wp:extent cx="5486400" cy="6533346"/>
            <wp:docPr id="12" name="Picture 12"/>
            <wp:cNvGraphicFramePr>
              <a:graphicFrameLocks noChangeAspect="1"/>
            </wp:cNvGraphicFramePr>
            <a:graphic>
              <a:graphicData uri="http://schemas.openxmlformats.org/drawingml/2006/picture">
                <pic:pic>
                  <pic:nvPicPr>
                    <pic:cNvPr id="0" name="c01ex002.png"/>
                    <pic:cNvPicPr/>
                  </pic:nvPicPr>
                  <pic:blipFill>
                    <a:blip r:embed="rId19"/>
                    <a:stretch>
                      <a:fillRect/>
                    </a:stretch>
                  </pic:blipFill>
                  <pic:spPr>
                    <a:xfrm>
                      <a:off x="0" y="0"/>
                      <a:ext cx="5486400" cy="6533346"/>
                    </a:xfrm>
                    <a:prstGeom prst="rect"/>
                  </pic:spPr>
                </pic:pic>
              </a:graphicData>
            </a:graphic>
          </wp:inline>
        </w:drawing>
      </w:r>
    </w:p>
    <w:p>
      <w:pPr>
        <w:spacing w:after="160"/>
        <w:jc w:val="center"/>
      </w:pPr>
      <w:r>
        <w:rPr>
          <w:rFonts w:ascii="Calibri" w:hAnsi="Calibri"/>
          <w:b w:val="0"/>
          <w:i/>
          <w:sz w:val="19"/>
        </w:rPr>
        <w:t>HÌNH 1.2</w:t>
      </w:r>
    </w:p>
    <w:p>
      <w:pPr>
        <w:spacing w:after="80"/>
      </w:pPr>
      <w:r>
        <w:rPr>
          <w:b w:val="0"/>
          <w:i w:val="0"/>
        </w:rPr>
        <w:t>Tầm nhìn nên được neo vào chiến lược kinh doanh tổng thể của công ty. Bạn biết mình đang đi đúng hướng nếu tầm nhìn của bạn kết hợp bốn yếu tố sau:</w:t>
      </w:r>
    </w:p>
    <w:p>
      <w:pPr>
        <w:spacing w:after="80"/>
        <w:ind w:left="360"/>
      </w:pPr>
      <w:r>
        <w:t xml:space="preserve">1. </w:t>
      </w:r>
      <w:r>
        <w:rPr>
          <w:b/>
          <w:i w:val="0"/>
        </w:rPr>
        <w:t>Bối cảnh ngành.</w:t>
      </w:r>
      <w:r>
        <w:rPr>
          <w:b w:val="0"/>
          <w:i w:val="0"/>
        </w:rPr>
        <w:t xml:space="preserve"> Hãy bắt đầu với những xu hướng lớn—đặc biệt là xu hướng công nghệ—đang định hình ngành của bạn. Trong ví dụ CPG của chúng ta, tiếp thị trực tiếp đến người tiêu dùng là một xu hướng như vậy, và nó đang thay đổi cách các công ty CPG xây dựng thương hiệu và tạo ra nhu cầu tiêu dùng. Hãy có chủ đích trong việc xác định liệu tầm nhìn của bạn có tích hợp đầy đủ các xu hướng nền tảng hay không.</w:t>
      </w:r>
    </w:p>
    <w:p>
      <w:pPr>
        <w:spacing w:after="80"/>
        <w:ind w:left="360"/>
      </w:pPr>
      <w:r>
        <w:t xml:space="preserve">2. </w:t>
      </w:r>
      <w:r>
        <w:rPr>
          <w:b/>
          <w:i w:val="0"/>
        </w:rPr>
        <w:t>Các điểm đòn bẩy của mô hình kinh doanh.</w:t>
      </w:r>
      <w:r>
        <w:rPr>
          <w:b w:val="0"/>
          <w:i w:val="0"/>
        </w:rPr>
        <w:t xml:space="preserve"> Trong bất kỳ mô hình kinh doanh nào, đều có một vài điểm đòn bẩy then chốt về khách hàng và kinh tế. Trong ngành CPG, đó là giá cả, khuyến mãi, phân phối và danh mục sản phẩm. Trong ngành khai khoáng, đó là sản lượng và thông lượng. Trong ngành bảo hiểm, các điểm đòn bẩy là thẩm định rủi ro và quản lý yêu cầu bồi thường. Tầm nhìn của bạn nên xoay quanh việc kích hoạt một điểm đòn bẩy cốt lõi trong mô hình kinh doanh của mình. Đó là cách cuộc chuyển đổi của bạn sẽ tạo ra giá trị lớn nhất.</w:t>
      </w:r>
    </w:p>
    <w:p>
      <w:pPr>
        <w:spacing w:after="80"/>
        <w:ind w:left="360"/>
      </w:pPr>
      <w:r>
        <w:t xml:space="preserve">3. </w:t>
      </w:r>
      <w:r>
        <w:rPr>
          <w:b/>
          <w:i w:val="0"/>
        </w:rPr>
        <w:t>Lợi thế cạnh tranh.</w:t>
      </w:r>
      <w:r>
        <w:rPr>
          <w:b w:val="0"/>
          <w:i w:val="0"/>
        </w:rPr>
        <w:t xml:space="preserve"> Khuếch đại các lợi thế cạnh tranh hiện có bằng công nghệ là một chiến lược mạnh mẽ, đặc biệt đối với các công ty đã thành danh, nơi phần lớn hiệu quả kinh tế chỉ được thúc đẩy bởi một vài lợi thế, chẳng hạn như tệp khách hàng, mạng lưới phân phối và thương hiệu. Lấy Walmart làm ví dụ. Chiến lược thương mại điện tử của họ được xây dựng xoay quanh mạng lưới cửa hàng, tệp khách hàng lớn và thương hiệu của mình.</w:t>
      </w:r>
    </w:p>
    <w:p>
      <w:pPr>
        <w:spacing w:after="80"/>
        <w:ind w:left="360"/>
      </w:pPr>
      <w:r>
        <w:t xml:space="preserve">4. </w:t>
      </w:r>
      <w:r>
        <w:rPr>
          <w:b/>
          <w:i w:val="0"/>
        </w:rPr>
        <w:t>Bánh đà chiến lược.</w:t>
      </w:r>
      <w:r>
        <w:rPr>
          <w:b w:val="0"/>
          <w:i w:val="0"/>
        </w:rPr>
        <w:t xml:space="preserve"> Các công ty tạo ra khoảng cách chiến lược so với đối thủ bằng cách tận dụng các năng lực Công nghệ &amp; AI để tạo ra những cơ chế củng cố lẫn nhau, giúp tích lũy ngày càng nhiều giá trị theo thời gian. Động lực này được thể hiện qua một </w:t>
      </w:r>
      <w:r>
        <w:rPr>
          <w:b w:val="0"/>
          <w:i/>
        </w:rPr>
        <w:t>bánh đà chiến lược</w:t>
      </w:r>
      <w:r>
        <w:rPr>
          <w:b w:val="0"/>
          <w:i w:val="0"/>
        </w:rPr>
        <w:t xml:space="preserve"> (Hình 1.3). Bánh đà cho thấy các mối quan hệ nhân quả dưới dạng những vòng lặp củng cố.</w:t>
        <w:br/>
        <w:t>Bánh đà thường mang tính đặc thù theo ngành. Trong ví dụ của chúng ta, công ty CPG toàn cầu có những thương hiệu nổi tiếng tạo ra nguồn dữ liệu người tiêu dùng gốc (first-party) phong phú, có thể được dùng để thúc đẩy việc kích hoạt người tiêu dùng tốt hơn, đổi mới sản phẩm và cung cấp thông tin chi tiết về trưng bày hàng hóa cho các đối tác bán lẻ của mình.</w:t>
      </w:r>
    </w:p>
    <w:p>
      <w:pPr>
        <w:jc w:val="center"/>
      </w:pPr>
      <w:r>
        <w:drawing>
          <wp:inline xmlns:a="http://schemas.openxmlformats.org/drawingml/2006/main" xmlns:pic="http://schemas.openxmlformats.org/drawingml/2006/picture">
            <wp:extent cx="5486400" cy="4786218"/>
            <wp:docPr id="13" name="Picture 13"/>
            <wp:cNvGraphicFramePr>
              <a:graphicFrameLocks noChangeAspect="1"/>
            </wp:cNvGraphicFramePr>
            <a:graphic>
              <a:graphicData uri="http://schemas.openxmlformats.org/drawingml/2006/picture">
                <pic:pic>
                  <pic:nvPicPr>
                    <pic:cNvPr id="0" name="c01ex003.png"/>
                    <pic:cNvPicPr/>
                  </pic:nvPicPr>
                  <pic:blipFill>
                    <a:blip r:embed="rId20"/>
                    <a:stretch>
                      <a:fillRect/>
                    </a:stretch>
                  </pic:blipFill>
                  <pic:spPr>
                    <a:xfrm>
                      <a:off x="0" y="0"/>
                      <a:ext cx="5486400" cy="4786218"/>
                    </a:xfrm>
                    <a:prstGeom prst="rect"/>
                  </pic:spPr>
                </pic:pic>
              </a:graphicData>
            </a:graphic>
          </wp:inline>
        </w:drawing>
      </w:r>
    </w:p>
    <w:p>
      <w:pPr>
        <w:spacing w:after="160"/>
        <w:jc w:val="center"/>
      </w:pPr>
      <w:r>
        <w:rPr>
          <w:rFonts w:ascii="Calibri" w:hAnsi="Calibri"/>
          <w:b w:val="0"/>
          <w:i/>
          <w:sz w:val="19"/>
        </w:rPr>
        <w:t>HÌNH 1.3</w:t>
      </w:r>
    </w:p>
    <w:p>
      <w:pPr>
        <w:spacing w:after="80"/>
      </w:pPr>
      <w:r>
        <w:rPr>
          <w:b w:val="0"/>
          <w:i w:val="0"/>
        </w:rPr>
        <w:t>Có được sự rõ ràng về bánh đà chiến lược của mình sẽ giúp bạn giữ vững lộ trình và tập trung nỗ lực vào những điều quan trọng. Nó cũng giúp bạn truyền đạt sắc bén hơn về lý do tại sao việc đầu tư và tập trung vào cuộc chuyển đổi kinh doanh được hỗ trợ bởi Công nghệ &amp; AI này lại quan trọng đến vậy.</w:t>
      </w:r>
    </w:p>
    <w:p>
      <w:pPr>
        <w:spacing w:after="80"/>
      </w:pPr>
      <w:r>
        <w:rPr>
          <w:b w:val="0"/>
          <w:i w:val="0"/>
        </w:rPr>
        <w:t>Tạo ra một tầm nhìn tốt là công việc khó khăn. Nó sẽ không đến trong một sớm một chiều, và bạn nên kỳ vọng sẽ phải lặp đi lặp lại khi tiến bước trên hành trình.</w:t>
      </w:r>
    </w:p>
    <w:p>
      <w:pPr>
        <w:pStyle w:val="Heading2"/>
      </w:pPr>
      <w:r>
        <w:rPr>
          <w:rFonts w:ascii="Calibri" w:hAnsi="Calibri"/>
          <w:b/>
          <w:i w:val="0"/>
          <w:sz w:val="32"/>
        </w:rPr>
        <w:t>Cam kết dẫn dắt theo cách khác biệt</w:t>
      </w:r>
    </w:p>
    <w:p>
      <w:pPr>
        <w:spacing w:after="80"/>
      </w:pPr>
      <w:r>
        <w:rPr>
          <w:b w:val="0"/>
          <w:i w:val="0"/>
        </w:rPr>
        <w:t>Một cuộc chuyển đổi Công nghệ &amp; AI khác với một chương trình cắt giảm chi phí lớn hay một dự án triển khai ERP lớn ở nhiều điểm, nhưng đặc biệt ở những gì nó đòi hỏi từ đội ngũ lãnh đạo cấp cao nhất. Dù những chi tiết cụ thể của cuộc chuyển đổi có thể chưa rõ ràng ở giai đoạn này, thì tư duy lãnh đạo thì nên rõ. Những câu hỏi sau có thể giúp bạn đánh giá liệu đội ngũ lãnh đạo cấp cao của mình đã sẵn sàng chưa:</w:t>
      </w:r>
    </w:p>
    <w:p>
      <w:pPr>
        <w:spacing w:after="80"/>
        <w:ind w:left="360"/>
      </w:pPr>
      <w:r>
        <w:t xml:space="preserve">1. </w:t>
      </w:r>
      <w:r>
        <w:rPr>
          <w:b/>
          <w:i w:val="0"/>
        </w:rPr>
        <w:t>Các nhà lãnh đạo kinh doanh của bạn có hiểu cực kỳ rõ rằng đây là về đổi mới kinh doanh và do đó họ phải dẫn dắt nó không?</w:t>
      </w:r>
      <w:r>
        <w:rPr>
          <w:b w:val="0"/>
          <w:i w:val="0"/>
        </w:rPr>
        <w:t xml:space="preserve"> Trên thực tế, điều này có nghĩa là họ phải xắn tay áo lên làm công việc khó khăn là tái định hình hoạt động kinh doanh bằng công nghệ. Nếu họ lãnh đạo một trong những lĩnh vực ưu tiên mà cuộc chuyển đổi nhắm tới, họ nên kỳ vọng sẽ đầu tư 20–40% thời gian của mình vào đó.</w:t>
      </w:r>
    </w:p>
    <w:p>
      <w:pPr>
        <w:spacing w:after="80"/>
        <w:ind w:left="360"/>
      </w:pPr>
      <w:r>
        <w:t xml:space="preserve">2. </w:t>
      </w:r>
      <w:r>
        <w:rPr>
          <w:b/>
          <w:i w:val="0"/>
        </w:rPr>
        <w:t>Đội ngũ lãnh đạo cấp cao của bạn có sẵn sàng làm việc cùng nhau như một khối thống nhất không?</w:t>
      </w:r>
      <w:r>
        <w:rPr>
          <w:b w:val="0"/>
          <w:i w:val="0"/>
        </w:rPr>
        <w:t xml:space="preserve"> Khác với một cuộc chuyển đổi cắt giảm chi phí, nơi mỗi lãnh đạo thường được giao một chỉ tiêu, một cuộc chuyển đổi Công nghệ &amp; AI đòi hỏi sự hợp tác nhiều hơn hẳn. Các đội ngũ lãnh đạo cấp cao trong những nỗ lực thành công đều có ý thức trách nhiệm chung trong việc đạt được các mục tiêu của cuộc chuyển đổi.</w:t>
      </w:r>
    </w:p>
    <w:p>
      <w:pPr>
        <w:spacing w:after="80"/>
        <w:ind w:left="360"/>
      </w:pPr>
      <w:r>
        <w:t xml:space="preserve">3. </w:t>
      </w:r>
      <w:r>
        <w:rPr>
          <w:b/>
          <w:i w:val="0"/>
        </w:rPr>
        <w:t>Tham vọng của bạn cho ba đến năm năm tới có thực sự tạo nên bước ngoặt lớn?</w:t>
      </w:r>
      <w:r>
        <w:rPr>
          <w:b w:val="0"/>
          <w:i w:val="0"/>
        </w:rPr>
        <w:t xml:space="preserve"> Nhiệm vụ của đội ngũ lãnh đạo cấp cao là tạo ra những cải thiện lớn trong hiệu quả kinh doanh, chứ không phải những cải thiện nhỏ nhặt. Tham vọng của bạn nên là thúc đẩy mức cải thiện lợi nhuận ròng hơn 20% thông qua việc nâng cao mức độ hài lòng của khách hàng, cải thiện chi phí đơn vị, hoặc bằng cách cung cấp sản phẩm và dịch vụ mới.</w:t>
      </w:r>
    </w:p>
    <w:p>
      <w:pPr>
        <w:spacing w:after="80"/>
        <w:ind w:left="360"/>
      </w:pPr>
      <w:r>
        <w:t xml:space="preserve">4. </w:t>
      </w:r>
      <w:r>
        <w:rPr>
          <w:b/>
          <w:i w:val="0"/>
        </w:rPr>
        <w:t>Mỗi người trong các bạn đã cam kết đầu tư vào hành trình học tập của chính mình để trở nên am hiểu công nghệ chưa?</w:t>
      </w:r>
      <w:r>
        <w:rPr>
          <w:b w:val="0"/>
          <w:i w:val="0"/>
        </w:rPr>
        <w:t xml:space="preserve"> Những người làm được điều đó sẽ dành thời gian nghiêm túc trong lịch của họ để học hỏi từ các công ty khác, đọc về công nghệ, trao đổi với các nhà lãnh đạo công nghệ trong tổ chức của mình, tham dự các hội thảo, hoàn thành một khóa học đại học, và tìm kiếm những góc nhìn đa dạng.</w:t>
      </w:r>
    </w:p>
    <w:p>
      <w:pPr>
        <w:spacing w:after="80"/>
      </w:pPr>
      <w:r>
        <w:rPr>
          <w:b w:val="0"/>
          <w:i w:val="0"/>
        </w:rPr>
        <w:t>Dù bạn đang bắt đầu hành trình hay đã đi trên con đường này một thời gian, hãy mang danh sách trên vào cuộc họp ban lãnh đạo cấp cao tiếp theo của bạn và đặt câu hỏi: Liệu chúng ta có đang dẫn dắt quá trình chuyển đổi này với đúng tư duy không?</w:t>
      </w:r>
    </w:p>
    <w:p>
      <w:pPr>
        <w:pStyle w:val="Heading2"/>
      </w:pPr>
      <w:r>
        <w:rPr>
          <w:rFonts w:ascii="Calibri" w:hAnsi="Calibri"/>
          <w:b/>
          <w:i w:val="0"/>
          <w:sz w:val="32"/>
        </w:rPr>
        <w:t>Cần gì để dẫn dắt một tổ chức được tái cấu trúc</w:t>
      </w:r>
    </w:p>
    <w:p>
      <w:pPr>
        <w:spacing w:after="80"/>
      </w:pPr>
      <w:r>
        <w:rPr>
          <w:b w:val="0"/>
          <w:i w:val="0"/>
        </w:rPr>
        <w:t>Chương này đã trình bày một số yêu cầu chính đối với đội ngũ lãnh đạo. Tuy nhiên, khi chúng tôi làm việc với các nhà lãnh đạo, một trong những câu hỏi thường gặp nhất của họ là: "Tất cả những điều này có ý nghĩa gì với tôi?"</w:t>
      </w:r>
    </w:p>
    <w:p>
      <w:pPr>
        <w:spacing w:after="80"/>
      </w:pPr>
      <w:r>
        <w:rPr>
          <w:b w:val="0"/>
          <w:i w:val="0"/>
        </w:rPr>
        <w:t>Đó không hẳn là một câu hỏi dễ trả lời. Những nhà lãnh đạo được tái cấu trúc mạnh mẽ cần phải điều hướng sự thay đổi căn bản vượt xa mọi thứ họ từng thấy trước đây và dẫn dắt các đội ngũ thực hiện những sáng kiến mà chính họ chưa từng đảm nhận.</w:t>
      </w:r>
    </w:p>
    <w:p>
      <w:pPr>
        <w:spacing w:after="80"/>
      </w:pPr>
      <w:r>
        <w:rPr>
          <w:b w:val="0"/>
          <w:i w:val="0"/>
        </w:rPr>
        <w:t>Qua quá trình làm việc, chúng tôi nhận thấy rằng những nhà lãnh đạo giỏi nhất là:</w:t>
      </w:r>
    </w:p>
    <w:p>
      <w:pPr>
        <w:spacing w:after="80"/>
      </w:pPr>
      <w:r>
        <w:rPr>
          <w:b/>
          <w:i w:val="0"/>
        </w:rPr>
        <w:t>Những người tạo dựng niềm tin.</w:t>
      </w:r>
      <w:r>
        <w:rPr>
          <w:b w:val="0"/>
          <w:i w:val="0"/>
        </w:rPr>
        <w:t xml:space="preserve"> Nhiều nhà lãnh đạo cấp cao do dự trong việc cam kết đáng kể về thời gian và tiền bạc cho AI. Điều đó thường là vì họ chưa có niềm tin rằng chuyển đổi Công nghệ &amp; AI là thiết yếu cho sự phát triển lành mạnh của doanh nghiệp.</w:t>
      </w:r>
    </w:p>
    <w:p>
      <w:pPr>
        <w:spacing w:after="80"/>
      </w:pPr>
      <w:r>
        <w:rPr>
          <w:b/>
          <w:i/>
        </w:rPr>
        <w:t>Những nhà lãnh đạo được tái cấu trúc hiểu rằng có niềm tin thực sự không phải là vấn đề dũng cảm hay can đảm mù quáng. Đó là kết quả của một quá trình có chủ đích và có ý thức để trả lời câu hỏi chiến lược "tại sao".</w:t>
      </w:r>
    </w:p>
    <w:p>
      <w:pPr>
        <w:spacing w:after="80"/>
      </w:pPr>
      <w:r>
        <w:rPr>
          <w:b w:val="0"/>
          <w:i w:val="0"/>
        </w:rPr>
        <w:t>Quá trình xây dựng niềm tin này—và đúng là một quá trình, đôi khi mất hàng tháng—bao gồm việc phát triển một tầm nhìn và các bằng chứng xác thực neo vào việc tạo ra giá trị, thường được định hướng bởi những ví dụ thành công từ các công ty khác hoặc thử nghiệm nội bộ, và được định hình bởi sự sẵn sàng thách thức một cách thích hợp những giáo điều đã được thiết lập. Quá trình này giúp các nhà lãnh đạo tránh những cái bẫy chuyển đổi, như bằng lòng với những cải thiện nhỏ nhặt hoặc rút lui khỏi những cam kết cần thiết khi họ gặp phải những rào cản và thách thức không thể tránh khỏi.</w:t>
      </w:r>
    </w:p>
    <w:p>
      <w:pPr>
        <w:spacing w:after="80"/>
      </w:pPr>
      <w:r>
        <w:rPr>
          <w:b w:val="0"/>
          <w:i w:val="0"/>
        </w:rPr>
        <w:t>Tại Freeport-McMoRan, một công ty khai khoáng toàn cầu, chính người đứng đầu hoạt động Bắc Mỹ, giám đốc công nghệ, và giám đốc thông tin là những người cởi mở trong việc tìm hiểu cách AI có thể được áp dụng để cải thiện hoạt động khai khoáng của họ. Họ đã xây dựng niềm tin khi chứng kiến giá trị được tạo ra trong một cuộc thử nghiệm quy mô lớn tại một trong những cơ sở sản xuất chính của Freeport.</w:t>
      </w:r>
    </w:p>
    <w:p>
      <w:pPr>
        <w:spacing w:after="80"/>
      </w:pPr>
      <w:r>
        <w:rPr>
          <w:b w:val="0"/>
          <w:i w:val="0"/>
        </w:rPr>
        <w:t>Thành công này đã thuyết phục họ thống nhất đội ngũ lãnh đạo xung quanh nỗ lực này và mở rộng nó ra toàn công ty. Phần còn lại đã là lịch sử. Freeport đã tạo ra giá trị mang tính bước ngoặt với AI và tiếp tục dẫn đầu ngành về hiệu quả vận hành (bạn có thể đọc nghiên cứu tình huống trong Chương 38).</w:t>
      </w:r>
    </w:p>
    <w:p>
      <w:pPr>
        <w:spacing w:after="80"/>
      </w:pPr>
      <w:r>
        <w:rPr>
          <w:b/>
          <w:i w:val="0"/>
        </w:rPr>
        <w:t>Những người học không sợ hãi.</w:t>
      </w:r>
      <w:r>
        <w:rPr>
          <w:b w:val="0"/>
          <w:i w:val="0"/>
        </w:rPr>
        <w:t xml:space="preserve"> Thực tế của thế giới đậm đặc công nghệ của chúng ta là "chu kỳ bán rã" của các kỹ năng liên quan đang ngày càng thu hẹp. Công nghệ càng tiến bộ nhanh, kỹ năng của chúng ta càng trở nên lỗi thời nhanh hơn.</w:t>
      </w:r>
    </w:p>
    <w:p>
      <w:pPr>
        <w:spacing w:after="80"/>
      </w:pPr>
      <w:r>
        <w:rPr>
          <w:b/>
          <w:i/>
        </w:rPr>
        <w:t>Những nhà lãnh đạo được tái cấu trúc biết rằng học hỏi, thích nghi, và đặt câu hỏi không chỉ là chìa khóa cho lãnh đạo hiệu quả mà còn cho sự phát triển cá nhân</w:t>
      </w:r>
      <w:r>
        <w:rPr>
          <w:b/>
          <w:i w:val="0"/>
        </w:rPr>
        <w:t>.</w:t>
      </w:r>
    </w:p>
    <w:p>
      <w:pPr>
        <w:spacing w:after="80"/>
      </w:pPr>
      <w:r>
        <w:rPr>
          <w:b w:val="0"/>
          <w:i w:val="0"/>
        </w:rPr>
        <w:t>Mức độ học hỏi này vượt xa việc đọc nhiều và thỉnh thoảng tham gia một lớp học về lập trình. Những người học được tái cấu trúc được thúc đẩy bởi sự tò mò và bị ám ảnh bởi những ý tưởng mới, cách mọi thứ thực sự vận hành, và những hệ quả bậc hai là gì—họ không chỉ hỏi "Điều này làm gì?" mà còn hỏi "Điều này ảnh hưởng thế nào đến những gì chúng ta đã làm?"</w:t>
      </w:r>
    </w:p>
    <w:p>
      <w:pPr>
        <w:spacing w:after="80"/>
      </w:pPr>
      <w:r>
        <w:rPr>
          <w:b w:val="0"/>
          <w:i w:val="0"/>
        </w:rPr>
        <w:t>Một dấu hiệu của người học được tái cấu trúc là họ nhìn ra ngoài ranh giới truyền thống của doanh nghiệp hoặc lĩnh vực của mình để xem điều gì đang diễn ra trong các lĩnh vực khác, và điều đó có thể có ý nghĩa gì cho doanh nghiệp của chính họ.</w:t>
      </w:r>
    </w:p>
    <w:p>
      <w:pPr>
        <w:spacing w:after="80"/>
      </w:pPr>
      <w:r>
        <w:rPr>
          <w:b/>
          <w:i w:val="0"/>
        </w:rPr>
        <w:t>Kiến trúc sư tổ chức.</w:t>
      </w:r>
      <w:r>
        <w:rPr>
          <w:b w:val="0"/>
          <w:i w:val="0"/>
        </w:rPr>
        <w:t xml:space="preserve"> Ở trung tâm của mọi chuyển đổi Công nghệ &amp; AI là một cuộc chuyển đổi về con người, một sự thật mà chúng tôi thường xuyên nhấn mạnh. Không có cách nào để tái cấu trúc một tổ chức thành công mà không làm đúng phần con người trong phương trình đó (chúng ta sẽ bàn chi tiết vấn đề này trong Phần Hai và Phần Ba.)</w:t>
      </w:r>
    </w:p>
    <w:p>
      <w:pPr>
        <w:spacing w:after="80"/>
      </w:pPr>
      <w:r>
        <w:rPr>
          <w:b w:val="0"/>
          <w:i w:val="0"/>
        </w:rPr>
        <w:t>Những nhà lãnh đạo được tái cấu trúc (rewired leaders) ghi nhớ sâu sắc thực tế này bằng cách thường dành phần lớn thời gian cho các câu hỏi về con người, từ tuyển dụng đến nâng cao kỹ năng, đến mô hình vận hành, đến văn hóa. Họ hiện diện và hữu hình, thường đóng vai trò là mô liên kết cho tổ chức. Họ chủ động gây ảnh hưởng đến thành phần của 300 nhà lãnh đạo hàng đầu bằng cách mang về nhân tài mới, thực hiện những đề bạt khác thường và loại bỏ những rào cản. Họ hiểu cách nhân tài thúc đẩy tốc độ tổ chức và đổi mới kinh doanh.</w:t>
      </w:r>
    </w:p>
    <w:p>
      <w:pPr>
        <w:spacing w:after="80"/>
      </w:pPr>
      <w:r>
        <w:rPr>
          <w:b/>
          <w:i/>
        </w:rPr>
        <w:t>Những nhà lãnh đạo được tái cấu trúc đảm nhận vai trò kiến trúc sư tổ chức cho kỷ nguyên AI. Họ xắn tay áo lên để giải quyết những câu hỏi hóc búa về mô hình vận hành (như các cấu trúc liên chức năng, cơ cấu khuyến khích và quản trị) - những điều nằm ở trung tâm của việc liệu các cuộc chuyển đổi sẽ thành công hay thất bại</w:t>
      </w:r>
      <w:r>
        <w:rPr>
          <w:b/>
          <w:i w:val="0"/>
        </w:rPr>
        <w:t>.</w:t>
      </w:r>
    </w:p>
    <w:p>
      <w:pPr>
        <w:spacing w:after="80"/>
      </w:pPr>
      <w:r>
        <w:rPr>
          <w:b w:val="0"/>
          <w:i w:val="0"/>
        </w:rPr>
        <w:t>Cam kết toàn tâm toàn ý cho nhân tài này thường là một trong những thách thức lớn nhất đối với các nhà điều hành, vì nó đưa họ ra khỏi những cấu trúc tổ chức truyền thống để bước vào việc thiết kế các mô hình vận hành hướng đến tốc độ và đổi mới.</w:t>
      </w:r>
    </w:p>
    <w:p>
      <w:pPr>
        <w:spacing w:after="80"/>
      </w:pPr>
      <w:r>
        <w:rPr>
          <w:b/>
          <w:i w:val="0"/>
        </w:rPr>
        <w:t>Những người chuyển đổi mãi mãi.</w:t>
      </w:r>
      <w:r>
        <w:rPr>
          <w:b w:val="0"/>
          <w:i w:val="0"/>
        </w:rPr>
        <w:t xml:space="preserve"> Ở đầu cuốn sách này, chúng tôi đã nói rằng các nhà lãnh đạo sẽ tái cấu trúc doanh nghiệp của mình trong suốt phần còn lại của sự nghiệp.</w:t>
      </w:r>
    </w:p>
    <w:p>
      <w:pPr>
        <w:spacing w:after="80"/>
      </w:pPr>
      <w:r>
        <w:rPr>
          <w:b/>
          <w:i/>
        </w:rPr>
        <w:t>Những nhà lãnh đạo được tái cấu trúc hiện thân cho ý tưởng rằng chuyển đổi Công nghệ &amp; AI không phải là một dự án để hoàn thành mà là một cách vận hành công ty mới: nhanh, dựa trên dữ liệu, không ngừng đổi mới và mở rộng quy mô</w:t>
      </w:r>
      <w:r>
        <w:rPr>
          <w:b/>
          <w:i w:val="0"/>
        </w:rPr>
        <w:t>.</w:t>
      </w:r>
    </w:p>
    <w:p>
      <w:pPr>
        <w:spacing w:after="80"/>
      </w:pPr>
      <w:r>
        <w:rPr>
          <w:b w:val="0"/>
          <w:i w:val="0"/>
        </w:rPr>
        <w:t>Những nhà lãnh đạo được tái cấu trúc thể hiện sự "kiên trì bền bỉ" thực sự. Bạn có thể nhận ra họ. Một hoặc hai năm sau khi bắt đầu chuyển đổi, họ vẫn có mặt - và tham gia - vào các cuộc họp quan trọng, họ chủ động giải quyết các vấn đề (và không chờ đợi chúng phát triển thành những vấn đề to lớn rắc rối), họ ăn mừng những thắng lợi và trao cho đội ngũ của mình những khoảnh khắc tỏa sáng, và họ luôn suy nghĩ trước 6 đến 18 tháng.</w:t>
      </w:r>
    </w:p>
    <w:p>
      <w:pPr>
        <w:spacing w:after="80"/>
      </w:pPr>
      <w:r>
        <w:rPr>
          <w:b w:val="0"/>
          <w:i w:val="0"/>
        </w:rPr>
        <w:t>Trọng tâm của người chuyển đổi mãi mãi này thể hiện rõ nhất ở cách họ dành thời gian thực sự cho các câu hỏi về việc áp dụng và mở rộng quy mô. Đúng vậy, họ đến các cuộc họp "vui vẻ" để phát triển chiến lược hoặc trình diễn một sản phẩm mới.</w:t>
      </w:r>
    </w:p>
    <w:p>
      <w:pPr>
        <w:spacing w:after="80"/>
      </w:pPr>
      <w:r>
        <w:rPr>
          <w:b w:val="0"/>
          <w:i w:val="0"/>
        </w:rPr>
        <w:t>Nhưng họ cũng có mặt ở những cuộc họp xem xét các phụ thuộc thượng nguồn và hạ nguồn của một sáng kiến và giải quyết các vấn đề tương ứng.</w:t>
      </w:r>
    </w:p>
    <w:p>
      <w:pPr>
        <w:spacing w:after="80"/>
      </w:pPr>
      <w:r>
        <w:rPr>
          <w:b w:val="0"/>
          <w:i w:val="0"/>
        </w:rPr>
        <w:t>Và khi quá trình chuyển đổi tiến triển, những nhà lãnh đạo được tái cấu trúc không ngừng thúc đẩy để phát triển lộ trình nhằm mang lại nhiều tác động hơn. Thực tế, họ coi mình là chủ sở hữu của lộ trình đó. Không có trọng tâm đó, các cuộc chuyển đổi Công nghệ &amp; AI sẽ chậm lại và đình trệ.</w:t>
      </w:r>
    </w:p>
    <w:p>
      <w:pPr>
        <w:jc w:val="center"/>
      </w:pPr>
      <w:r>
        <w:drawing>
          <wp:inline xmlns:a="http://schemas.openxmlformats.org/drawingml/2006/main" xmlns:pic="http://schemas.openxmlformats.org/drawingml/2006/picture">
            <wp:extent cx="1905000" cy="104775"/>
            <wp:docPr id="14" name="Picture 14"/>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Hãy lấy một tờ giấy. Viết ra bốn phẩm chất lãnh đạo mà chúng ta vừa đề cập ở trên và suy ngẫm xem những nhà lãnh đạo nào trong công ty bạn thể hiện chúng. Sau đó đánh giá chính bản thân bạn, và hãy có chủ đích trong việc định hình kế hoạch phát triển cá nhân của mình.</w:t>
      </w:r>
    </w:p>
    <w:p>
      <w:pPr>
        <w:pStyle w:val="Heading2"/>
      </w:pPr>
      <w:r>
        <w:rPr>
          <w:rFonts w:ascii="Calibri" w:hAnsi="Calibri"/>
          <w:b/>
          <w:i w:val="0"/>
          <w:sz w:val="32"/>
        </w:rPr>
        <w:t>Ghi chú</w:t>
      </w:r>
    </w:p>
    <w:p>
      <w:pPr>
        <w:spacing w:after="80"/>
        <w:ind w:left="360"/>
      </w:pPr>
      <w:r>
        <w:t xml:space="preserve">1. </w:t>
      </w:r>
      <w:r>
        <w:rPr>
          <w:b w:val="0"/>
          <w:i w:val="0"/>
        </w:rPr>
        <w:t xml:space="preserve">1   Weill, Woerner, và Shah, "Does your C-suite have enough digital smarts?" </w:t>
      </w:r>
      <w:r>
        <w:rPr>
          <w:b w:val="0"/>
          <w:i/>
        </w:rPr>
        <w:t>MIT Sloan Management Review</w:t>
      </w:r>
      <w:r>
        <w:rPr>
          <w:b w:val="0"/>
          <w:i w:val="0"/>
        </w:rPr>
        <w:t>, ngày 3 tháng 3 năm 2011; nhóm của Weill định nghĩa sự am hiểu kỹ thuật số (digital savvy) là có "sự hiểu biết, được phát triển qua kinh nghiệm và giáo dục, về tác động mà các công nghệ mới nổi sẽ có đối với sự thành công của một doanh nghiệp trong thập kỷ tới."</w:t>
      </w:r>
    </w:p>
    <w:p>
      <w:pPr>
        <w:pStyle w:val="Heading2"/>
      </w:pPr>
      <w:r>
        <w:rPr>
          <w:rFonts w:ascii="Calibri" w:hAnsi="Calibri"/>
          <w:b/>
          <w:i/>
          <w:sz w:val="32"/>
        </w:rPr>
        <w:t>"Một bộ phim hay là khi giá của bữa tối, vé vào rạp và tiền trông trẻ đều đáng đồng tiền."</w:t>
      </w:r>
    </w:p>
    <w:p>
      <w:pPr>
        <w:spacing w:after="80"/>
      </w:pPr>
      <w:r>
        <w:rPr>
          <w:b/>
          <w:i w:val="0"/>
        </w:rPr>
        <w:t>— Alfred Hitchcock</w:t>
      </w:r>
    </w:p>
    <w:p>
      <w:pPr>
        <w:pStyle w:val="Heading1"/>
      </w:pPr>
      <w:r>
        <w:rPr>
          <w:rFonts w:ascii="Calibri" w:hAnsi="Calibri"/>
          <w:b/>
          <w:i w:val="0"/>
          <w:sz w:val="40"/>
        </w:rPr>
        <w:t>CHƯƠNG 2</w:t>
      </w:r>
      <w:r>
        <w:rPr>
          <w:rFonts w:ascii="Calibri" w:hAnsi="Calibri"/>
          <w:b/>
          <w:i w:val="0"/>
          <w:sz w:val="40"/>
        </w:rPr>
      </w:r>
      <w:r>
        <w:rPr>
          <w:rFonts w:ascii="Calibri" w:hAnsi="Calibri"/>
          <w:b/>
          <w:i w:val="0"/>
          <w:sz w:val="40"/>
        </w:rPr>
        <w:t>Kinh tế học của các cuộc chuyển đổi Công nghệ &amp; AI</w:t>
      </w:r>
    </w:p>
    <w:p>
      <w:pPr>
        <w:spacing w:after="80"/>
      </w:pPr>
      <w:r>
        <w:rPr>
          <w:b w:val="0"/>
          <w:i w:val="0"/>
        </w:rPr>
        <w:t>Hãy lấy câu chuyện của hai hãng sản xuất ô tô toàn cầu (OEM). Quá trình chuyển đổi Công nghệ &amp; AI của Công ty A đã mang lại mức cải thiện lợi nhuận ròng hơn 20% trong ba năm, trong khi Công ty B chỉ đạt 1–2% trong cùng khung thời gian đó. Cả hai công ty đều hài lòng với kế hoạch của mình.</w:t>
      </w:r>
    </w:p>
    <w:p>
      <w:pPr>
        <w:spacing w:after="80"/>
      </w:pPr>
      <w:r>
        <w:rPr>
          <w:b w:val="0"/>
          <w:i w:val="0"/>
        </w:rPr>
        <w:t>Vậy công ty nào thực sự đang chuyển đổi?</w:t>
      </w:r>
    </w:p>
    <w:p>
      <w:pPr>
        <w:spacing w:after="80"/>
      </w:pPr>
      <w:r>
        <w:rPr>
          <w:b w:val="0"/>
          <w:i w:val="0"/>
        </w:rPr>
        <w:t>Đó là câu hỏi mà chúng tôi gọi là "câu hỏi dễ như ăn kẹo" vì câu trả lời quá rõ ràng. Nhưng tình huống này làm nổi bật một thách thức cốt lõi khi theo đuổi quá trình chuyển đổi Công nghệ &amp; AI: xác định điều gì là khả thi trong ba năm tới và liệu nỗ lực đó có đáng hay không. Điều này cực kỳ quan trọng vì một vài lý do:</w:t>
      </w:r>
    </w:p>
    <w:p>
      <w:pPr>
        <w:spacing w:after="80"/>
        <w:ind w:left="360"/>
      </w:pPr>
      <w:r>
        <w:t xml:space="preserve">• </w:t>
      </w:r>
      <w:r>
        <w:rPr>
          <w:b/>
          <w:i w:val="0"/>
        </w:rPr>
        <w:t>Không có niềm tin, không có cam kết.</w:t>
      </w:r>
      <w:r>
        <w:rPr>
          <w:b w:val="0"/>
          <w:i w:val="0"/>
        </w:rPr>
        <w:t xml:space="preserve"> Ngày càng có nhiều sự hoài nghi - và điều này nhìn chung là lành mạnh - về tiềm năng của trí tuệ nhân tạo trong các doanh nghiệp. Nếu không tin rằng có giá trị ý nghĩa và khả thi đang bị đặt cược, sẽ không có niềm tin vào giá trị của AI. Và khi không có niềm tin, cam kết thay đổi sẽ dần dần tan biến.</w:t>
      </w:r>
    </w:p>
    <w:p>
      <w:pPr>
        <w:spacing w:after="80"/>
        <w:ind w:left="360"/>
      </w:pPr>
      <w:r>
        <w:t xml:space="preserve">• </w:t>
      </w:r>
      <w:r>
        <w:rPr>
          <w:b/>
          <w:i w:val="0"/>
        </w:rPr>
        <w:t>Không có hoàn vốn, không có đầu tư.</w:t>
      </w:r>
      <w:r>
        <w:rPr>
          <w:b w:val="0"/>
          <w:i w:val="0"/>
        </w:rPr>
        <w:t xml:space="preserve"> Dù quá trình chuyển đổi sẽ không hoàn tất trong ba năm, nhưng tốt hơn hết nó phải mang lại kết quả ý nghĩa trong khung thời gian đó. Thật khó để bất kỳ ban lãnh đạo nào duy trì nhiều năm đầu tư ở mức cao mà không có kết quả.</w:t>
      </w:r>
    </w:p>
    <w:p>
      <w:pPr>
        <w:spacing w:after="80"/>
        <w:ind w:left="360"/>
      </w:pPr>
      <w:r>
        <w:t xml:space="preserve">• </w:t>
      </w:r>
      <w:r>
        <w:rPr>
          <w:b/>
          <w:i w:val="0"/>
        </w:rPr>
        <w:t>Không có bài toán kinh doanh, không có sự thống nhất.</w:t>
      </w:r>
      <w:r>
        <w:rPr>
          <w:b w:val="0"/>
          <w:i w:val="0"/>
        </w:rPr>
        <w:t xml:space="preserve"> Việc định lượng và trình bày rõ giá trị trong một bài toán kinh doanh (business case) - cùng những đánh đổi cần thiết - giúp các nhà lãnh đạo thống nhất về nơi nên đầu tư và ai phải chịu trách nhiệm. Nếu không có điều này, công ty sẽ bắt đầu đầu tư vào quá nhiều chỗ mà không có đủ trọng số và sự đồng thuận của ban lãnh đạo đằng sau bất cứ điều gì.</w:t>
      </w:r>
    </w:p>
    <w:p>
      <w:pPr>
        <w:spacing w:after="80"/>
      </w:pPr>
      <w:r>
        <w:rPr>
          <w:b w:val="0"/>
          <w:i w:val="0"/>
        </w:rPr>
        <w:t>Kinh nghiệm và phân tích của chúng tôi cho thấy phần lớn các công ty đang nhận được lợi nhuận không mấy ấn tượng từ các khoản đầu tư AI của họ. Phép toán này rất nghiệt ngã và nó nhấn mạnh sự hoài nghi mà nhiều hội đồng quản trị và đội ngũ lãnh đạo cấp cao có khi phải đưa ra mức đầu tư cần thiết cho các quá trình chuyển đổi Công nghệ &amp; AI thành công.</w:t>
      </w:r>
    </w:p>
    <w:p>
      <w:pPr>
        <w:spacing w:after="80"/>
      </w:pPr>
      <w:r>
        <w:rPr>
          <w:b w:val="0"/>
          <w:i w:val="0"/>
        </w:rPr>
        <w:t>Tuy nhiên, một số ít công ty đã chứng minh rằng điều đó là đáng giá. Chúng tôi đã nghiên cứu sâu 20 công ty trong số đó để làm rõ những chi tiết cụ thể về thành công kinh tế trông như thế nào và điều gì thúc đẩy nó. Chúng tôi đã đi sâu chi tiết với bốn trong số đó - Toyota Motor North America, Freeport-McMoRan, LATAM Airlines và DBS Bank - như các nghiên cứu tình huống trong Mục Bảy, và đã đưa nhiều công ty còn lại vào làm ví dụ tình huống xuyên suốt cuốn sách.</w:t>
      </w:r>
    </w:p>
    <w:p>
      <w:pPr>
        <w:spacing w:after="80"/>
      </w:pPr>
      <w:r>
        <w:rPr>
          <w:b w:val="0"/>
          <w:i w:val="0"/>
        </w:rPr>
        <w:t>Với mỗi công ty trong số này, chúng tôi đã xem xét lộ trình chuyển đổi và kết quả tài chính của họ. Chúng tôi cũng phỏng vấn một số giám đốc điều hành được chọn để thu thập thêm chi tiết và hiểu biết. Phân tích này đã giúp chúng tôi trả lời sáu câu hỏi quan trọng mà chúng tôi thường được hỏi về khía cạnh kinh tế của các quá trình chuyển đổi Công nghệ &amp; AI (thành công):</w:t>
      </w:r>
    </w:p>
    <w:p>
      <w:pPr>
        <w:pStyle w:val="Heading2"/>
      </w:pPr>
      <w:r>
        <w:rPr>
          <w:rFonts w:ascii="Calibri" w:hAnsi="Calibri"/>
          <w:b/>
          <w:i w:val="0"/>
          <w:sz w:val="32"/>
        </w:rPr>
        <w:t>Liệu một quá trình chuyển đổi Công nghệ &amp; AI có thể cải thiện đáng kể lợi nhuận ròng của tôi không?</w:t>
      </w:r>
    </w:p>
    <w:p>
      <w:pPr>
        <w:spacing w:after="80"/>
      </w:pPr>
      <w:r>
        <w:rPr>
          <w:b w:val="0"/>
          <w:i w:val="0"/>
        </w:rPr>
        <w:t>Có chứ! Chúng tôi đã xem xét mức EBITDA ở trạng thái ổn định (steady state) mà các quá trình chuyển đổi này đạt được sau ba năm, tính theo tỷ lệ phần trăm so với EBITDA của công ty. Nếu quá trình chuyển đổi tập trung vào một bộ phận hoặc đơn vị kinh doanh cụ thể, chúng tôi tập trung phân tích ở cấp độ đó (Biểu đồ 2.1).</w:t>
      </w:r>
    </w:p>
    <w:p>
      <w:pPr>
        <w:spacing w:after="80"/>
      </w:pPr>
      <w:r>
        <w:rPr>
          <w:b/>
          <w:i w:val="0"/>
        </w:rPr>
        <w:t>Các công ty trong mẫu của chúng tôi đã cải thiện EBITDA của họ từ 10–30%, với mức trung bình là 20%.</w:t>
      </w:r>
    </w:p>
    <w:p>
      <w:pPr>
        <w:jc w:val="center"/>
      </w:pPr>
      <w:r>
        <w:drawing>
          <wp:inline xmlns:a="http://schemas.openxmlformats.org/drawingml/2006/main" xmlns:pic="http://schemas.openxmlformats.org/drawingml/2006/picture">
            <wp:extent cx="5486400" cy="6781022"/>
            <wp:docPr id="15" name="Picture 15"/>
            <wp:cNvGraphicFramePr>
              <a:graphicFrameLocks noChangeAspect="1"/>
            </wp:cNvGraphicFramePr>
            <a:graphic>
              <a:graphicData uri="http://schemas.openxmlformats.org/drawingml/2006/picture">
                <pic:pic>
                  <pic:nvPicPr>
                    <pic:cNvPr id="0" name="c02ex001.png"/>
                    <pic:cNvPicPr/>
                  </pic:nvPicPr>
                  <pic:blipFill>
                    <a:blip r:embed="rId21"/>
                    <a:stretch>
                      <a:fillRect/>
                    </a:stretch>
                  </pic:blipFill>
                  <pic:spPr>
                    <a:xfrm>
                      <a:off x="0" y="0"/>
                      <a:ext cx="5486400" cy="6781022"/>
                    </a:xfrm>
                    <a:prstGeom prst="rect"/>
                  </pic:spPr>
                </pic:pic>
              </a:graphicData>
            </a:graphic>
          </wp:inline>
        </w:drawing>
      </w:r>
    </w:p>
    <w:p>
      <w:pPr>
        <w:spacing w:after="160"/>
        <w:jc w:val="center"/>
      </w:pPr>
      <w:r>
        <w:rPr>
          <w:rFonts w:ascii="Calibri" w:hAnsi="Calibri"/>
          <w:b w:val="0"/>
          <w:i/>
          <w:sz w:val="19"/>
        </w:rPr>
        <w:t>BIỂU ĐỒ 2.1</w:t>
      </w:r>
    </w:p>
    <w:p>
      <w:pPr>
        <w:pStyle w:val="Heading2"/>
      </w:pPr>
      <w:r>
        <w:rPr>
          <w:rFonts w:ascii="Calibri" w:hAnsi="Calibri"/>
          <w:b/>
          <w:i w:val="0"/>
          <w:sz w:val="32"/>
        </w:rPr>
        <w:t>Thành phần của những lợi ích này là gì?</w:t>
      </w:r>
    </w:p>
    <w:p>
      <w:pPr>
        <w:spacing w:after="80"/>
      </w:pPr>
      <w:r>
        <w:rPr>
          <w:b/>
          <w:i w:val="0"/>
        </w:rPr>
        <w:t>Hai phần ba số công ty đạt được mức tác động này khi chỉ tập trung vào ba lĩnh vực kinh doanh trở xuống.</w:t>
      </w:r>
    </w:p>
    <w:p>
      <w:pPr>
        <w:spacing w:after="80"/>
      </w:pPr>
      <w:r>
        <w:rPr>
          <w:b w:val="0"/>
          <w:i w:val="0"/>
        </w:rPr>
        <w:t>Phát hiện này cực kỳ quan trọng. Tập trung vào những lĩnh vực có tiềm năng nhất và đầu tư vào chúng sẽ mang lại kết quả (một lĩnh vực là một quy trình kinh doanh hoàn chỉnh từ đầu đến cuối - hãy đọc thêm về chúng trong Chương 3).</w:t>
      </w:r>
    </w:p>
    <w:p>
      <w:pPr>
        <w:spacing w:after="80"/>
      </w:pPr>
      <w:r>
        <w:rPr>
          <w:b w:val="0"/>
          <w:i w:val="0"/>
        </w:rPr>
        <w:t>Lấy ví dụ về Toyota. Việc họ tập trung vào chuỗi cung ứng đầu-cuối (end-to-end) đã dẫn dắt họ phát triển các mô hình AI để tối ưu hóa nhiều quyết định kinh doanh có liên quan mật thiết với nhau, từ dự báo nhu cầu đến quản lý tồn kho cho tới các chương trình khuyến mãi, giúp cải thiện 30% lợi nhuận (đọc thêm về trường hợp của họ trong Chương 37).</w:t>
      </w:r>
    </w:p>
    <w:p>
      <w:pPr>
        <w:spacing w:after="80"/>
      </w:pPr>
      <w:r>
        <w:rPr>
          <w:b/>
          <w:i/>
        </w:rPr>
        <w:t>Những công ty hàng đầu mà chúng tôi phân tích chưa bao giờ tiếp cận các chuyển đổi lĩnh vực này bằng cách chỉ đẩy một đòn bẩy công nghệ duy nhất. Họ bắt đầu bằng việc xác định vấn đề cần giải quyết, và từ đó họ thiết kế các giải pháp rồi chọn ra những công nghệ nền tảng tốt nhất</w:t>
      </w:r>
      <w:r>
        <w:rPr>
          <w:b/>
          <w:i w:val="0"/>
        </w:rPr>
        <w:t>.</w:t>
      </w:r>
    </w:p>
    <w:p>
      <w:pPr>
        <w:spacing w:after="80"/>
      </w:pPr>
      <w:r>
        <w:rPr>
          <w:b w:val="0"/>
          <w:i w:val="0"/>
        </w:rPr>
        <w:t>Toyota đã sử dụng các cỗ máy học máy (ML - machine learning) để tối ưu hóa việc dự báo. Họ cũng dùng các tác nhân AI (AI agent) được nhúng vào những quy trình công việc riêng biệt để đơn giản hóa và tăng cường công việc của các nhà hoạch định. Và họ dùng các quy trình công việc số (digital workflow) để mang lại sự minh bạch cho chuỗi cung ứng đối với mạng lưới đại lý và khách hàng của mình.</w:t>
      </w:r>
    </w:p>
    <w:p>
      <w:pPr>
        <w:pStyle w:val="Heading2"/>
      </w:pPr>
      <w:r>
        <w:rPr>
          <w:rFonts w:ascii="Calibri" w:hAnsi="Calibri"/>
          <w:b/>
          <w:i w:val="0"/>
          <w:sz w:val="32"/>
        </w:rPr>
        <w:t>Mất bao lâu để tạo ra tiền mặt gia tăng (cash accretive)?</w:t>
      </w:r>
    </w:p>
    <w:p>
      <w:pPr>
        <w:spacing w:after="80"/>
      </w:pPr>
      <w:r>
        <w:rPr>
          <w:b/>
          <w:i w:val="0"/>
        </w:rPr>
        <w:t>Các công ty mà chúng tôi phân tích đạt dòng tiền dương trong vòng một đến hai năm, tính trung bình.</w:t>
      </w:r>
    </w:p>
    <w:p>
      <w:pPr>
        <w:spacing w:after="80"/>
      </w:pPr>
      <w:r>
        <w:rPr>
          <w:b w:val="0"/>
          <w:i w:val="0"/>
        </w:rPr>
        <w:t>Những công ty đạt điểm hòa vốn tiền mặt nhanh hơn thì tập trung vào một hoặc một vài lĩnh vực có tiềm năng cao. Những công ty có thời gian hoàn vốn dài hơn thì theo đuổi cách tiếp cận trên toàn doanh nghiệp nhiều hơn.</w:t>
      </w:r>
    </w:p>
    <w:p>
      <w:pPr>
        <w:spacing w:after="80"/>
      </w:pPr>
      <w:r>
        <w:rPr>
          <w:b w:val="0"/>
          <w:i w:val="0"/>
        </w:rPr>
        <w:t>Lấy ví dụ về Freeport-McMoRan, công ty đã áp dụng AI vào một điểm đòn bẩy kinh tế nổi tiếng trong hoạt động khai mỏ: cải thiện sản lượng và thông lượng (throughput) tại các nhà máy tuyển quặng đồng của họ. Thời gian hoàn vốn cho khoản đầu tư ban đầu của họ là dưới 12 tháng. Điều này đã cho công ty khai mỏ này sự tự tin và năng lực đầu tư để tiếp tục đầu tư vào quá trình chuyển đổi của mình.</w:t>
      </w:r>
    </w:p>
    <w:p>
      <w:pPr>
        <w:spacing w:after="80"/>
      </w:pPr>
      <w:r>
        <w:rPr>
          <w:b w:val="0"/>
          <w:i w:val="0"/>
        </w:rPr>
        <w:t>Những công ty có thời gian hoàn vốn nhanh hơn thì xây dựng các năng lực về công nghệ, dữ liệu và nhân tài phù hợp với mục đích (fit-for-purpose). Nói cách khác, họ không cần toàn bộ dữ liệu của mình phải sẵn sàng cho AI, họ chỉ cần dữ liệu để cải thiện sản lượng và thông lượng, như trong trường hợp của Freeport-McMoRan. Một lộ trình được suy nghĩ kỹ lưỡng sẽ sắp xếp trình tự các sáng kiến để thu về giá trị sớm, xác định phạm vi công việc để đảm bảo các năng lực sẵn có khi cần, và nhận diện các phụ thuộc để giảm thiểu tác động tiềm tàng của chúng.</w:t>
      </w:r>
    </w:p>
    <w:p>
      <w:pPr>
        <w:spacing w:after="80"/>
      </w:pPr>
      <w:r>
        <w:rPr>
          <w:b w:val="0"/>
          <w:i w:val="0"/>
        </w:rPr>
        <w:t>Khác với những khoản đầu tư ban đầu đáng kể cần có khi triển khai một hệ thống ERP hay CRM mới, các khoản đầu tư trong một chuyển đổi Công nghệ &amp; AI được dẫn dắt bởi các cột mốc tác động. Nói cách khác, thay vì viết một tấm séc lớn, bạn sẽ viết nhiều tấm séc nhỏ hơn khi quá trình chuyển đổi của bạn tiến triển. Cơ chế phân giai đoạn (stage-gating) này giúp giảm rủi ro bằng cách gắn kết các khoản đầu tư với kết quả.</w:t>
      </w:r>
    </w:p>
    <w:p>
      <w:pPr>
        <w:pStyle w:val="Heading2"/>
      </w:pPr>
      <w:r>
        <w:rPr>
          <w:rFonts w:ascii="Calibri" w:hAnsi="Calibri"/>
          <w:b/>
          <w:i w:val="0"/>
          <w:sz w:val="32"/>
        </w:rPr>
        <w:t>Lợi tức đầu tư (return on investment) là bao nhiêu?</w:t>
      </w:r>
    </w:p>
    <w:p>
      <w:pPr>
        <w:spacing w:after="80"/>
      </w:pPr>
      <w:r>
        <w:rPr>
          <w:b w:val="0"/>
          <w:i w:val="0"/>
        </w:rPr>
        <w:t>Chúng tôi đo lường lợi tức tiền mặt trên tiền mặt (cash-on-cash return), được tính bằng EBITDA gia tăng hằng năm chia cho các khoản đầu tư tiền mặt một lần.</w:t>
      </w:r>
    </w:p>
    <w:p>
      <w:pPr>
        <w:spacing w:after="80"/>
      </w:pPr>
      <w:r>
        <w:rPr>
          <w:b/>
          <w:i w:val="0"/>
        </w:rPr>
        <w:t>Tính trung bình, lợi tức tiền mặt trên tiền mặt là 3x. Điều này có nghĩa là trung bình cứ mỗi $1 đầu tư, các công ty này thu về $3 EBITDA gia tăng.</w:t>
      </w:r>
    </w:p>
    <w:p>
      <w:pPr>
        <w:pStyle w:val="Heading2"/>
      </w:pPr>
      <w:r>
        <w:rPr>
          <w:rFonts w:ascii="Calibri" w:hAnsi="Calibri"/>
          <w:b/>
          <w:i w:val="0"/>
          <w:sz w:val="32"/>
        </w:rPr>
        <w:t>Quá trình chuyển đổi sẽ mất bao lâu?</w:t>
      </w:r>
    </w:p>
    <w:p>
      <w:pPr>
        <w:spacing w:after="80"/>
      </w:pPr>
      <w:r>
        <w:rPr>
          <w:b/>
          <w:i w:val="0"/>
        </w:rPr>
        <w:t>Đây là một câu hỏi đánh đố. Không có "điểm kết thúc" nào cả.</w:t>
      </w:r>
    </w:p>
    <w:p>
      <w:pPr>
        <w:spacing w:after="80"/>
      </w:pPr>
      <w:r>
        <w:rPr>
          <w:b w:val="0"/>
          <w:i w:val="0"/>
        </w:rPr>
        <w:t>Tất cả những công ty thành công mà chúng tôi phân tích vẫn đang trên hành trình cải thiện hoạt động kinh doanh của mình bằng công nghệ. Dù vậy, có một thời điểm đánh dấu sự chuyển dịch từ "chương trình chuyển đổi" sang "hoạt động kinh doanh thường nhật".</w:t>
      </w:r>
    </w:p>
    <w:p>
      <w:pPr>
        <w:spacing w:after="80"/>
      </w:pPr>
      <w:r>
        <w:rPr>
          <w:b w:val="0"/>
          <w:i w:val="0"/>
        </w:rPr>
        <w:t>Vào thời điểm đó, việc cải thiện hoạt động kinh doanh của bạn bằng công nghệ trở thành một phần của việc điều hành công việc kinh doanh hằng ngày.</w:t>
      </w:r>
    </w:p>
    <w:p>
      <w:pPr>
        <w:spacing w:after="80"/>
      </w:pPr>
      <w:r>
        <w:rPr>
          <w:b/>
          <w:i/>
        </w:rPr>
        <w:t>Quá trình chuyển đổi thường diễn ra trong vòng hai đến bốn năm. Vào thời điểm đó, nhân tài, cách làm việc, dữ liệu, công nghệ và văn hóa đã đủ chín muồi</w:t>
      </w:r>
      <w:r>
        <w:rPr>
          <w:b/>
          <w:i w:val="0"/>
        </w:rPr>
        <w:t>.</w:t>
      </w:r>
    </w:p>
    <w:p>
      <w:pPr>
        <w:spacing w:after="80"/>
      </w:pPr>
      <w:r>
        <w:rPr>
          <w:b w:val="0"/>
          <w:i w:val="0"/>
        </w:rPr>
        <w:t>Sau đó sẽ có những đợt thúc đẩy chuyển đổi (hay làn sóng) liên tục khi các cơ hội và ưu tiên mới xuất hiện. Trong trường hợp của DBS, họ đã trải qua một cuộc chuyển đổi số lớn, tiếp theo là một đợt thúc đẩy về dữ liệu, một đợt thúc đẩy về AI, và gần đây hơn là một đợt thúc đẩy GenAI, tạo ra những làn sóng chuyển đổi nối tiếp và xây dựng lên nhau.</w:t>
      </w:r>
    </w:p>
    <w:p>
      <w:pPr>
        <w:spacing w:after="80"/>
      </w:pPr>
      <w:r>
        <w:rPr>
          <w:b w:val="0"/>
          <w:i w:val="0"/>
        </w:rPr>
        <w:t>Các nhà lãnh đạo công nghệ &amp; AI mãi mãi là những người chuyển đổi!</w:t>
      </w:r>
    </w:p>
    <w:p>
      <w:pPr>
        <w:jc w:val="center"/>
      </w:pPr>
      <w:r>
        <w:drawing>
          <wp:inline xmlns:a="http://schemas.openxmlformats.org/drawingml/2006/main" xmlns:pic="http://schemas.openxmlformats.org/drawingml/2006/picture">
            <wp:extent cx="571500" cy="561975"/>
            <wp:docPr id="16" name="Picture 16"/>
            <wp:cNvGraphicFramePr>
              <a:graphicFrameLocks noChangeAspect="1"/>
            </wp:cNvGraphicFramePr>
            <a:graphic>
              <a:graphicData uri="http://schemas.openxmlformats.org/drawingml/2006/picture">
                <pic:pic>
                  <pic:nvPicPr>
                    <pic:cNvPr id="0" name="RULE_OF_THUMB_darkblue.png"/>
                    <pic:cNvPicPr/>
                  </pic:nvPicPr>
                  <pic:blipFill>
                    <a:blip r:embed="rId18"/>
                    <a:stretch>
                      <a:fillRect/>
                    </a:stretch>
                  </pic:blipFill>
                  <pic:spPr>
                    <a:xfrm>
                      <a:off x="0" y="0"/>
                      <a:ext cx="571500" cy="5619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Bức chân dung kinh tế của những nhà chuyển đổi công nghệ &amp; AI thành công:</w:t>
      </w:r>
    </w:p>
    <w:p>
      <w:pPr>
        <w:spacing w:after="80"/>
        <w:ind w:left="360"/>
      </w:pPr>
      <w:r>
        <w:t xml:space="preserve">1. </w:t>
      </w:r>
      <w:r>
        <w:rPr>
          <w:b/>
          <w:i w:val="0"/>
        </w:rPr>
        <w:t>Cải thiện EBITDA trung bình 20%</w:t>
      </w:r>
    </w:p>
    <w:p>
      <w:pPr>
        <w:spacing w:after="80"/>
        <w:ind w:left="360"/>
      </w:pPr>
      <w:r>
        <w:t xml:space="preserve">2. </w:t>
      </w:r>
      <w:r>
        <w:rPr>
          <w:b/>
          <w:i w:val="0"/>
        </w:rPr>
        <w:t>Ba lĩnh vực kinh doanh hoặc ít hơn tạo ra phần lớn tác động</w:t>
      </w:r>
    </w:p>
    <w:p>
      <w:pPr>
        <w:spacing w:after="80"/>
        <w:ind w:left="360"/>
      </w:pPr>
      <w:r>
        <w:t xml:space="preserve">3. </w:t>
      </w:r>
      <w:r>
        <w:rPr>
          <w:b/>
          <w:i w:val="0"/>
        </w:rPr>
        <w:t>Một đến hai năm để đạt dòng tiền dương</w:t>
      </w:r>
    </w:p>
    <w:p>
      <w:pPr>
        <w:spacing w:after="80"/>
        <w:ind w:left="360"/>
      </w:pPr>
      <w:r>
        <w:t xml:space="preserve">4. </w:t>
      </w:r>
      <w:r>
        <w:rPr>
          <w:b/>
          <w:i w:val="0"/>
        </w:rPr>
        <w:t>3 đô-la EBITDA tăng thêm cho mỗi 1 đô-la đầu tư một lần</w:t>
      </w:r>
    </w:p>
    <w:p>
      <w:pPr>
        <w:spacing w:after="80"/>
        <w:ind w:left="360"/>
      </w:pPr>
      <w:r>
        <w:t xml:space="preserve">5. </w:t>
      </w:r>
      <w:r>
        <w:rPr>
          <w:b/>
          <w:i w:val="0"/>
        </w:rPr>
        <w:t>Các cuộc chuyển đổi thường kéo dài hai đến bốn năm trước khi đạt được nhịp độ “kinh doanh như thường lệ”, kèm theo những “đợt” chuyển đổi bổ sung</w:t>
      </w:r>
    </w:p>
    <w:p>
      <w:pPr>
        <w:spacing w:after="80"/>
        <w:ind w:left="360"/>
      </w:pPr>
      <w:r>
        <w:t xml:space="preserve">6. </w:t>
      </w:r>
      <w:r>
        <w:rPr>
          <w:b/>
          <w:i w:val="0"/>
        </w:rPr>
        <w:t>Các nhà lãnh đạo công nghệ &amp; AI có hiệu quả tài chính vượt trội so với ngành của họ</w:t>
      </w:r>
    </w:p>
    <w:p>
      <w:pPr>
        <w:pStyle w:val="Heading2"/>
      </w:pPr>
      <w:r>
        <w:rPr>
          <w:rFonts w:ascii="Calibri" w:hAnsi="Calibri"/>
          <w:b/>
          <w:i w:val="0"/>
          <w:sz w:val="32"/>
        </w:rPr>
        <w:t>Liệu các nhà lãnh đạo công nghệ &amp; AI có vượt trội so với các đối thủ cùng ngành không?</w:t>
      </w:r>
    </w:p>
    <w:p>
      <w:pPr>
        <w:spacing w:after="80"/>
      </w:pPr>
      <w:r>
        <w:rPr>
          <w:b w:val="0"/>
          <w:i w:val="0"/>
        </w:rPr>
        <w:t>Nhìn chung thì có. Nhưng điều này luôn khó chứng minh bằng thực nghiệm vì có rất nhiều yếu tố có thể tác động đến hiệu quả của công ty, chẳng hạn như nằm trong những phân khúc tăng trưởng cao đúng thời điểm của một ngành, thực hiện một thương vụ mua lại lớn, hay trải qua một cuộc khủng hoảng danh tiếng.</w:t>
      </w:r>
    </w:p>
    <w:p>
      <w:pPr>
        <w:spacing w:after="80"/>
      </w:pPr>
      <w:r>
        <w:rPr>
          <w:b/>
          <w:i/>
        </w:rPr>
        <w:t>Chúng tôi đã tiến hành nghiên cứu trên diện rộng theo từng ngành, tương quan giữa mức độ trưởng thành công nghệ &amp; AI với tổng lợi nhuận cổ đông (TSR) trong khoảng thời gian năm năm. Chúng tôi thấy mối tương quan mạnh mẽ ở nhiều ngành bao gồm ngân hàng, bảo hiểm, hàng tiêu dùng, năng lượng và vật liệu</w:t>
      </w:r>
      <w:r>
        <w:rPr>
          <w:b/>
          <w:i w:val="0"/>
        </w:rPr>
        <w:t>.</w:t>
      </w:r>
    </w:p>
    <w:p>
      <w:pPr>
        <w:spacing w:after="80"/>
      </w:pPr>
      <w:r>
        <w:rPr>
          <w:b w:val="0"/>
          <w:i w:val="0"/>
        </w:rPr>
        <w:t>Khi chúng tôi tiến hành phân tích chuyên sâu trong ngành ngân hàng, xem xét các KPI vận hành và các thực hành công nghệ &amp; AI bên dưới, chúng tôi phát hiện một hiệu ứng nhân quả mạnh mẽ (không chỉ là tương quan) giữa mức độ trưởng thành công nghệ &amp; AI và TSR (Hình 2.2).</w:t>
      </w:r>
    </w:p>
    <w:p>
      <w:pPr>
        <w:spacing w:after="80"/>
      </w:pPr>
      <w:r>
        <w:rPr>
          <w:b w:val="0"/>
          <w:i w:val="0"/>
        </w:rPr>
        <w:t>Kết quả đạt được bởi những nhà chuyển đổi thành công này thật đáng kinh ngạc. Mẫu nhỏ của chúng tôi tập trung cụ thể vào những trường hợp đã thành công, mang lại cho chúng tôi một bộ mẫu rõ ràng về việc điều tốt đẹp nên trông như thế nào.</w:t>
      </w:r>
    </w:p>
    <w:p>
      <w:pPr>
        <w:jc w:val="center"/>
      </w:pPr>
      <w:r>
        <w:drawing>
          <wp:inline xmlns:a="http://schemas.openxmlformats.org/drawingml/2006/main" xmlns:pic="http://schemas.openxmlformats.org/drawingml/2006/picture">
            <wp:extent cx="5486400" cy="3951534"/>
            <wp:docPr id="17" name="Picture 17"/>
            <wp:cNvGraphicFramePr>
              <a:graphicFrameLocks noChangeAspect="1"/>
            </wp:cNvGraphicFramePr>
            <a:graphic>
              <a:graphicData uri="http://schemas.openxmlformats.org/drawingml/2006/picture">
                <pic:pic>
                  <pic:nvPicPr>
                    <pic:cNvPr id="0" name="c02ex002.png"/>
                    <pic:cNvPicPr/>
                  </pic:nvPicPr>
                  <pic:blipFill>
                    <a:blip r:embed="rId22"/>
                    <a:stretch>
                      <a:fillRect/>
                    </a:stretch>
                  </pic:blipFill>
                  <pic:spPr>
                    <a:xfrm>
                      <a:off x="0" y="0"/>
                      <a:ext cx="5486400" cy="3951534"/>
                    </a:xfrm>
                    <a:prstGeom prst="rect"/>
                  </pic:spPr>
                </pic:pic>
              </a:graphicData>
            </a:graphic>
          </wp:inline>
        </w:drawing>
      </w:r>
    </w:p>
    <w:p>
      <w:pPr>
        <w:spacing w:after="160"/>
        <w:jc w:val="center"/>
      </w:pPr>
      <w:r>
        <w:rPr>
          <w:rFonts w:ascii="Calibri" w:hAnsi="Calibri"/>
          <w:b w:val="0"/>
          <w:i/>
          <w:sz w:val="19"/>
        </w:rPr>
        <w:t>PHỤ LỤC 2.2</w:t>
      </w:r>
    </w:p>
    <w:p>
      <w:pPr>
        <w:jc w:val="center"/>
      </w:pPr>
      <w:r>
        <w:drawing>
          <wp:inline xmlns:a="http://schemas.openxmlformats.org/drawingml/2006/main" xmlns:pic="http://schemas.openxmlformats.org/drawingml/2006/picture">
            <wp:extent cx="1905000" cy="104775"/>
            <wp:docPr id="18" name="Picture 18"/>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Với mỗi công ty thành công, có 10 hay 20 công ty khác không thành công. Việc chuyển đổi một công ty đã có chỗ đứng vững chắc không hề dễ dàng. Đó là lý do chúng tôi viết cuốn sách này.</w:t>
      </w:r>
    </w:p>
    <w:p>
      <w:pPr>
        <w:spacing w:after="80"/>
      </w:pPr>
      <w:r>
        <w:rPr>
          <w:b w:val="0"/>
          <w:i w:val="0"/>
        </w:rPr>
        <w:t>Không có phép màu nào cả. Những kết quả tài chính được mô tả trong chương này không thể xảy ra nếu thiếu sự tập trung chiến lược, những khoản đầu tư thông minh và thường không hề nhỏ, việc xây dựng năng lực tổ chức, và cam kết từ đội ngũ lãnh đạo cấp cao nhất.</w:t>
      </w:r>
    </w:p>
    <w:p>
      <w:pPr>
        <w:pStyle w:val="Heading2"/>
      </w:pPr>
      <w:r>
        <w:rPr>
          <w:rFonts w:ascii="Calibri" w:hAnsi="Calibri"/>
          <w:b/>
          <w:i w:val="0"/>
          <w:sz w:val="32"/>
        </w:rPr>
        <w:t>Ghi chú</w:t>
      </w:r>
    </w:p>
    <w:p>
      <w:pPr>
        <w:spacing w:after="80"/>
        <w:ind w:left="360"/>
      </w:pPr>
      <w:r>
        <w:t xml:space="preserve">1. </w:t>
      </w:r>
      <w:r>
        <w:rPr>
          <w:b w:val="0"/>
          <w:i w:val="0"/>
        </w:rPr>
        <w:t>1   Bryce Hall, Eric Lamarre, Rob Levin, Johannes-Tobias Lorenz, và Pamela Simon, "Rewired and running ahead: Digital and AI leaders are leaving the rest behind," McKinsey, ngày 12 tháng 1 năm 2024.</w:t>
      </w:r>
    </w:p>
    <w:p>
      <w:pPr>
        <w:spacing w:after="80"/>
        <w:ind w:left="360"/>
      </w:pPr>
      <w:r>
        <w:t xml:space="preserve">2. </w:t>
      </w:r>
      <w:r>
        <w:rPr>
          <w:b w:val="0"/>
          <w:i w:val="0"/>
        </w:rPr>
        <w:t xml:space="preserve">2   Lamarre và cộng sự, "The value of digital transformation," </w:t>
      </w:r>
      <w:r>
        <w:rPr>
          <w:b w:val="0"/>
          <w:i/>
        </w:rPr>
        <w:t>Harvard Business Review</w:t>
      </w:r>
      <w:r>
        <w:rPr>
          <w:b w:val="0"/>
          <w:i w:val="0"/>
        </w:rPr>
        <w:t>, ngày 31 tháng 7 năm 2023.</w:t>
      </w:r>
    </w:p>
    <w:p>
      <w:pPr>
        <w:pStyle w:val="Heading2"/>
      </w:pPr>
      <w:r>
        <w:rPr>
          <w:rFonts w:ascii="Calibri" w:hAnsi="Calibri"/>
          <w:b/>
          <w:i/>
          <w:sz w:val="32"/>
        </w:rPr>
        <w:t>"Hãy chọn những trận chiến đủ lớn để có ý nghĩa và đủ nhỏ để giành chiến thắng."</w:t>
      </w:r>
    </w:p>
    <w:p>
      <w:pPr>
        <w:spacing w:after="80"/>
      </w:pPr>
      <w:r>
        <w:rPr>
          <w:b/>
          <w:i w:val="0"/>
        </w:rPr>
        <w:t>— Jonathan Kozol</w:t>
      </w:r>
    </w:p>
    <w:p>
      <w:pPr>
        <w:pStyle w:val="Heading1"/>
      </w:pPr>
      <w:r>
        <w:rPr>
          <w:rFonts w:ascii="Calibri" w:hAnsi="Calibri"/>
          <w:b/>
          <w:i w:val="0"/>
          <w:sz w:val="40"/>
        </w:rPr>
        <w:t>CHƯƠNG 3</w:t>
      </w:r>
      <w:r>
        <w:rPr>
          <w:rFonts w:ascii="Calibri" w:hAnsi="Calibri"/>
          <w:b/>
          <w:i w:val="0"/>
          <w:sz w:val="40"/>
        </w:rPr>
      </w:r>
      <w:r>
        <w:rPr>
          <w:rFonts w:ascii="Calibri" w:hAnsi="Calibri"/>
          <w:b/>
          <w:i w:val="0"/>
          <w:sz w:val="40"/>
        </w:rPr>
        <w:t>Tập trung vào các lĩnh vực kinh doanh, không phải các trường hợp sử dụng</w:t>
      </w:r>
    </w:p>
    <w:p>
      <w:pPr>
        <w:spacing w:after="80"/>
      </w:pPr>
      <w:r>
        <w:rPr>
          <w:b w:val="0"/>
          <w:i w:val="0"/>
        </w:rPr>
        <w:t>Bạn sẽ không thể nâng cao giá trị ngôi nhà của mình chỉ bằng cách sơn lại phòng khách. Bạn cần phải làm một việc gì đó lớn lao hơn nhiều, chẳng hạn như cải tạo lại nhà bếp.</w:t>
      </w:r>
    </w:p>
    <w:p>
      <w:pPr>
        <w:spacing w:after="80"/>
      </w:pPr>
      <w:r>
        <w:rPr>
          <w:b w:val="0"/>
          <w:i w:val="0"/>
        </w:rPr>
        <w:t>Điều này cũng đúng với các công ty. Những giải pháp đơn lẻ hay các thử nghiệm riêng lẻ sẽ không tạo ra nhiều khác biệt cho lợi nhuận của bạn. Bạn cần phải làm một việc gì đó lớn lao hơn nhiều, chẳng hạn như một quy trình kinh doanh cốt lõi như R&amp;D, sản xuất, hay bán hàng, và chuyển đổi nó từ đầu đến cuối.</w:t>
      </w:r>
    </w:p>
    <w:p>
      <w:pPr>
        <w:spacing w:after="80"/>
      </w:pPr>
      <w:r>
        <w:rPr>
          <w:b/>
          <w:i/>
        </w:rPr>
        <w:t>Khi bạn chuyển đổi doanh nghiệp của mình bằng công nghệ và AI, đơn vị chuyển đổi là lĩnh vực, không phải các trường hợp sử dụng</w:t>
      </w:r>
      <w:r>
        <w:rPr>
          <w:b/>
          <w:i w:val="0"/>
        </w:rPr>
        <w:t>.</w:t>
      </w:r>
    </w:p>
    <w:p>
      <w:pPr>
        <w:spacing w:after="80"/>
      </w:pPr>
      <w:r>
        <w:rPr>
          <w:b w:val="0"/>
          <w:i w:val="0"/>
        </w:rPr>
        <w:t>Hầu hết các công ty chúng tôi nghiên cứu đều thu được phần lớn lợi ích từ một vài lĩnh vực được chuyển đổi sâu sắc. Tại Freeport-McMoRan, những lĩnh vực đó là năng suất sản xuất và thông lượng. Tại Toyota Motor North America, đó là chuỗi cung ứng. Tại LATAM Airlines, đó là trải nghiệm hành khách.</w:t>
      </w:r>
    </w:p>
    <w:p>
      <w:pPr>
        <w:spacing w:after="80"/>
      </w:pPr>
      <w:r>
        <w:rPr>
          <w:b w:val="0"/>
          <w:i w:val="0"/>
        </w:rPr>
        <w:t>Việc xác định đúng phạm vi của một cuộc chuyển đổi Công nghệ &amp; AI là điều căn bản cho sự thành công của nó. Trong nghiên cứu của chúng tôi về cách khắc phục những cuộc chuyển đổi Công nghệ &amp; AI đang gặp khó khăn, việc tái định vị phạm vi chuyển đổi vào một lĩnh vực được xác định rõ ràng là một trong những can thiệp thành công nhất.</w:t>
      </w:r>
    </w:p>
    <w:p>
      <w:pPr>
        <w:pStyle w:val="Heading2"/>
      </w:pPr>
      <w:r>
        <w:rPr>
          <w:rFonts w:ascii="Calibri" w:hAnsi="Calibri"/>
          <w:b/>
          <w:i w:val="0"/>
          <w:sz w:val="32"/>
        </w:rPr>
        <w:t>Lĩnh vực hay sản phẩm hay hành trình hay dòng giá trị?</w:t>
      </w:r>
    </w:p>
    <w:p>
      <w:pPr>
        <w:spacing w:after="80"/>
      </w:pPr>
      <w:r>
        <w:rPr>
          <w:b w:val="0"/>
          <w:i w:val="0"/>
        </w:rPr>
        <w:t>Các ngành khác nhau sử dụng những thuật ngữ khác nhau để mô tả một lĩnh vực. Các công ty phần mềm gọi chúng là "đơn vị sản phẩm," và chúng có thể bao gồm các sản phẩm như Excel hay PowerPoint. Các công ty dịch vụ tài chính thường gọi chúng là "hành trình khách hàng," có thể là những hoạt động như mở tài khoản hay thanh toán hóa đơn. Và các công ty công nghiệp gọi chúng là "dòng giá trị," có thể là một quy trình sản xuất.</w:t>
      </w:r>
    </w:p>
    <w:p>
      <w:pPr>
        <w:spacing w:after="80"/>
      </w:pPr>
      <w:r>
        <w:rPr>
          <w:b w:val="0"/>
          <w:i w:val="0"/>
        </w:rPr>
        <w:t>Thật khó hiểu, chúng tôi biết. Trong cuốn sách này, chúng ta sẽ dùng thuật ngữ "lĩnh vực" (domain) để bao quát tất cả và đại diện cho một quy trình đầu-cuối.</w:t>
      </w:r>
    </w:p>
    <w:p>
      <w:pPr>
        <w:pStyle w:val="Heading2"/>
      </w:pPr>
      <w:r>
        <w:rPr>
          <w:rFonts w:ascii="Calibri" w:hAnsi="Calibri"/>
          <w:b/>
          <w:i w:val="0"/>
          <w:sz w:val="32"/>
        </w:rPr>
        <w:t>Giá trị của phương pháp tiếp cận theo lĩnh vực</w:t>
      </w:r>
    </w:p>
    <w:p>
      <w:pPr>
        <w:spacing w:after="80"/>
      </w:pPr>
      <w:r>
        <w:rPr>
          <w:b w:val="0"/>
          <w:i w:val="0"/>
        </w:rPr>
        <w:t>Một lĩnh vực kinh doanh là một quy trình kinh doanh đầu-cuối. Có người gọi chúng là dòng giá trị (value stream) hay hành trình khách hàng (customer journey). Chúng tôi gọi chúng là lĩnh vực. Điều quan trọng là định nghĩa các lĩnh vực đủ lớn để tạo ra tác động có ý nghĩa sau khi cải tiến, nhưng đủ nhỏ để có thể chuyển đổi mà không phụ thuộc quá nhiều vào các phần khác của doanh nghiệp (Hình 3.1).</w:t>
      </w:r>
    </w:p>
    <w:p>
      <w:pPr>
        <w:spacing w:after="80"/>
      </w:pPr>
      <w:r>
        <w:rPr>
          <w:b w:val="0"/>
          <w:i w:val="0"/>
        </w:rPr>
        <w:t>Mỗi lĩnh vực thường cần 5–15 trường hợp sử dụng (use case) có liên quan với nhau để chuyển đổi. Hình 3.1 cho thấy năm trường hợp sử dụng thuộc lĩnh vực quản lý doanh thu của một công ty CPG. Những trường hợp sử dụng này sẽ được sắp xếp logic theo trình tự như một phần của lộ trình chuyển đổi lĩnh vực tổng thể (sẽ được thảo luận chi tiết hơn ở chương tiếp theo).</w:t>
      </w:r>
    </w:p>
    <w:p>
      <w:pPr>
        <w:jc w:val="center"/>
      </w:pPr>
      <w:r>
        <w:drawing>
          <wp:inline xmlns:a="http://schemas.openxmlformats.org/drawingml/2006/main" xmlns:pic="http://schemas.openxmlformats.org/drawingml/2006/picture">
            <wp:extent cx="5486400" cy="6067997"/>
            <wp:docPr id="19" name="Picture 19"/>
            <wp:cNvGraphicFramePr>
              <a:graphicFrameLocks noChangeAspect="1"/>
            </wp:cNvGraphicFramePr>
            <a:graphic>
              <a:graphicData uri="http://schemas.openxmlformats.org/drawingml/2006/picture">
                <pic:pic>
                  <pic:nvPicPr>
                    <pic:cNvPr id="0" name="c03ex001.png"/>
                    <pic:cNvPicPr/>
                  </pic:nvPicPr>
                  <pic:blipFill>
                    <a:blip r:embed="rId23"/>
                    <a:stretch>
                      <a:fillRect/>
                    </a:stretch>
                  </pic:blipFill>
                  <pic:spPr>
                    <a:xfrm>
                      <a:off x="0" y="0"/>
                      <a:ext cx="5486400" cy="6067997"/>
                    </a:xfrm>
                    <a:prstGeom prst="rect"/>
                  </pic:spPr>
                </pic:pic>
              </a:graphicData>
            </a:graphic>
          </wp:inline>
        </w:drawing>
      </w:r>
    </w:p>
    <w:p>
      <w:pPr>
        <w:spacing w:after="160"/>
        <w:jc w:val="center"/>
      </w:pPr>
      <w:r>
        <w:rPr>
          <w:rFonts w:ascii="Calibri" w:hAnsi="Calibri"/>
          <w:b w:val="0"/>
          <w:i/>
          <w:sz w:val="19"/>
        </w:rPr>
        <w:t>HÌNH 3.1</w:t>
      </w:r>
    </w:p>
    <w:p>
      <w:pPr>
        <w:spacing w:after="80"/>
      </w:pPr>
      <w:r>
        <w:rPr>
          <w:b/>
          <w:i/>
        </w:rPr>
        <w:t>Giá trị trong các chuyển đổi Công nghệ &amp; AI mở rộng về cơ bản bằng cách đi sâu hơn để khai thác hết tiềm năng của một lĩnh vực nhất định, hoặc bằng cách thêm các lĩnh vực mới để khai thác</w:t>
      </w:r>
      <w:r>
        <w:rPr>
          <w:b/>
          <w:i w:val="0"/>
        </w:rPr>
        <w:t>.</w:t>
      </w:r>
    </w:p>
    <w:p>
      <w:pPr>
        <w:spacing w:after="80"/>
      </w:pPr>
      <w:r>
        <w:rPr>
          <w:b w:val="0"/>
          <w:i w:val="0"/>
        </w:rPr>
        <w:t>Có ba lợi ích chính của phương pháp tiếp cận theo lĩnh vực. Hãy dùng ví dụ quản lý doanh thu được nêu ở Hình 3.1 để minh họa chúng. Giả sử công ty CPG của chúng ta có khả năng phát triển năm trường hợp sử dụng. Tại sao họ lại chọn phát triển cả năm trường hợp sử dụng trong một lĩnh vực duy nhất, thay vì trải đều ra, chẳng hạn, năm lĩnh vực?</w:t>
      </w:r>
    </w:p>
    <w:p>
      <w:pPr>
        <w:spacing w:after="80"/>
        <w:ind w:left="360"/>
      </w:pPr>
      <w:r>
        <w:t xml:space="preserve">1. </w:t>
      </w:r>
      <w:r>
        <w:rPr>
          <w:b/>
          <w:i w:val="0"/>
        </w:rPr>
        <w:t>Vấn đề được giải quyết đầu-cuối.</w:t>
      </w:r>
      <w:r>
        <w:rPr>
          <w:b w:val="0"/>
          <w:i w:val="0"/>
        </w:rPr>
        <w:t xml:space="preserve"> Khi dùng phương pháp tiếp cận theo lĩnh vực, bạn giải quyết mọi khía cạnh của một quy trình đầu-cuối để cải thiện hiệu suất. Nhờ đó, bạn tránh được cái bẫy phát triển một giải pháp điểm (point solution) không thể tạo ra tác động vì những phụ thuộc khác cản trở. Ví dụ, rất khó cải thiện giá cả nếu không có cái nhìn tích hợp về khuyến mãi và chi phí thương mại. Những đòn bẩy này tác động lẫn nhau và phải được giải quyết cùng nhau.</w:t>
      </w:r>
    </w:p>
    <w:p>
      <w:pPr>
        <w:spacing w:after="80"/>
        <w:ind w:left="360"/>
      </w:pPr>
      <w:r>
        <w:t xml:space="preserve">2. </w:t>
      </w:r>
      <w:r>
        <w:rPr>
          <w:b/>
          <w:i w:val="0"/>
        </w:rPr>
        <w:t>Tài sản được tái sử dụng.</w:t>
      </w:r>
      <w:r>
        <w:rPr>
          <w:b w:val="0"/>
          <w:i w:val="0"/>
        </w:rPr>
        <w:t xml:space="preserve"> Các trường hợp sử dụng trong một lĩnh vực nhất định thường có liên quan với nhau. Điều này có nghĩa là dữ liệu, công nghệ và năng lực nhân sự có thể được tái sử dụng. Ví dụ, một công cụ định giá (pricing engine) sẽ cần xây dựng một bộ dữ liệu cụ thể về giá cả, khuyến mãi và khối lượng lịch sử theo SKU và theo điểm bán hàng. Cùng bộ dữ liệu đó có thể được dùng để phát triển công cụ khuyến mãi (promotion engine) và công cụ tối ưu hóa danh mục sản phẩm (assortment optimizer), từ đó tối đa hóa việc tái sử dụng đầu tư và tốc độ tạo tác động.</w:t>
      </w:r>
    </w:p>
    <w:p>
      <w:pPr>
        <w:spacing w:after="80"/>
        <w:ind w:left="360"/>
      </w:pPr>
      <w:r>
        <w:t xml:space="preserve">3. </w:t>
      </w:r>
      <w:r>
        <w:rPr>
          <w:b/>
          <w:i w:val="0"/>
        </w:rPr>
        <w:t>Quản lý thay đổi chỉ làm một lần.</w:t>
      </w:r>
      <w:r>
        <w:rPr>
          <w:b w:val="0"/>
          <w:i w:val="0"/>
        </w:rPr>
        <w:t xml:space="preserve"> Bằng cách tập trung vào một lĩnh vực, bạn chỉ cần thực hiện nỗ lực quản lý thay đổi một lần cho tất cả các trường hợp sử dụng trong lĩnh vực đó (tuy nhiên hãy nhớ rằng quản lý thay đổi là một quá trình lặp đi lặp lại gồm thử nghiệm và cải tiến theo thời gian).</w:t>
        <w:br/>
        <w:t>Trong ví dụ của chúng ta, hãy tưởng tượng công cụ định giá được phát triển trong năm nay và cần đào tạo thực địa để đảm bảo được áp dụng. Năm sau, công cụ khuyến mãi được phát triển và cũng cần đào tạo cho chính những người dùng đó. Cách tiếp cận quản lý thay đổi từng phần sẽ khiến tổ chức thực địa bị quá tải và bực bội.</w:t>
      </w:r>
    </w:p>
    <w:p>
      <w:pPr>
        <w:pStyle w:val="Heading2"/>
      </w:pPr>
      <w:r>
        <w:rPr>
          <w:rFonts w:ascii="Calibri" w:hAnsi="Calibri"/>
          <w:b/>
          <w:i w:val="0"/>
          <w:sz w:val="32"/>
        </w:rPr>
        <w:t>Các yếu tố của một chuyển đổi lĩnh vực</w:t>
      </w:r>
    </w:p>
    <w:p>
      <w:pPr>
        <w:spacing w:after="80"/>
      </w:pPr>
      <w:r>
        <w:rPr>
          <w:b w:val="0"/>
          <w:i w:val="0"/>
        </w:rPr>
        <w:t>Hãy tạm dừng một chút để định nghĩa nhanh các thuật ngữ trong một chuyển đổi lĩnh vực (Hình 3.2).</w:t>
      </w:r>
    </w:p>
    <w:p>
      <w:pPr>
        <w:spacing w:after="80"/>
      </w:pPr>
      <w:r>
        <w:rPr>
          <w:b w:val="0"/>
          <w:i w:val="0"/>
        </w:rPr>
        <w:t>Ở cấp cao nhất, các đòn bẩy giá trị (value lever) là những KPI kinh doanh cốt lõi mà chuyển đổi lĩnh vực đang tìm cách cải thiện. Đó là những thứ như thu hút khách hàng mới, giảm tỷ lệ rời bỏ (churn), giảm chi phí phục vụ, cải thiện điểm hài lòng của khách hàng, v.v. Với lĩnh vực tiếp thị cá nhân hóa trong ví dụ của chúng ta, chúng ta muốn thúc đẩy doanh số trên mỗi đô-la tiếp thị và giảm chi phí tạo nội dung tiếp thị.</w:t>
      </w:r>
    </w:p>
    <w:p>
      <w:pPr>
        <w:spacing w:after="80"/>
      </w:pPr>
      <w:r>
        <w:rPr>
          <w:b w:val="0"/>
          <w:i w:val="0"/>
        </w:rPr>
        <w:t>Cấp bên dưới là các giải pháp Công nghệ &amp; AI. Đây là những thứ mà con người hoặc hệ thống dùng để cải thiện các đòn bẩy giá trị. Giải pháp đầu tiên trong Hình 3.2 là công cụ nhận diện cơ hội bán hàng (sales opportunity identifier), giúp nhắm mục tiêu những cơ hội bán hàng tiềm năng cao nhất cho mỗi khách hàng mục tiêu.</w:t>
      </w:r>
    </w:p>
    <w:p>
      <w:pPr>
        <w:spacing w:after="80"/>
      </w:pPr>
      <w:r>
        <w:rPr>
          <w:b w:val="0"/>
          <w:i w:val="0"/>
        </w:rPr>
        <w:t>Mỗi giải pháp bao gồm các trường hợp sử dụng (hay mô hình, hay dữ liệu). Đây là tập hợp các năng lực mới cần thiết để xây dựng giải pháp. Trong trường hợp công cụ nhận diện cơ hội bán hàng, chúng ta sẽ cần một bộ dữ liệu khách hàng 360 chứa email khách hàng, thông tin nhân khẩu học xã hội và các tương tác trực tuyến trước đây. Chúng ta cũng sẽ cần một mô hình look-alike để nhóm các khách hàng mà chúng ta có địa chỉ email nhưng không có lịch sử trực tuyến. Và cuối cùng, chúng ta sẽ cần một mô hình xu hướng mua hàng (propensity-to-buy) để ước tính khả năng phản hồi của khách hàng.</w:t>
      </w:r>
    </w:p>
    <w:p>
      <w:pPr>
        <w:jc w:val="center"/>
      </w:pPr>
      <w:r>
        <w:drawing>
          <wp:inline xmlns:a="http://schemas.openxmlformats.org/drawingml/2006/main" xmlns:pic="http://schemas.openxmlformats.org/drawingml/2006/picture">
            <wp:extent cx="571500" cy="561975"/>
            <wp:docPr id="20" name="Picture 20"/>
            <wp:cNvGraphicFramePr>
              <a:graphicFrameLocks noChangeAspect="1"/>
            </wp:cNvGraphicFramePr>
            <a:graphic>
              <a:graphicData uri="http://schemas.openxmlformats.org/drawingml/2006/picture">
                <pic:pic>
                  <pic:nvPicPr>
                    <pic:cNvPr id="0" name="RULE_OF_THUMB_darkblue.png"/>
                    <pic:cNvPicPr/>
                  </pic:nvPicPr>
                  <pic:blipFill>
                    <a:blip r:embed="rId18"/>
                    <a:stretch>
                      <a:fillRect/>
                    </a:stretch>
                  </pic:blipFill>
                  <pic:spPr>
                    <a:xfrm>
                      <a:off x="0" y="0"/>
                      <a:ext cx="571500" cy="5619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Số lượng lĩnh vực</w:t>
      </w:r>
    </w:p>
    <w:p>
      <w:pPr>
        <w:spacing w:after="80"/>
      </w:pPr>
      <w:r>
        <w:rPr>
          <w:b w:val="0"/>
          <w:i w:val="0"/>
        </w:rPr>
        <w:t>Một công ty điển hình có 10–20 lĩnh vực kinh doanh. Với một tập đoàn đa ngành, các lĩnh vực được xác định ở cấp đơn vị kinh doanh chiến lược.</w:t>
      </w:r>
    </w:p>
    <w:p>
      <w:pPr>
        <w:spacing w:after="80"/>
      </w:pPr>
      <w:r>
        <w:rPr>
          <w:b w:val="0"/>
          <w:i w:val="0"/>
        </w:rPr>
        <w:t>Các lớp nền tảng của kiến trúc chuyển đổi — hai hàng dưới cùng trong sơ đồ — được tạo nên từ các nền tảng dữ liệu và công nghệ mà các trường hợp sử dụng cần để vận hành. Việc chuyển đổi theo lĩnh vực thường đòi hỏi một số khoản đầu tư vào các lớp dữ liệu và công nghệ.</w:t>
      </w:r>
    </w:p>
    <w:p>
      <w:pPr>
        <w:jc w:val="center"/>
      </w:pPr>
      <w:r>
        <w:drawing>
          <wp:inline xmlns:a="http://schemas.openxmlformats.org/drawingml/2006/main" xmlns:pic="http://schemas.openxmlformats.org/drawingml/2006/picture">
            <wp:extent cx="5486400" cy="6536558"/>
            <wp:docPr id="21" name="Picture 21"/>
            <wp:cNvGraphicFramePr>
              <a:graphicFrameLocks noChangeAspect="1"/>
            </wp:cNvGraphicFramePr>
            <a:graphic>
              <a:graphicData uri="http://schemas.openxmlformats.org/drawingml/2006/picture">
                <pic:pic>
                  <pic:nvPicPr>
                    <pic:cNvPr id="0" name="c03ex002.png"/>
                    <pic:cNvPicPr/>
                  </pic:nvPicPr>
                  <pic:blipFill>
                    <a:blip r:embed="rId24"/>
                    <a:stretch>
                      <a:fillRect/>
                    </a:stretch>
                  </pic:blipFill>
                  <pic:spPr>
                    <a:xfrm>
                      <a:off x="0" y="0"/>
                      <a:ext cx="5486400" cy="6536558"/>
                    </a:xfrm>
                    <a:prstGeom prst="rect"/>
                  </pic:spPr>
                </pic:pic>
              </a:graphicData>
            </a:graphic>
          </wp:inline>
        </w:drawing>
      </w:r>
    </w:p>
    <w:p>
      <w:pPr>
        <w:spacing w:after="160"/>
        <w:jc w:val="center"/>
      </w:pPr>
      <w:r>
        <w:rPr>
          <w:rFonts w:ascii="Calibri" w:hAnsi="Calibri"/>
          <w:b w:val="0"/>
          <w:i/>
          <w:sz w:val="19"/>
        </w:rPr>
        <w:t>SƠ ĐỒ 3.2</w:t>
      </w:r>
    </w:p>
    <w:p>
      <w:pPr>
        <w:pStyle w:val="Heading2"/>
      </w:pPr>
      <w:r>
        <w:rPr>
          <w:rFonts w:ascii="Calibri" w:hAnsi="Calibri"/>
          <w:b/>
          <w:i w:val="0"/>
          <w:sz w:val="32"/>
        </w:rPr>
        <w:t>Ưu tiên hóa các lĩnh vực</w:t>
      </w:r>
    </w:p>
    <w:p>
      <w:pPr>
        <w:spacing w:after="80"/>
      </w:pPr>
      <w:r>
        <w:rPr>
          <w:b w:val="0"/>
          <w:i w:val="0"/>
        </w:rPr>
        <w:t>Việc ưu tiên lĩnh vực nào để theo đuổi đòi hỏi phải đánh giá theo hai chiều: tiềm năng giá trị và tính khả thi (Sơ đồ 3.3). Các nhà lãnh đạo sẽ nhận ra cách ưu tiên cơ hội đơn giản này, nhưng họ nên chú ý đến các tiêu chí dẫn dắt việc đánh giá.</w:t>
      </w:r>
    </w:p>
    <w:p>
      <w:pPr>
        <w:jc w:val="center"/>
      </w:pPr>
      <w:r>
        <w:drawing>
          <wp:inline xmlns:a="http://schemas.openxmlformats.org/drawingml/2006/main" xmlns:pic="http://schemas.openxmlformats.org/drawingml/2006/picture">
            <wp:extent cx="5486400" cy="5824654"/>
            <wp:docPr id="22" name="Picture 22"/>
            <wp:cNvGraphicFramePr>
              <a:graphicFrameLocks noChangeAspect="1"/>
            </wp:cNvGraphicFramePr>
            <a:graphic>
              <a:graphicData uri="http://schemas.openxmlformats.org/drawingml/2006/picture">
                <pic:pic>
                  <pic:nvPicPr>
                    <pic:cNvPr id="0" name="c03ex003.png"/>
                    <pic:cNvPicPr/>
                  </pic:nvPicPr>
                  <pic:blipFill>
                    <a:blip r:embed="rId25"/>
                    <a:stretch>
                      <a:fillRect/>
                    </a:stretch>
                  </pic:blipFill>
                  <pic:spPr>
                    <a:xfrm>
                      <a:off x="0" y="0"/>
                      <a:ext cx="5486400" cy="5824654"/>
                    </a:xfrm>
                    <a:prstGeom prst="rect"/>
                  </pic:spPr>
                </pic:pic>
              </a:graphicData>
            </a:graphic>
          </wp:inline>
        </w:drawing>
      </w:r>
    </w:p>
    <w:p>
      <w:pPr>
        <w:spacing w:after="160"/>
        <w:jc w:val="center"/>
      </w:pPr>
      <w:r>
        <w:rPr>
          <w:rFonts w:ascii="Calibri" w:hAnsi="Calibri"/>
          <w:b w:val="0"/>
          <w:i/>
          <w:sz w:val="19"/>
        </w:rPr>
        <w:t>SƠ ĐỒ 3.3</w:t>
      </w:r>
    </w:p>
    <w:p>
      <w:pPr>
        <w:spacing w:after="80"/>
      </w:pPr>
      <w:r>
        <w:rPr>
          <w:b w:val="0"/>
          <w:i w:val="0"/>
        </w:rPr>
        <w:t>Ở giai đoạn này, một ước tính ở mức cao về tiềm năng giá trị dựa trên sự kết hợp giữa phân tích từ bên ngoài vào và thảo luận với các chuyên gia trong ngành là đủ. Hầu hết các công ty gặp khó khăn với kiểu ước tính này vì họ thiếu khả năng nhận diện mô hình. Ví dụ, có thể đạt được mức cải thiện doanh thu trên mỗi khách hàng là bao nhiêu nhờ bán chéo? Hãy cân nhắc sử dụng các chuẩn mực từ những công ty thành công (kể cả ngoài lĩnh vực của bạn) để hình dung khoảng cải thiện tiềm năng.</w:t>
      </w:r>
    </w:p>
    <w:p>
      <w:pPr>
        <w:spacing w:after="80"/>
      </w:pPr>
      <w:r>
        <w:rPr>
          <w:b w:val="0"/>
          <w:i w:val="0"/>
        </w:rPr>
        <w:t>Như chúng tôi đã nói ở trên, một cách hữu ích để chọn đúng lĩnh vực là phải rõ về các điểm đòn bẩy kinh tế then chốt trong hoạt động kinh doanh của bạn. Đó thường là nơi AI có tiềm năng đột phá lớn nhất. Với hầu hết các lĩnh vực, nhiều lĩnh vực trong số đó không quá khó để nhận ra. Một vài ví dụ (không đầy đủ) bao gồm:</w:t>
      </w:r>
    </w:p>
    <w:p>
      <w:pPr>
        <w:spacing w:after="80"/>
        <w:ind w:left="360"/>
      </w:pPr>
      <w:r>
        <w:t xml:space="preserve">• </w:t>
      </w:r>
      <w:r>
        <w:rPr>
          <w:b/>
          <w:i w:val="0"/>
        </w:rPr>
        <w:t>Bảo hiểm:</w:t>
      </w:r>
      <w:r>
        <w:rPr>
          <w:b w:val="0"/>
          <w:i w:val="0"/>
        </w:rPr>
        <w:t xml:space="preserve"> Thẩm định rủi ro, bồi thường, hỗ trợ phân phối</w:t>
      </w:r>
    </w:p>
    <w:p>
      <w:pPr>
        <w:spacing w:after="80"/>
        <w:ind w:left="360"/>
      </w:pPr>
      <w:r>
        <w:t xml:space="preserve">• </w:t>
      </w:r>
      <w:r>
        <w:rPr>
          <w:b/>
          <w:i w:val="0"/>
        </w:rPr>
        <w:t>Khai khoáng:</w:t>
      </w:r>
      <w:r>
        <w:rPr>
          <w:b w:val="0"/>
          <w:i w:val="0"/>
        </w:rPr>
        <w:t xml:space="preserve"> Thăm dò, hiệu suất và sản lượng quy trình, thời gian hoạt động của thiết bị</w:t>
      </w:r>
    </w:p>
    <w:p>
      <w:pPr>
        <w:spacing w:after="80"/>
        <w:ind w:left="360"/>
      </w:pPr>
      <w:r>
        <w:t xml:space="preserve">• </w:t>
      </w:r>
      <w:r>
        <w:rPr>
          <w:b/>
          <w:i w:val="0"/>
        </w:rPr>
        <w:t>Hàng tiêu dùng đóng gói:</w:t>
      </w:r>
      <w:r>
        <w:rPr>
          <w:b w:val="0"/>
          <w:i w:val="0"/>
        </w:rPr>
        <w:t xml:space="preserve"> Quản lý tăng trưởng doanh thu, marketing, chuỗi cung ứng</w:t>
      </w:r>
    </w:p>
    <w:p>
      <w:pPr>
        <w:spacing w:after="80"/>
        <w:ind w:left="360"/>
      </w:pPr>
      <w:r>
        <w:t xml:space="preserve">• </w:t>
      </w:r>
      <w:r>
        <w:rPr>
          <w:b/>
          <w:i w:val="0"/>
        </w:rPr>
        <w:t>Bán lẻ:</w:t>
      </w:r>
      <w:r>
        <w:rPr>
          <w:b w:val="0"/>
          <w:i w:val="0"/>
        </w:rPr>
        <w:t xml:space="preserve"> Trưng bày hàng hóa, vận hành cửa hàng, quản lý tồn kho</w:t>
      </w:r>
    </w:p>
    <w:p>
      <w:pPr>
        <w:spacing w:after="80"/>
        <w:ind w:left="360"/>
      </w:pPr>
      <w:r>
        <w:t xml:space="preserve">• </w:t>
      </w:r>
      <w:r>
        <w:rPr>
          <w:b/>
          <w:i w:val="0"/>
        </w:rPr>
        <w:t>Ngân hàng:</w:t>
      </w:r>
      <w:r>
        <w:rPr>
          <w:b w:val="0"/>
          <w:i w:val="0"/>
        </w:rPr>
        <w:t xml:space="preserve"> Rủi ro tín dụng, gian lận, chi phí phục vụ</w:t>
      </w:r>
    </w:p>
    <w:p>
      <w:pPr>
        <w:spacing w:after="80"/>
        <w:ind w:left="360"/>
      </w:pPr>
      <w:r>
        <w:t xml:space="preserve">• </w:t>
      </w:r>
      <w:r>
        <w:rPr>
          <w:b/>
          <w:i w:val="0"/>
        </w:rPr>
        <w:t>Ô tô:</w:t>
      </w:r>
      <w:r>
        <w:rPr>
          <w:b w:val="0"/>
          <w:i w:val="0"/>
        </w:rPr>
        <w:t xml:space="preserve"> Chuỗi cung ứng, định giá/khuyến mãi, chất lượng sản phẩm</w:t>
      </w:r>
    </w:p>
    <w:p>
      <w:pPr>
        <w:spacing w:after="80"/>
      </w:pPr>
      <w:r>
        <w:rPr>
          <w:b w:val="0"/>
          <w:i w:val="0"/>
        </w:rPr>
        <w:t>Để có cái nhìn rõ ràng hơn về giá trị của từng lĩnh vực, hãy cân nhắc các yếu tố sau:</w:t>
      </w:r>
    </w:p>
    <w:p>
      <w:pPr>
        <w:spacing w:after="80"/>
        <w:ind w:left="360"/>
      </w:pPr>
      <w:r>
        <w:t xml:space="preserve">1. </w:t>
      </w:r>
      <w:r>
        <w:rPr>
          <w:b/>
          <w:i w:val="0"/>
        </w:rPr>
        <w:t>Trải nghiệm khách hàng.</w:t>
      </w:r>
      <w:r>
        <w:rPr>
          <w:b w:val="0"/>
          <w:i w:val="0"/>
        </w:rPr>
        <w:t xml:space="preserve"> Đánh giá trải nghiệm khách hàng hiện tại so với đối thủ cạnh tranh, và dự đoán mức độ cải thiện tiềm năng sau khi chuyển đổi. Cụ thể, điều này có thể được đo lường bằng sự cải thiện về mức độ hài lòng của khách hàng, tăng trưởng khách hàng, và/hoặc cải thiện giá trị ròng trên mỗi khách hàng.</w:t>
      </w:r>
    </w:p>
    <w:p>
      <w:pPr>
        <w:spacing w:after="80"/>
        <w:ind w:left="360"/>
      </w:pPr>
      <w:r>
        <w:t xml:space="preserve">2. </w:t>
      </w:r>
      <w:r>
        <w:rPr>
          <w:b/>
          <w:i w:val="0"/>
        </w:rPr>
        <w:t>Lợi ích tài chính.</w:t>
      </w:r>
      <w:r>
        <w:rPr>
          <w:b w:val="0"/>
          <w:i w:val="0"/>
        </w:rPr>
        <w:t xml:space="preserve"> Ước tính lợi ích tài chính bằng cách tập trung vào những cải thiện trong các chỉ số hiệu suất chính (KPI), chẳng hạn như tăng trưởng khách hàng mới, giảm tỷ lệ rời bỏ khách hàng, tăng giá trị trên mỗi khách hàng, cải thiện hiệu suất quy trình, hoặc giảm chi phí phục vụ. Ước tính thô cũng đủ vì điều này chỉ nhằm mục đích ưu tiên hóa.</w:t>
      </w:r>
    </w:p>
    <w:p>
      <w:pPr>
        <w:spacing w:after="80"/>
        <w:ind w:left="360"/>
      </w:pPr>
      <w:r>
        <w:t xml:space="preserve">3. </w:t>
      </w:r>
      <w:r>
        <w:rPr>
          <w:b/>
          <w:i w:val="0"/>
        </w:rPr>
        <w:t>Tốc độ tạo giá trị.</w:t>
      </w:r>
      <w:r>
        <w:rPr>
          <w:b w:val="0"/>
          <w:i w:val="0"/>
        </w:rPr>
        <w:t xml:space="preserve"> Tốc độ tạo giá trị thường là một yếu tố quan trọng cần cân nhắc vì những lợi ích sớm giúp xây dựng niềm tin và giúp tài trợ cho quá trình chuyển đổi. Trong một số trường hợp, có thể hợp lý hơn nếu nhắm đến những lĩnh vực giá trị nhỏ hơn nếu chúng có thể được khai thác nhanh hơn vì những lý do này.</w:t>
      </w:r>
    </w:p>
    <w:p>
      <w:pPr>
        <w:spacing w:after="80"/>
      </w:pPr>
      <w:r>
        <w:rPr>
          <w:b w:val="0"/>
          <w:i w:val="0"/>
        </w:rPr>
        <w:t>Khi đánh giá tính khả thi, những cân nhắc quan trọng nhất là:</w:t>
      </w:r>
    </w:p>
    <w:p>
      <w:pPr>
        <w:spacing w:after="80"/>
        <w:ind w:left="360"/>
      </w:pPr>
      <w:r>
        <w:t xml:space="preserve">1. </w:t>
      </w:r>
      <w:r>
        <w:rPr>
          <w:b/>
          <w:i w:val="0"/>
        </w:rPr>
        <w:t>Sự bảo trợ mạnh mẽ từ ban điều hành.</w:t>
      </w:r>
      <w:r>
        <w:rPr>
          <w:b w:val="0"/>
          <w:i w:val="0"/>
        </w:rPr>
        <w:t xml:space="preserve"> Bạn cần rõ ràng liệu các lãnh đạo điều hành lĩnh vực đó có hoàn toàn ủng hộ hay không. Nếu có những ưu tiên cạnh tranh, chẳng hạn như triển khai một hệ thống IT mới hoặc hoàn thành một nỗ lực khắc phục tuân thủ lớn, thì có thể chưa phải là thời điểm thích hợp để chuyển đổi lĩnh vực đó.</w:t>
      </w:r>
    </w:p>
    <w:p>
      <w:pPr>
        <w:spacing w:after="80"/>
        <w:ind w:left="360"/>
      </w:pPr>
      <w:r>
        <w:t xml:space="preserve">2. </w:t>
      </w:r>
      <w:r>
        <w:rPr>
          <w:b/>
          <w:i w:val="0"/>
        </w:rPr>
        <w:t>Mức độ sẵn sàng về dữ liệu và công nghệ.</w:t>
      </w:r>
      <w:r>
        <w:rPr>
          <w:b w:val="0"/>
          <w:i w:val="0"/>
        </w:rPr>
        <w:t xml:space="preserve"> Đánh giá chất lượng của dữ liệu nền tảng cần thiết và mức độ dễ dàng để chuyển nó lên đám mây. Về phía công nghệ, hãy đánh giá chất lượng của kiến trúc đám mây, hiệu suất của các hệ thống lõi nền tảng, và mức độ dễ dàng truy cập dữ liệu và ứng dụng thông qua giao diện lập trình ứng dụng (API). Ở giai đoạn này, một phân tích sơ bộ là đủ.</w:t>
      </w:r>
    </w:p>
    <w:p>
      <w:pPr>
        <w:spacing w:after="80"/>
        <w:ind w:left="360"/>
      </w:pPr>
      <w:r>
        <w:t xml:space="preserve">3. </w:t>
      </w:r>
      <w:r>
        <w:rPr>
          <w:b/>
          <w:i w:val="0"/>
        </w:rPr>
        <w:t>Mức độ dễ dàng áp dụng.</w:t>
      </w:r>
      <w:r>
        <w:rPr>
          <w:b w:val="0"/>
          <w:i w:val="0"/>
        </w:rPr>
        <w:t xml:space="preserve"> Hãy đặt mình vào vị trí của người dùng và đánh giá thách thức liên quan đến việc khiến họ áp dụng các giải pháp mới. Có bao nhiêu người dùng sẽ bị ảnh hưởng bởi sự thay đổi, và họ đã sẵn sàng cho điều đó chưa? Bao nhiêu người trong số họ sẽ cần được đào tạo? Công việc của họ sẽ thay đổi bao nhiêu? Liệu có cần đàm phán với công đoàn không? Còn những câu hỏi nào khác cần được cân nhắc?</w:t>
      </w:r>
    </w:p>
    <w:p>
      <w:pPr>
        <w:spacing w:after="80"/>
        <w:ind w:left="360"/>
      </w:pPr>
      <w:r>
        <w:t xml:space="preserve">4. </w:t>
      </w:r>
      <w:r>
        <w:rPr>
          <w:b/>
          <w:i w:val="0"/>
        </w:rPr>
        <w:t>Mức độ dễ dàng mở rộng quy mô.</w:t>
      </w:r>
      <w:r>
        <w:rPr>
          <w:b w:val="0"/>
          <w:i w:val="0"/>
        </w:rPr>
        <w:t xml:space="preserve"> Đánh giá mức độ dễ dàng để mở rộng quy mô trên toàn doanh nghiệp. Giải pháp sẽ cần được điều chỉnh bao nhiêu cho các thị trường khác nhau? Giải pháp sẽ hoạt động trong bao nhiêu môi trường dữ liệu khác nhau? Liệu có cần giải quyết các vấn đề pháp lý không? (Chúng ta sẽ đi sâu vào các vấn đề về áp dụng và mở rộng quy mô trong Mục Sáu).</w:t>
      </w:r>
    </w:p>
    <w:p>
      <w:pPr>
        <w:jc w:val="center"/>
      </w:pPr>
      <w:r>
        <w:drawing>
          <wp:inline xmlns:a="http://schemas.openxmlformats.org/drawingml/2006/main" xmlns:pic="http://schemas.openxmlformats.org/drawingml/2006/picture">
            <wp:extent cx="571500" cy="561975"/>
            <wp:docPr id="23" name="Picture 23"/>
            <wp:cNvGraphicFramePr>
              <a:graphicFrameLocks noChangeAspect="1"/>
            </wp:cNvGraphicFramePr>
            <a:graphic>
              <a:graphicData uri="http://schemas.openxmlformats.org/drawingml/2006/picture">
                <pic:pic>
                  <pic:nvPicPr>
                    <pic:cNvPr id="0" name="RULE_OF_THUMB_darkblue.png"/>
                    <pic:cNvPicPr/>
                  </pic:nvPicPr>
                  <pic:blipFill>
                    <a:blip r:embed="rId18"/>
                    <a:stretch>
                      <a:fillRect/>
                    </a:stretch>
                  </pic:blipFill>
                  <pic:spPr>
                    <a:xfrm>
                      <a:off x="0" y="0"/>
                      <a:ext cx="571500" cy="5619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Nhịp độ chuyển đổi</w:t>
      </w:r>
    </w:p>
    <w:p>
      <w:pPr>
        <w:spacing w:after="80"/>
      </w:pPr>
      <w:r>
        <w:rPr>
          <w:b w:val="0"/>
          <w:i w:val="0"/>
        </w:rPr>
        <w:t>Hầu hết các công ty tập trung vào việc chuyển đổi từ một đến ba lĩnh vực cùng một lúc. Có thể làm nhiều hơn nhưng làm như vậy đòi hỏi một khoản đầu tư đáng kể trong ngắn hạn, nhiều sự phối hợp hơn, và nhiều nhân tài hơn.</w:t>
      </w:r>
    </w:p>
    <w:p>
      <w:pPr>
        <w:spacing w:after="80"/>
      </w:pPr>
      <w:r>
        <w:rPr>
          <w:b w:val="0"/>
          <w:i w:val="0"/>
        </w:rPr>
        <w:t>Kết quả của phân tích giá trị - tính khả thi này nên làm nổi bật từ hai đến năm lĩnh vực. Bạn không cần tìm kiếm sự chính xác ở thời điểm này. Hãy xem khung giá trị - tính khả thi này như một cách để cấu trúc cuộc trò chuyện với đội ngũ quản lý cấp cao. Việc tinh chỉnh những ước tính này sẽ diễn ra sau đó như một phần của việc tái hình dung lĩnh vực đó.</w:t>
      </w:r>
    </w:p>
    <w:p>
      <w:pPr>
        <w:pStyle w:val="Heading2"/>
      </w:pPr>
      <w:r>
        <w:rPr>
          <w:rFonts w:ascii="Calibri" w:hAnsi="Calibri"/>
          <w:b/>
          <w:i w:val="0"/>
          <w:sz w:val="32"/>
        </w:rPr>
        <w:t>Xây dựng doanh nghiệp mới: Một loại lĩnh vực kinh doanh đặc biệt</w:t>
      </w:r>
    </w:p>
    <w:p>
      <w:pPr>
        <w:spacing w:after="80"/>
      </w:pPr>
      <w:r>
        <w:rPr>
          <w:b w:val="0"/>
          <w:i w:val="0"/>
        </w:rPr>
        <w:t>Những cơ hội kinh doanh tuyệt vời đôi khi nằm ngoài hoạt động kinh doanh cốt lõi. Khi bạn ưu tiên hóa các lĩnh vực kinh doanh để chuyển đổi, hãy cân nhắc liệu có thể có một doanh nghiệp mới hấp dẫn dựa trên kỹ thuật số hoặc AI nằm liền kề với hoạt động cốt lõi của bạn hay không.</w:t>
      </w:r>
    </w:p>
    <w:p>
      <w:pPr>
        <w:spacing w:after="80"/>
      </w:pPr>
      <w:r>
        <w:rPr>
          <w:b w:val="0"/>
          <w:i w:val="0"/>
        </w:rPr>
        <w:t>Làm điều này tốt đòi hỏi cả kỷ luật chiến lược lẫn sự tự do sáng tạo. Thành công nằm ở việc tái định hình các tài sản, khách hàng, và năng lực của công ty qua những lăng kính mới—thay vì hỏi, "Làm thế nào để chúng ta số hóa những gì mình đang làm?", hãy hỏi thay vào đó, "Chúng ta có thể tạo ra điều gì nếu không bị ràng buộc bởi mô hình kinh doanh hiện tại?"</w:t>
      </w:r>
    </w:p>
    <w:p>
      <w:pPr>
        <w:spacing w:after="80"/>
      </w:pPr>
      <w:r>
        <w:rPr>
          <w:b w:val="0"/>
          <w:i w:val="0"/>
        </w:rPr>
        <w:t>Đánh giá tiềm năng xây dựng một doanh nghiệp mới bắt đầu bằng một khám phá có cấu trúc trên bốn hướng cơ hội: sự phù hợp chiến lược (bao gồm những gián đoạn công nghệ, và các hệ sinh thái đang nổi lên), nhu cầu khách hàng, lợi thế hiện có (chẳng hạn như những tài sản chưa được khai thác hết), và tính khả thi (Sơ đồ 3.4). Mục tiêu là khám phá những "khoảng trắng"—những thị trường hoặc nhu cầu chưa được khai thác mà công ty có vị thế đặc biệt để phục vụ.</w:t>
      </w:r>
    </w:p>
    <w:p>
      <w:pPr>
        <w:spacing w:after="80"/>
      </w:pPr>
      <w:r>
        <w:rPr>
          <w:b w:val="0"/>
          <w:i w:val="0"/>
        </w:rPr>
        <w:t>Việc khám phá là sự kết hợp giữa cả hai hướng: quét chiến lược từ trên xuống (bao gồm quét tầm nhìn xa, phân tích các lĩnh vực lân cận và lập bản đồ hệ sinh thái) và khám phá từ dưới lên (như nghiên cứu dân tộc học nhanh và các hội thảo định hình vấn đề).</w:t>
      </w:r>
    </w:p>
    <w:p>
      <w:pPr>
        <w:spacing w:after="80"/>
      </w:pPr>
      <w:r>
        <w:rPr>
          <w:b w:val="0"/>
          <w:i w:val="0"/>
        </w:rPr>
        <w:t>Những ý tưởng đột phá thực sự xuất hiện ở giao điểm giữa tài sản và nhu cầu chưa được đáp ứng—nơi những năng lực đặc biệt của công ty gặp gỡ những vấn đề mới của khách hàng hoặc xã hội.</w:t>
      </w:r>
    </w:p>
    <w:p>
      <w:pPr>
        <w:jc w:val="center"/>
      </w:pPr>
      <w:r>
        <w:drawing>
          <wp:inline xmlns:a="http://schemas.openxmlformats.org/drawingml/2006/main" xmlns:pic="http://schemas.openxmlformats.org/drawingml/2006/picture">
            <wp:extent cx="5486400" cy="4906139"/>
            <wp:docPr id="24" name="Picture 24"/>
            <wp:cNvGraphicFramePr>
              <a:graphicFrameLocks noChangeAspect="1"/>
            </wp:cNvGraphicFramePr>
            <a:graphic>
              <a:graphicData uri="http://schemas.openxmlformats.org/drawingml/2006/picture">
                <pic:pic>
                  <pic:nvPicPr>
                    <pic:cNvPr id="0" name="c03ex004.png"/>
                    <pic:cNvPicPr/>
                  </pic:nvPicPr>
                  <pic:blipFill>
                    <a:blip r:embed="rId26"/>
                    <a:stretch>
                      <a:fillRect/>
                    </a:stretch>
                  </pic:blipFill>
                  <pic:spPr>
                    <a:xfrm>
                      <a:off x="0" y="0"/>
                      <a:ext cx="5486400" cy="4906139"/>
                    </a:xfrm>
                    <a:prstGeom prst="rect"/>
                  </pic:spPr>
                </pic:pic>
              </a:graphicData>
            </a:graphic>
          </wp:inline>
        </w:drawing>
      </w:r>
    </w:p>
    <w:p>
      <w:pPr>
        <w:spacing w:after="160"/>
        <w:jc w:val="center"/>
      </w:pPr>
      <w:r>
        <w:rPr>
          <w:rFonts w:ascii="Calibri" w:hAnsi="Calibri"/>
          <w:b w:val="0"/>
          <w:i/>
          <w:sz w:val="19"/>
        </w:rPr>
        <w:t>TRIỂN LÃM 3.4</w:t>
      </w:r>
    </w:p>
    <w:p>
      <w:pPr>
        <w:spacing w:after="80"/>
      </w:pPr>
      <w:r>
        <w:rPr>
          <w:b w:val="0"/>
          <w:i w:val="0"/>
        </w:rPr>
        <w:t>Khi một danh mục các ý tưởng tiềm năng xuất hiện, bước tiếp theo là nhanh chóng xác thực chúng. Ở đây, bạn phải chống lại bản năng phân tích quá mức. Thay vào đó, hãy áp dụng nhịp điệu thử nghiệm-và-học hỏi theo phong cách khởi nghiệp: tạo ra các giả thuyết nhẹ nhàng, chạy các thí nghiệm nhỏ, và để dữ liệu thực tế nhanh chóng loại bỏ hoặc xác nhận ý tưởng.</w:t>
      </w:r>
    </w:p>
    <w:p>
      <w:pPr>
        <w:spacing w:after="80"/>
      </w:pPr>
      <w:r>
        <w:rPr>
          <w:b/>
          <w:i/>
        </w:rPr>
        <w:t>Những nỗ lực xây dựng doanh nghiệp tốt nhất được xây dựng xoay quanh danh mục đầu tư, chứ không phải những thứ đơn lẻ. Nếu nhiệm vụ là tạo ra bước ngoặt, chẳng hạn như 10% doanh thu từ các doanh nghiệp mới trong vòng năm năm, bạn không thể đặt cược vào một ý tưởng duy nhất để đạt được mục tiêu đó</w:t>
      </w:r>
      <w:r>
        <w:rPr>
          <w:b/>
          <w:i w:val="0"/>
        </w:rPr>
        <w:t>.</w:t>
      </w:r>
    </w:p>
    <w:p>
      <w:pPr>
        <w:spacing w:after="80"/>
      </w:pPr>
      <w:r>
        <w:rPr>
          <w:b w:val="0"/>
          <w:i w:val="0"/>
        </w:rPr>
        <w:t>Hãy bắt đầu với quan điểm rằng bạn sẽ muốn khởi chạy nhiều doanh nghiệp mới. Đó là bởi vì, trong khoảng 100 ý tưởng, 20 sẽ đủ điều kiện để đầu tư vào việc phát triển bản thiết kế của chúng, và trong số đó, chỉ sáu sẽ xứng đáng được xây dựng hoàn chỉnh, ba sẽ chứng minh được bản thân ở quy mô lớn trong khoảng ba năm, và một sẽ trở thành cú đánh lớn (Triển lãm 3.5). Những tỷ lệ vượt qua đó nhất quán với những gì chúng ta thấy across các nhà xây dựng doanh nghiệp và thị trường đầu tư mạo hiểm.</w:t>
      </w:r>
    </w:p>
    <w:p>
      <w:pPr>
        <w:spacing w:after="80"/>
      </w:pPr>
      <w:r>
        <w:rPr>
          <w:b w:val="0"/>
          <w:i w:val="0"/>
        </w:rPr>
        <w:t>Các công ty giỏi việc này xây dựng một cỗ máy đầu tư mạo hiểm có thể hỗ trợ hiệu quả đường ống các cơ hội được phân giai đoạn này. Cỗ máy này thường cung cấp: a) quyền truy cập vào những nhà xây dựng doanh nghiệp nối tiếp, những người biết cách thành lập và mở rộng quy mô doanh nghiệp; b) bí quyết vận hành—thiết kế, kỹ thuật, sản phẩm, khoa học dữ liệu, và kích hoạt thương hiệu/thị trường—để tạo nguyên mẫu, khởi chạy và lặp lại nhanh chóng; và c) cơ sở hạ tầng công nghệ và dữ liệu—các nền tảng an toàn, được phê duyệt, API, và các sản phẩm dữ liệu được tuyển chọn giúp tăng tốc truy cập vào các hệ thống của công ty.</w:t>
      </w:r>
    </w:p>
    <w:p>
      <w:pPr>
        <w:spacing w:after="80"/>
      </w:pPr>
      <w:r>
        <w:rPr>
          <w:b w:val="0"/>
          <w:i w:val="0"/>
        </w:rPr>
        <w:t>Những công ty làm chủ được nhịp điệu kết hợp khám phá sáng tạo với quản lý danh mục đầu tư có kỷ luật này có thể chuyển từ đổi mới không thường xuyên sang tạo ra doanh nghiệp mới một cách có hệ thống, liên tục gieo mầm cho những động cơ tăng trưởng của ngày mai.</w:t>
      </w:r>
    </w:p>
    <w:p>
      <w:pPr>
        <w:spacing w:after="80"/>
      </w:pPr>
      <w:r>
        <w:rPr>
          <w:b w:val="0"/>
          <w:i w:val="0"/>
        </w:rPr>
        <w:t>Trong Chương 16, chúng ta khám phá cách các công ty lớn bao bọc các doanh nghiệp mới để bảo vệ chúng và cải thiện cơ hội thành công của chúng.</w:t>
      </w:r>
    </w:p>
    <w:p>
      <w:pPr>
        <w:jc w:val="center"/>
      </w:pPr>
      <w:r>
        <w:drawing>
          <wp:inline xmlns:a="http://schemas.openxmlformats.org/drawingml/2006/main" xmlns:pic="http://schemas.openxmlformats.org/drawingml/2006/picture">
            <wp:extent cx="5486400" cy="4667969"/>
            <wp:docPr id="25" name="Picture 25"/>
            <wp:cNvGraphicFramePr>
              <a:graphicFrameLocks noChangeAspect="1"/>
            </wp:cNvGraphicFramePr>
            <a:graphic>
              <a:graphicData uri="http://schemas.openxmlformats.org/drawingml/2006/picture">
                <pic:pic>
                  <pic:nvPicPr>
                    <pic:cNvPr id="0" name="c03ex005.png"/>
                    <pic:cNvPicPr/>
                  </pic:nvPicPr>
                  <pic:blipFill>
                    <a:blip r:embed="rId27"/>
                    <a:stretch>
                      <a:fillRect/>
                    </a:stretch>
                  </pic:blipFill>
                  <pic:spPr>
                    <a:xfrm>
                      <a:off x="0" y="0"/>
                      <a:ext cx="5486400" cy="4667969"/>
                    </a:xfrm>
                    <a:prstGeom prst="rect"/>
                  </pic:spPr>
                </pic:pic>
              </a:graphicData>
            </a:graphic>
          </wp:inline>
        </w:drawing>
      </w:r>
    </w:p>
    <w:p>
      <w:pPr>
        <w:spacing w:after="160"/>
        <w:jc w:val="center"/>
      </w:pPr>
      <w:r>
        <w:rPr>
          <w:rFonts w:ascii="Calibri" w:hAnsi="Calibri"/>
          <w:b w:val="0"/>
          <w:i/>
          <w:sz w:val="19"/>
        </w:rPr>
        <w:t>TRIỂN LÃM 3.5</w:t>
      </w:r>
    </w:p>
    <w:p>
      <w:pPr>
        <w:jc w:val="center"/>
      </w:pPr>
      <w:r>
        <w:drawing>
          <wp:inline xmlns:a="http://schemas.openxmlformats.org/drawingml/2006/main" xmlns:pic="http://schemas.openxmlformats.org/drawingml/2006/picture">
            <wp:extent cx="1905000" cy="104775"/>
            <wp:docPr id="26" name="Picture 26"/>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Việc xác định phạm vi chuyển đổi nghe có vẻ không phải là phần thú vị nhất của một cuộc chuyển đổi, nhưng nó có thể là một trong những phần quan trọng nhất. Lĩnh vực là điểm ngọt ngào của bạn để tạo tác động—đủ lớn để có ý nghĩa, đủ nhỏ để giảm thiểu sự phụ thuộc. Việc bạn xác định và nhắm mục tiêu các lĩnh vực của mình tốt đến đâu sẽ góp phần rất lớn vào việc đưa công ty của bạn vào vị thế phát triển thịnh vượng.</w:t>
      </w:r>
    </w:p>
    <w:p>
      <w:pPr>
        <w:pStyle w:val="Heading2"/>
      </w:pPr>
      <w:r>
        <w:rPr>
          <w:rFonts w:ascii="Calibri" w:hAnsi="Calibri"/>
          <w:b/>
          <w:i w:val="0"/>
          <w:sz w:val="32"/>
        </w:rPr>
        <w:t>Ghi chú</w:t>
      </w:r>
    </w:p>
    <w:p>
      <w:pPr>
        <w:spacing w:after="80"/>
        <w:ind w:left="360"/>
      </w:pPr>
      <w:r>
        <w:t xml:space="preserve">1. </w:t>
      </w:r>
      <w:r>
        <w:rPr>
          <w:b w:val="0"/>
          <w:i w:val="0"/>
        </w:rPr>
        <w:t xml:space="preserve">1   Fountaine và cộng sự, "Getting AI to scale," </w:t>
      </w:r>
      <w:r>
        <w:rPr>
          <w:b w:val="0"/>
          <w:i/>
        </w:rPr>
        <w:t>Harvard Business Review</w:t>
      </w:r>
      <w:r>
        <w:rPr>
          <w:b w:val="0"/>
          <w:i w:val="0"/>
        </w:rPr>
        <w:t>, tháng 5–6 năm 2021.</w:t>
      </w:r>
    </w:p>
    <w:p>
      <w:pPr>
        <w:pStyle w:val="Heading2"/>
      </w:pPr>
      <w:r>
        <w:rPr>
          <w:rFonts w:ascii="Calibri" w:hAnsi="Calibri"/>
          <w:b/>
          <w:i/>
          <w:sz w:val="32"/>
        </w:rPr>
        <w:t>"Không có những bước nhảy vọt của trí tưởng tượng, hay mơ mộng, chúng ta đánh mất sự phấn khích của những khả năng. Suy cho cùng, mơ mộng là một hình thức lập kế hoạch."</w:t>
      </w:r>
    </w:p>
    <w:p>
      <w:pPr>
        <w:spacing w:after="80"/>
      </w:pPr>
      <w:r>
        <w:rPr>
          <w:b/>
          <w:i w:val="0"/>
        </w:rPr>
        <w:t>— Gloria Steinem</w:t>
      </w:r>
    </w:p>
    <w:p>
      <w:pPr>
        <w:pStyle w:val="Heading1"/>
      </w:pPr>
      <w:r>
        <w:rPr>
          <w:rFonts w:ascii="Calibri" w:hAnsi="Calibri"/>
          <w:b/>
          <w:i w:val="0"/>
          <w:sz w:val="40"/>
        </w:rPr>
        <w:t>CHƯƠNG 4</w:t>
      </w:r>
      <w:r>
        <w:rPr>
          <w:rFonts w:ascii="Calibri" w:hAnsi="Calibri"/>
          <w:b/>
          <w:i w:val="0"/>
          <w:sz w:val="40"/>
        </w:rPr>
      </w:r>
      <w:r>
        <w:rPr>
          <w:rFonts w:ascii="Calibri" w:hAnsi="Calibri"/>
          <w:b/>
          <w:i w:val="0"/>
          <w:sz w:val="40"/>
        </w:rPr>
        <w:t>Hãy để các nhà lãnh đạo doanh nghiệp dẫn dắt việc tái tưởng tượng lĩnh vực của họ</w:t>
      </w:r>
    </w:p>
    <w:p>
      <w:pPr>
        <w:spacing w:after="80"/>
      </w:pPr>
      <w:r>
        <w:rPr>
          <w:b w:val="0"/>
          <w:i w:val="0"/>
        </w:rPr>
        <w:t>Tiếp tục với phép so sánh về việc cải tạo nhà bếp, có khá nhiều dự án nhỏ cần thực hiện trong một công trình như vậy: dỡ một bức tường để mở rộng không gian, lắp hệ thống ống nước mới, thêm đèn chiếu sáng, nâng cấp hệ thống HVAC, lắp tủ bếp mới, v.v. Mỗi dự án nhỏ này đều cần được lên kế hoạch và sắp xếp trình tự cẩn thận để việc cải tạo diễn ra suôn sẻ.</w:t>
      </w:r>
    </w:p>
    <w:p>
      <w:pPr>
        <w:spacing w:after="80"/>
      </w:pPr>
      <w:r>
        <w:rPr>
          <w:b w:val="0"/>
          <w:i w:val="0"/>
        </w:rPr>
        <w:t>Điều tương tự cũng đúng với việc chuyển đổi các lĩnh vực (domain) mà bạn đã ưu tiên. Mục tiêu của việc tái hình dung một lĩnh vực là định hình tầm nhìn về cách nó có thể vận hành tốt hơn—tốt hơn nhiều—nhờ công nghệ, và xác định những thay đổi cần thiết để biến điều đó thành hiện thực.</w:t>
      </w:r>
    </w:p>
    <w:p>
      <w:pPr>
        <w:spacing w:after="80"/>
      </w:pPr>
      <w:r>
        <w:rPr>
          <w:b w:val="0"/>
          <w:i w:val="0"/>
        </w:rPr>
        <w:t>Những người phù hợp nhất để dẫn dắt nỗ lực tái hình dung lĩnh vực chính là các nhà lãnh đạo kinh doanh của lĩnh vực đó. Những người này cần có một bộ kỹ năng đặc biệt. Họ có cái nhìn xuyên suốt từ đầu đến cuối về cách lĩnh vực vận hành, hiểu nhu cầu của khách hàng và người dùng, có con mắt phê phán để nhận ra điều gì có thể cải thiện, hiểu đủ về Tech &amp; AI, và có thể dẫn dắt sự thay đổi. Đừng bắt tay vào nỗ lực như vậy mà không có một chủ sở hữu lĩnh vực (domain owner) mạnh mẽ. Đây có thể là vai trò quan trọng nhất trong một cuộc chuyển đổi Tech &amp; AI thành công.</w:t>
      </w:r>
    </w:p>
    <w:p>
      <w:pPr>
        <w:spacing w:after="80"/>
      </w:pPr>
      <w:r>
        <w:rPr>
          <w:b/>
          <w:i/>
        </w:rPr>
        <w:t>Các tổ chức cần một cẩm nang (playbook) rõ ràng để khai thác giá trị từ các lĩnh vực—một chuỗi các bước bạn thực hiện để đi từ ý tưởng đến giá trị thực trong tài khoản. Chúng tôi gọi quá trình này là “chuyển giao từ lĩnh vực đến giá trị” (domain-to-value delivery - DVD)</w:t>
      </w:r>
      <w:r>
        <w:rPr>
          <w:b/>
          <w:i w:val="0"/>
        </w:rPr>
        <w:t>.</w:t>
      </w:r>
    </w:p>
    <w:p>
      <w:pPr>
        <w:pStyle w:val="Heading2"/>
      </w:pPr>
      <w:r>
        <w:rPr>
          <w:rFonts w:ascii="Calibri" w:hAnsi="Calibri"/>
          <w:b/>
          <w:i w:val="0"/>
          <w:sz w:val="32"/>
        </w:rPr>
        <w:t>Cẩm nang triển khai chuyển giao từ lĩnh vực đến giá trị của bạn</w:t>
      </w:r>
    </w:p>
    <w:p>
      <w:pPr>
        <w:spacing w:after="80"/>
      </w:pPr>
      <w:r>
        <w:rPr>
          <w:b w:val="0"/>
          <w:i w:val="0"/>
        </w:rPr>
        <w:t>Phương pháp DVD bao gồm năm giai đoạn để chuyển đổi một lĩnh vực kinh doanh (Hình 4.1). Có nhiều biến thể của quá trình này, nhưng điểm quan trọng là phải có một quy trình chuẩn hóa duy nhất trong công ty mà mọi người đều hiểu. Đây chính là cẩm nang của bạn. Hãy cùng xem xét từng giai đoạn:</w:t>
      </w:r>
    </w:p>
    <w:p>
      <w:pPr>
        <w:spacing w:after="80"/>
        <w:ind w:left="360"/>
      </w:pPr>
      <w:r>
        <w:t xml:space="preserve">1. </w:t>
      </w:r>
      <w:r>
        <w:rPr>
          <w:b/>
          <w:i w:val="0"/>
        </w:rPr>
        <w:t>Tái hình dung lĩnh vực (Domain reimagination), định nghĩa lại cách một lĩnh vực kinh doanh tạo ra giá trị.</w:t>
      </w:r>
      <w:r>
        <w:rPr>
          <w:b w:val="0"/>
          <w:i w:val="0"/>
        </w:rPr>
        <w:t xml:space="preserve"> Giai đoạn này nhìn bao quát toàn bộ lĩnh vực (không chỉ một vấn đề hay trường hợp sử dụng đơn lẻ) để xác định nơi AI, dữ liệu và tự động hóa có thể mở ra hiệu suất đột phá. Việc giải quyết vấn đề ở đây mang tính chiến lược, toàn diện và không bị ràng buộc, đòi hỏi phải lập bản đồ các quy trình từ đầu đến cuối có liên quan, phát hiện các điểm đau (pain point) và cơ hội ở cấp độ hệ thống, và hình dung những cách làm việc mới.</w:t>
        <w:br/>
      </w:r>
      <w:r>
        <w:rPr>
          <w:b/>
          <w:i w:val="0"/>
        </w:rPr>
        <w:t>Đầu ra:</w:t>
      </w:r>
      <w:r>
        <w:rPr>
          <w:b w:val="0"/>
          <w:i w:val="0"/>
        </w:rPr>
        <w:t xml:space="preserve"> Đầu ra là một lộ trình ưu tiên gồm các giải pháp và trường hợp sử dụng.</w:t>
      </w:r>
    </w:p>
    <w:p>
      <w:pPr>
        <w:spacing w:after="80"/>
        <w:ind w:left="360"/>
      </w:pPr>
      <w:r>
        <w:t xml:space="preserve">2. </w:t>
      </w:r>
      <w:r>
        <w:rPr>
          <w:b/>
          <w:i w:val="0"/>
        </w:rPr>
        <w:t>Khám phá giải pháp (Solution discovery), tập trung vào việc lập kế hoạch chi tiết cho một giải pháp.</w:t>
      </w:r>
      <w:r>
        <w:rPr>
          <w:b w:val="0"/>
          <w:i w:val="0"/>
        </w:rPr>
        <w:t xml:space="preserve"> Trong giai đoạn này, nhóm đi sâu hơn vào việc tìm hiểu các điểm đau của người dùng/quy trình và tính khả thi kỹ thuật cho một giải pháp nhất định. Việc giải quyết vấn đề mang tính khám phá, xoay quanh nhu cầu người dùng, và tập trung vào việc lập kế hoạch cho bản thử nghiệm chứng minh khái niệm (proof of concept - POC).</w:t>
        <w:br/>
      </w:r>
      <w:r>
        <w:rPr>
          <w:b/>
          <w:i w:val="0"/>
        </w:rPr>
        <w:t>Đầu ra:</w:t>
      </w:r>
      <w:r>
        <w:rPr>
          <w:b w:val="0"/>
          <w:i w:val="0"/>
        </w:rPr>
        <w:t xml:space="preserve"> Một bản tóm tắt giải pháp (solution brief) để định hướng cho giai đoạn POC.</w:t>
      </w:r>
    </w:p>
    <w:p>
      <w:pPr>
        <w:spacing w:after="80"/>
        <w:ind w:left="360"/>
      </w:pPr>
      <w:r>
        <w:t xml:space="preserve">3. </w:t>
      </w:r>
      <w:r>
        <w:rPr>
          <w:b/>
          <w:i w:val="0"/>
        </w:rPr>
        <w:t>Chứng minh khái niệm (Proof of concept), tập trung vào việc tạo nguyên mẫu và tiến hành thử nghiệm với người dùng.</w:t>
      </w:r>
      <w:r>
        <w:rPr>
          <w:b w:val="0"/>
          <w:i w:val="0"/>
        </w:rPr>
        <w:t xml:space="preserve"> Mục tiêu là chứng minh rằng giải pháp có thể mang lại giá trị thực cho người dùng và vượt qua mọi rủi ro khả thi đã được xác định. Việc giải quyết vấn đề tập trung vào việc thử nghiệm thực tế một giả thuyết với các vòng lặp xây dựng-thử nghiệm-học hỏi (build-test-learn) nhanh chóng.</w:t>
        <w:br/>
      </w:r>
      <w:r>
        <w:rPr>
          <w:b/>
          <w:i w:val="0"/>
        </w:rPr>
        <w:t>Đầu ra:</w:t>
      </w:r>
      <w:r>
        <w:rPr>
          <w:b w:val="0"/>
          <w:i w:val="0"/>
        </w:rPr>
        <w:t xml:space="preserve"> Một sản phẩm khả dụng tối thiểu (minimum viable product - MVP), một nguyên mẫu hoạt động được có thể mang lại giá trị nhưng chưa phải là giải pháp hoàn chỉnh.</w:t>
      </w:r>
    </w:p>
    <w:p>
      <w:pPr>
        <w:spacing w:after="80"/>
        <w:ind w:left="360"/>
      </w:pPr>
      <w:r>
        <w:t xml:space="preserve">4. </w:t>
      </w:r>
      <w:r>
        <w:rPr>
          <w:b/>
          <w:i w:val="0"/>
        </w:rPr>
        <w:t>Sản xuất (Production), tập trung vào việc chuyển một MVP đã được kiểm chứng thành giải pháp sẵn sàng cho thế giới thực.</w:t>
      </w:r>
      <w:r>
        <w:rPr>
          <w:b w:val="0"/>
          <w:i w:val="0"/>
        </w:rPr>
        <w:t xml:space="preserve"> Đây hoàn toàn là việc giải quyết vấn đề thuần túy về kỹ thuật. Phát triển giải pháp thường đòi hỏi một loạt kỹ năng bao gồm hiểu biết về các hệ thống cốt lõi của công ty, kỹ thuật AI, kiến trúc đám mây (cloud architecture), kỹ thuật dữ liệu, an ninh mạng (cybersecurity), và nhiều kỹ năng khác.</w:t>
        <w:br/>
      </w:r>
      <w:r>
        <w:rPr>
          <w:b/>
          <w:i w:val="0"/>
        </w:rPr>
        <w:t>Đầu ra:</w:t>
      </w:r>
      <w:r>
        <w:rPr>
          <w:b w:val="0"/>
          <w:i w:val="0"/>
        </w:rPr>
        <w:t xml:space="preserve"> Một giải pháp sẵn sàng cho sản xuất, có thể hoạt động trong môi trường thực tế.</w:t>
      </w:r>
    </w:p>
    <w:p>
      <w:pPr>
        <w:spacing w:after="80"/>
        <w:ind w:left="360"/>
      </w:pPr>
      <w:r>
        <w:t xml:space="preserve">5. </w:t>
      </w:r>
      <w:r>
        <w:rPr>
          <w:b/>
          <w:i w:val="0"/>
        </w:rPr>
        <w:t>Áp dụng và mở rộng quy mô (Adoption and scaling), đảm bảo giải pháp được sử dụng và mang lại giá trị như kỳ vọng.</w:t>
      </w:r>
      <w:r>
        <w:rPr>
          <w:b w:val="0"/>
          <w:i w:val="0"/>
        </w:rPr>
        <w:t xml:space="preserve"> Giai đoạn này nên bắt đầu trong giai đoạn sản xuất, và đôi khi ngay cả ở giai đoạn POC, vì thiết kế giải pháp phải tính đến việc người dùng áp dụng và mở rộng quy mô.</w:t>
        <w:br/>
        <w:t>Việc giải quyết vấn đề ở giai đoạn này tập trung vào những thay đổi về hệ thống kỹ thuật và tổ chức cần thiết để hỗ trợ giải pháp, và đảm bảo người dùng áp dụng nó.</w:t>
        <w:br/>
      </w:r>
      <w:r>
        <w:rPr>
          <w:b/>
          <w:i w:val="0"/>
        </w:rPr>
        <w:t>Đầu ra:</w:t>
      </w:r>
      <w:r>
        <w:rPr>
          <w:b w:val="0"/>
          <w:i w:val="0"/>
        </w:rPr>
        <w:t xml:space="preserve"> Một giải pháp đã mở rộng quy mô, hiện thực hóa giá trị.</w:t>
      </w:r>
    </w:p>
    <w:p>
      <w:pPr>
        <w:jc w:val="center"/>
      </w:pPr>
      <w:r>
        <w:drawing>
          <wp:inline xmlns:a="http://schemas.openxmlformats.org/drawingml/2006/main" xmlns:pic="http://schemas.openxmlformats.org/drawingml/2006/picture">
            <wp:extent cx="5486400" cy="5030528"/>
            <wp:docPr id="27" name="Picture 27"/>
            <wp:cNvGraphicFramePr>
              <a:graphicFrameLocks noChangeAspect="1"/>
            </wp:cNvGraphicFramePr>
            <a:graphic>
              <a:graphicData uri="http://schemas.openxmlformats.org/drawingml/2006/picture">
                <pic:pic>
                  <pic:nvPicPr>
                    <pic:cNvPr id="0" name="c04ex001.png"/>
                    <pic:cNvPicPr/>
                  </pic:nvPicPr>
                  <pic:blipFill>
                    <a:blip r:embed="rId28"/>
                    <a:stretch>
                      <a:fillRect/>
                    </a:stretch>
                  </pic:blipFill>
                  <pic:spPr>
                    <a:xfrm>
                      <a:off x="0" y="0"/>
                      <a:ext cx="5486400" cy="5030528"/>
                    </a:xfrm>
                    <a:prstGeom prst="rect"/>
                  </pic:spPr>
                </pic:pic>
              </a:graphicData>
            </a:graphic>
          </wp:inline>
        </w:drawing>
      </w:r>
    </w:p>
    <w:p>
      <w:pPr>
        <w:spacing w:after="160"/>
        <w:jc w:val="center"/>
      </w:pPr>
      <w:r>
        <w:rPr>
          <w:rFonts w:ascii="Calibri" w:hAnsi="Calibri"/>
          <w:b w:val="0"/>
          <w:i/>
          <w:sz w:val="19"/>
        </w:rPr>
        <w:t>HÌNH 4.1</w:t>
      </w:r>
    </w:p>
    <w:p>
      <w:pPr>
        <w:spacing w:after="80"/>
      </w:pPr>
      <w:r>
        <w:rPr>
          <w:b w:val="0"/>
          <w:i w:val="0"/>
        </w:rPr>
        <w:t>Các cổng giai đoạn (stage-gate) là những buổi kiểm tra chính thức giữa mỗi giai đoạn của quá trình. Thực chất, chúng giảm thiểu rủi ro và cải thiện kết quả bằng cách ưu tiên những nỗ lực đã chứng minh được giá trị trước khi đầu tư thêm nguồn lực. Điều quan trọng là phải đặt giới hạn thời gian cho các giai đoạn khác nhau để tránh lập kế hoạch vô tận, và buộc phải ưu tiên các nỗ lực.</w:t>
      </w:r>
    </w:p>
    <w:p>
      <w:pPr>
        <w:spacing w:after="80"/>
      </w:pPr>
      <w:r>
        <w:rPr>
          <w:b w:val="0"/>
          <w:i w:val="0"/>
        </w:rPr>
        <w:t>Lưu ý rằng quy trình chúng tôi trình bày ngụ ý một cách tiếp cận tuần tự có thứ tự, nhưng trên thực tế thường có sự chồng chéo giữa các giai đoạn và một số phần có thể diễn ra song song. Ví dụ, bạn có thể phát triển một POC trong khi đang tái hình dung một lĩnh vực để giúp đánh giá cơ hội. Tuy nhiên, điểm mấu chốt là chương trình của bạn cần đi qua từng giai đoạn để giảm rủi ro và tăng cơ hội thành công.</w:t>
      </w:r>
    </w:p>
    <w:p>
      <w:pPr>
        <w:spacing w:after="80"/>
      </w:pPr>
      <w:r>
        <w:rPr>
          <w:b/>
          <w:i/>
        </w:rPr>
        <w:t>Tái hình dung lĩnh vực là giai đoạn quan trọng nhất để mở ra giá trị mang tính đột phá. Các lãnh đạo cấp cao phải tham gia sâu sát</w:t>
      </w:r>
      <w:r>
        <w:rPr>
          <w:b/>
          <w:i w:val="0"/>
        </w:rPr>
        <w:t>.</w:t>
      </w:r>
    </w:p>
    <w:p>
      <w:pPr>
        <w:jc w:val="center"/>
      </w:pPr>
      <w:r>
        <w:drawing>
          <wp:inline xmlns:a="http://schemas.openxmlformats.org/drawingml/2006/main" xmlns:pic="http://schemas.openxmlformats.org/drawingml/2006/picture">
            <wp:extent cx="457200" cy="447675"/>
            <wp:docPr id="28" name="Picture 28"/>
            <wp:cNvGraphicFramePr>
              <a:graphicFrameLocks noChangeAspect="1"/>
            </wp:cNvGraphicFramePr>
            <a:graphic>
              <a:graphicData uri="http://schemas.openxmlformats.org/drawingml/2006/picture">
                <pic:pic>
                  <pic:nvPicPr>
                    <pic:cNvPr id="0" name="CASE_STUDY_darkblue.png"/>
                    <pic:cNvPicPr/>
                  </pic:nvPicPr>
                  <pic:blipFill>
                    <a:blip r:embed="rId29"/>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Giai đoạn hóa phát triển để giảm thiểu rủi ro</w:t>
      </w:r>
    </w:p>
    <w:p>
      <w:pPr>
        <w:spacing w:after="80"/>
      </w:pPr>
      <w:r>
        <w:rPr>
          <w:b w:val="0"/>
          <w:i w:val="0"/>
        </w:rPr>
        <w:t>Air Canada có một tầm nhìn về việc phát triển một giải pháp quản lý doanh thu tinh vi cho mảng kinh doanh vận tải hàng hóa của mình. Niềm tin là doanh nghiệp có thể xây dựng một công cụ dự báo tốt hơn giải pháp SaaS hiện tại, bởi vì Air Canada có thể khai thác tốt hơn toàn bộ dữ liệu độc quyền của chính mình.</w:t>
      </w:r>
    </w:p>
    <w:p>
      <w:pPr>
        <w:spacing w:after="80"/>
      </w:pPr>
      <w:r>
        <w:rPr>
          <w:b w:val="0"/>
          <w:i w:val="0"/>
        </w:rPr>
        <w:t>Khi phát triển một giải pháp như vậy, nhóm tập trung trước tiên vào việc chứng minh hiệu suất dự báo tốt hơn của mô hình trước khi dành bất kỳ thời gian nào để phát triển giao diện người dùng. Hơn nữa, nhóm biết rằng hiệu suất của mô hình sẽ tiến hóa cùng với nhiều dữ liệu và độ tinh vi mô hình hóa hơn, nhưng điều này sẽ cần thời gian. Họ quyết định tập trung POC vào các tính năng dữ liệu và mô hình hóa dễ bắt đầu nhất và có cơ hội cao nhất để vượt trội so với giải pháp SaaS hiện tại.</w:t>
      </w:r>
    </w:p>
    <w:p>
      <w:pPr>
        <w:spacing w:after="80"/>
      </w:pPr>
      <w:r>
        <w:rPr>
          <w:b w:val="0"/>
          <w:i w:val="0"/>
        </w:rPr>
        <w:t>Phiên bản đầu tiên của mô hình bắt đầu với dữ liệu lịch sử về mức độ sử dụng hàng hóa cho từng tuyến bay. Mô hình dự báo nhu cầu thu được là tốt, nhưng nó không vượt trội so với giải pháp SaaS hiện tại của họ. Nhóm quyết định theo đuổi mức độ tinh vi tiếp theo của mô hình bằng cách thêm dữ liệu bên ngoài về tốc độ tăng trưởng lịch sử của ngành cho từng khách hàng vận tải hàng hóa. Bingo! Điều này mang lại thêm sức mạnh dự đoán và đẩy mô hình vượt lên trên giải pháp SaaS thay thế.</w:t>
      </w:r>
    </w:p>
    <w:p>
      <w:pPr>
        <w:spacing w:after="80"/>
      </w:pPr>
      <w:r>
        <w:rPr>
          <w:b w:val="0"/>
          <w:i w:val="0"/>
        </w:rPr>
        <w:t>Tại thời điểm này, POC đã hoàn tất. Nhóm biết sẽ có nhiều cải tiến hơn trong tương lai, nhưng đã đến lúc đưa giải pháp ban đầu vào tay tổ chức thương mại vận tải hàng hóa với mục tiêu phát triển nó thông qua việc sử dụng.</w:t>
      </w:r>
    </w:p>
    <w:p>
      <w:pPr>
        <w:pStyle w:val="Heading2"/>
      </w:pPr>
      <w:r>
        <w:rPr>
          <w:rFonts w:ascii="Calibri" w:hAnsi="Calibri"/>
          <w:b/>
          <w:i w:val="0"/>
          <w:sz w:val="32"/>
        </w:rPr>
        <w:t>Quy trình tái tưởng tượng một lĩnh vực</w:t>
      </w:r>
    </w:p>
    <w:p>
      <w:pPr>
        <w:spacing w:after="80"/>
      </w:pPr>
      <w:r>
        <w:rPr>
          <w:b w:val="0"/>
          <w:i w:val="0"/>
        </w:rPr>
        <w:t>Tái tưởng tượng lĩnh vực—giai đoạn đầu tiên của phương pháp tiếp cận DVD—tuân theo năm bước, như được trình bày trong Triển lãm 4.2. Việc thực hiện từng bước giúp trả lời các câu hỏi chính khiến các nhà điều hành đau đầu ở giai đoạn này: Làm thế nào để chúng ta tránh rơi vào tình trạng hoặc quá nhiều chủ nghĩa gia tăng hoặc quá nhiều suy nghĩ viển vông? Cần độ chính xác đến mức nào? Chúng ta nên tính đến các khoản đầu tư nền tảng vào dữ liệu và công nghệ như thế nào?</w:t>
      </w:r>
    </w:p>
    <w:p>
      <w:pPr>
        <w:jc w:val="center"/>
      </w:pPr>
      <w:r>
        <w:drawing>
          <wp:inline xmlns:a="http://schemas.openxmlformats.org/drawingml/2006/main" xmlns:pic="http://schemas.openxmlformats.org/drawingml/2006/picture">
            <wp:extent cx="5486400" cy="3596824"/>
            <wp:docPr id="29" name="Picture 29"/>
            <wp:cNvGraphicFramePr>
              <a:graphicFrameLocks noChangeAspect="1"/>
            </wp:cNvGraphicFramePr>
            <a:graphic>
              <a:graphicData uri="http://schemas.openxmlformats.org/drawingml/2006/picture">
                <pic:pic>
                  <pic:nvPicPr>
                    <pic:cNvPr id="0" name="c04ex002.png"/>
                    <pic:cNvPicPr/>
                  </pic:nvPicPr>
                  <pic:blipFill>
                    <a:blip r:embed="rId30"/>
                    <a:stretch>
                      <a:fillRect/>
                    </a:stretch>
                  </pic:blipFill>
                  <pic:spPr>
                    <a:xfrm>
                      <a:off x="0" y="0"/>
                      <a:ext cx="5486400" cy="3596824"/>
                    </a:xfrm>
                    <a:prstGeom prst="rect"/>
                  </pic:spPr>
                </pic:pic>
              </a:graphicData>
            </a:graphic>
          </wp:inline>
        </w:drawing>
      </w:r>
    </w:p>
    <w:p>
      <w:pPr>
        <w:spacing w:after="160"/>
        <w:jc w:val="center"/>
      </w:pPr>
      <w:r>
        <w:rPr>
          <w:rFonts w:ascii="Calibri" w:hAnsi="Calibri"/>
          <w:b w:val="0"/>
          <w:i/>
          <w:sz w:val="19"/>
        </w:rPr>
        <w:t>TRIỂN LÃM 4.2</w:t>
      </w:r>
    </w:p>
    <w:p>
      <w:pPr>
        <w:spacing w:after="80"/>
      </w:pPr>
      <w:r>
        <w:rPr>
          <w:b w:val="0"/>
          <w:i w:val="0"/>
        </w:rPr>
        <w:t>Tại một nhà bán lẻ lớn đã xác định giá cả là một lĩnh vực ưu tiên, trưởng bộ phận thương mại đã bảo trợ cho nhóm tái tưởng tượng. Nhóm đó bao gồm trưởng bộ phận giá cả, hai chuyên gia về lĩnh vực từ các kênh cửa hàng và trực tuyến, một trưởng nhóm khoa học dữ liệu, một trưởng nhóm công nghệ, và một trưởng nhóm dữ liệu cấp cao. Đây là cách họ tiếp cận năm bước của tái tưởng tượng lĩnh vực trong một nỗ lực kéo dài hai tháng:</w:t>
      </w:r>
    </w:p>
    <w:p>
      <w:pPr>
        <w:spacing w:after="80"/>
      </w:pPr>
      <w:r>
        <w:rPr>
          <w:b/>
          <w:i w:val="0"/>
        </w:rPr>
        <w:t>Bước 1: Trình bày rõ ràng vấn đề kinh doanh cần giải quyết.</w:t>
      </w:r>
      <w:r>
        <w:rPr>
          <w:b w:val="0"/>
          <w:i w:val="0"/>
        </w:rPr>
        <w:t xml:space="preserve"> Nhóm bắt đầu bằng việc đánh giá chuẩn các thực hành định giá của mình so với các thực hành của các đối thủ cùng ngành và các nhà bán lẻ hàng đầu (bao gồm cả các nhà bán lẻ trực tuyến thuần túy). Họ phỏng vấn các chuyên gia bên ngoài và thăm các nhà bán lẻ không cạnh tranh để phát triển đánh giá của mình. Đây là những gì nhóm phát hiện:</w:t>
      </w:r>
    </w:p>
    <w:p>
      <w:pPr>
        <w:spacing w:after="80"/>
      </w:pPr>
      <w:r>
        <w:rPr>
          <w:b w:val="0"/>
          <w:i/>
        </w:rPr>
        <w:t>"Đánh giá của chúng tôi cho thấy rằng các năng lực định giá hiện tại của chúng tôi tụt hậu đáng kể so với các nhà bán lẻ hàng đầu. Ngày nay, việc định giá vẫn phần lớn mang tính thủ công, phân mảnh theo các danh mục, và được thúc đẩy bởi phán đoán thay vì dữ liệu</w:t>
      </w:r>
      <w:r>
        <w:rPr>
          <w:b w:val="0"/>
          <w:i w:val="0"/>
        </w:rPr>
        <w:t>.</w:t>
      </w:r>
    </w:p>
    <w:p>
      <w:pPr>
        <w:spacing w:after="80"/>
      </w:pPr>
      <w:r>
        <w:rPr>
          <w:b w:val="0"/>
          <w:i/>
        </w:rPr>
        <w:t>Việc sử dụng phân tích nâng cao hoặc dữ liệu thời gian thực trong việc thiết lập giá còn hạn chế, dẫn đến khả năng phản hồi chậm chạp trước những thay đổi của thị trường và các động thái của đối thủ. Các quy trình thực thi cũng không nhất quán, với sự không khớp giá thường xuyên giữa các kênh trực tuyến và tại cửa hàng và khả năng hiển thị hạn chế về hiệu quả khuyến mãi</w:t>
      </w:r>
      <w:r>
        <w:rPr>
          <w:b w:val="0"/>
          <w:i w:val="0"/>
        </w:rPr>
        <w:t>.</w:t>
      </w:r>
    </w:p>
    <w:p>
      <w:pPr>
        <w:spacing w:after="80"/>
      </w:pPr>
      <w:r>
        <w:rPr>
          <w:b w:val="0"/>
          <w:i/>
        </w:rPr>
        <w:t>Chúng tôi có cơ hội phát triển một hệ thống định giá tích hợp, được hỗ trợ bởi AI, sử dụng tự động hóa, dữ liệu thời gian thực, và ra quyết định động để liên tục tối ưu hóa biên lợi nhuận, khả năng cạnh tranh, và nhận thức của khách hàng. Chúng tôi nhận thấy điều này đáng giá hàng trăm triệu đô la về biên lợi nhuận gia tăng và tăng trưởng hữu cơ lành mạnh hơn."</w:t>
      </w:r>
    </w:p>
    <w:p>
      <w:pPr>
        <w:spacing w:after="80"/>
      </w:pPr>
      <w:r>
        <w:rPr>
          <w:b w:val="0"/>
          <w:i w:val="0"/>
        </w:rPr>
        <w:t>Mặc dù những phát hiện này không gây ngạc nhiên cho trưởng bộ phận thương mại, nhưng các sự kiện mà nhóm đã tìm ra đã giúp xác lập bản chất thực sự của khoảng cách và tính cấp bách phải hành động.</w:t>
      </w:r>
    </w:p>
    <w:p>
      <w:pPr>
        <w:pStyle w:val="Heading2"/>
      </w:pPr>
      <w:r>
        <w:rPr>
          <w:rFonts w:ascii="Calibri" w:hAnsi="Calibri"/>
          <w:b/>
          <w:i w:val="0"/>
          <w:sz w:val="32"/>
        </w:rPr>
        <w:t>Các góc nhìn chẩn đoán để làm nổi bật cơ hội</w:t>
      </w:r>
    </w:p>
    <w:p>
      <w:pPr>
        <w:spacing w:after="80"/>
        <w:ind w:left="360"/>
      </w:pPr>
      <w:r>
        <w:t xml:space="preserve">• </w:t>
      </w:r>
      <w:r>
        <w:rPr>
          <w:b w:val="0"/>
          <w:i w:val="0"/>
        </w:rPr>
        <w:t>Xác định các điểm đau của khách hàng.</w:t>
      </w:r>
    </w:p>
    <w:p>
      <w:pPr>
        <w:spacing w:after="80"/>
        <w:ind w:left="360"/>
      </w:pPr>
      <w:r>
        <w:t xml:space="preserve">• </w:t>
      </w:r>
      <w:r>
        <w:rPr>
          <w:b w:val="0"/>
          <w:i w:val="0"/>
        </w:rPr>
        <w:t>Phát hiện những nhu cầu chưa được đáp ứng của khách hàng.</w:t>
      </w:r>
    </w:p>
    <w:p>
      <w:pPr>
        <w:spacing w:after="80"/>
        <w:ind w:left="360"/>
      </w:pPr>
      <w:r>
        <w:t xml:space="preserve">• </w:t>
      </w:r>
      <w:r>
        <w:rPr>
          <w:b w:val="0"/>
          <w:i w:val="0"/>
        </w:rPr>
        <w:t>Đánh giá các thông lệ quản lý và vận hành so với các đối thủ cùng ngành và những hình mẫu tiêu biểu.</w:t>
      </w:r>
    </w:p>
    <w:p>
      <w:pPr>
        <w:spacing w:after="80"/>
        <w:ind w:left="360"/>
      </w:pPr>
      <w:r>
        <w:t xml:space="preserve">• </w:t>
      </w:r>
      <w:r>
        <w:rPr>
          <w:b w:val="0"/>
          <w:i w:val="0"/>
        </w:rPr>
        <w:t>Xác định các lãng phí trong quy trình (như thời gian chờ đợi, làm lại, hoặc công việc kém chất lượng).</w:t>
      </w:r>
    </w:p>
    <w:p>
      <w:pPr>
        <w:spacing w:after="80"/>
        <w:ind w:left="360"/>
      </w:pPr>
      <w:r>
        <w:t xml:space="preserve">• </w:t>
      </w:r>
      <w:r>
        <w:rPr>
          <w:b w:val="0"/>
          <w:i w:val="0"/>
        </w:rPr>
        <w:t>Đo lường chuẩn (benchmarking) hiệu suất và năng suất của quy trình.</w:t>
      </w:r>
    </w:p>
    <w:p>
      <w:pPr>
        <w:spacing w:after="80"/>
      </w:pPr>
      <w:r>
        <w:rPr>
          <w:b/>
          <w:i w:val="0"/>
        </w:rPr>
        <w:t>Bước 2: Xây dựng một lộ trình chuyển đổi lĩnh vực đầy thuyết phục.</w:t>
      </w:r>
      <w:r>
        <w:rPr>
          <w:b w:val="0"/>
          <w:i w:val="0"/>
        </w:rPr>
        <w:t xml:space="preserve"> Phần này nói thì dễ hơn làm. Thách thức ở giai đoạn này là dễ rơi vào những cải tiến nhỏ lẻ hoặc vẽ ra một tầm nhìn thiếu thực tế.</w:t>
      </w:r>
    </w:p>
    <w:p>
      <w:pPr>
        <w:spacing w:after="80"/>
      </w:pPr>
      <w:r>
        <w:rPr>
          <w:b w:val="0"/>
          <w:i w:val="0"/>
        </w:rPr>
        <w:t>Một điểm khởi đầu tốt là xác định những giáo điều (orthodoxies) đang làm nền tảng cho cách làm việc hiện tại của bạn và rất có thể đang kìm hãm những nỗ lực tái tưởng tượng của bạn. Dưới đây là ba giáo điều mà nhà bán lẻ trong ví dụ của chúng ta đã xác định:</w:t>
      </w:r>
    </w:p>
    <w:p>
      <w:pPr>
        <w:spacing w:after="80"/>
        <w:ind w:left="360"/>
      </w:pPr>
      <w:r>
        <w:t xml:space="preserve">• </w:t>
      </w:r>
      <w:r>
        <w:rPr>
          <w:b w:val="0"/>
          <w:i/>
        </w:rPr>
        <w:t>Định giá là để kiểm soát</w:t>
      </w:r>
      <w:r>
        <w:rPr>
          <w:b w:val="0"/>
          <w:i w:val="0"/>
        </w:rPr>
        <w:t xml:space="preserve"> (so với học hỏi qua kiểm thử liên tục và thích ứng).</w:t>
      </w:r>
    </w:p>
    <w:p>
      <w:pPr>
        <w:spacing w:after="80"/>
        <w:ind w:left="360"/>
      </w:pPr>
      <w:r>
        <w:t xml:space="preserve">• </w:t>
      </w:r>
      <w:r>
        <w:rPr>
          <w:b w:val="0"/>
          <w:i/>
        </w:rPr>
        <w:t>Tốc độ định giá bị giới hạn bởi tốc độ phản ứng của con người</w:t>
      </w:r>
      <w:r>
        <w:rPr>
          <w:b w:val="0"/>
          <w:i w:val="0"/>
        </w:rPr>
        <w:t xml:space="preserve"> (so với dùng tự động hóa để cho phép định giá theo thời gian thực).</w:t>
      </w:r>
    </w:p>
    <w:p>
      <w:pPr>
        <w:spacing w:after="80"/>
        <w:ind w:left="360"/>
      </w:pPr>
      <w:r>
        <w:t xml:space="preserve">• </w:t>
      </w:r>
      <w:r>
        <w:rPr>
          <w:b w:val="0"/>
          <w:i/>
        </w:rPr>
        <w:t>Mục tiêu là đạt chỉ tiêu biên lợi nhuận</w:t>
      </w:r>
      <w:r>
        <w:rPr>
          <w:b w:val="0"/>
          <w:i w:val="0"/>
        </w:rPr>
        <w:t xml:space="preserve"> (so với giá trị vòng đời khách hàng, nhận thức về giá, và tỷ lệ chi tiêu của khách hàng dành cho mình).</w:t>
      </w:r>
    </w:p>
    <w:p>
      <w:pPr>
        <w:spacing w:after="80"/>
      </w:pPr>
      <w:r>
        <w:rPr>
          <w:b w:val="0"/>
          <w:i w:val="0"/>
        </w:rPr>
        <w:t>Khi bạn dành thời gian xác định các giáo điều, bạn sẽ mở ra không gian tái tưởng tượng.</w:t>
      </w:r>
    </w:p>
    <w:p>
      <w:pPr>
        <w:jc w:val="center"/>
      </w:pPr>
      <w:r>
        <w:drawing>
          <wp:inline xmlns:a="http://schemas.openxmlformats.org/drawingml/2006/main" xmlns:pic="http://schemas.openxmlformats.org/drawingml/2006/picture">
            <wp:extent cx="457200" cy="447675"/>
            <wp:docPr id="30" name="Picture 30"/>
            <wp:cNvGraphicFramePr>
              <a:graphicFrameLocks noChangeAspect="1"/>
            </wp:cNvGraphicFramePr>
            <a:graphic>
              <a:graphicData uri="http://schemas.openxmlformats.org/drawingml/2006/picture">
                <pic:pic>
                  <pic:nvPicPr>
                    <pic:cNvPr id="0" name="MANAGEMENT_TIP_darkblue.png"/>
                    <pic:cNvPicPr/>
                  </pic:nvPicPr>
                  <pic:blipFill>
                    <a:blip r:embed="rId3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Tư duy chi phí bằng không</w:t>
      </w:r>
    </w:p>
    <w:p>
      <w:pPr>
        <w:spacing w:after="80"/>
      </w:pPr>
      <w:r>
        <w:rPr>
          <w:b w:val="0"/>
          <w:i w:val="0"/>
        </w:rPr>
        <w:t>Khi AI, và cụ thể là GenAI, ngày càng trưởng thành, nó mang đến một bước mới cần cân nhắc: tư duy chi phí bằng không. Ví dụ: Điều gì sẽ xảy ra nếu việc tạo nội dung tiếp thị không tốn của bạn đồng nào? Bạn sẽ phát triển các hoạt động tiếp cận được cá nhân hóa hơn. Hoặc, điều gì sẽ xảy ra nếu việc thu thập giá của đối thủ có chi phí bằng không? Bạn sẽ điều chỉnh giá của mình ngay lập tức. Kiểu tư duy này giúp nhìn ra những khả năng mới.</w:t>
      </w:r>
    </w:p>
    <w:p>
      <w:pPr>
        <w:spacing w:after="80"/>
      </w:pPr>
      <w:r>
        <w:rPr>
          <w:b w:val="0"/>
          <w:i w:val="0"/>
        </w:rPr>
        <w:t>Cuối cùng, hãy đắm mình vào nghệ thuật của những điều khả thi bằng cách xem xét những công ty đã tiến xa hơn trên hành trình này. Trong ngành bán lẻ, đó sẽ là những ông lớn thương mại điện tử như Amazon và Alibaba, hoặc những ngành như hàng không và khách sạn với động lực định giá theo thời gian thực. Theo kinh nghiệm của chúng tôi, việc nỗ lực học hỏi từ bên ngoài ngành của bạn luôn mang lại những hiểu biết phong phú cho việc tái tưởng tượng.</w:t>
      </w:r>
    </w:p>
    <w:p>
      <w:pPr>
        <w:spacing w:after="80"/>
      </w:pPr>
      <w:r>
        <w:rPr>
          <w:b w:val="0"/>
          <w:i w:val="0"/>
        </w:rPr>
        <w:t>Quá trình này đã dẫn nhà bán lẻ của chúng ta đến việc xây dựng một tầm nhìn cụ thể về cách định giá có thể được tái tưởng tượng bằng dữ liệu và AI (Hình 4.3).</w:t>
      </w:r>
    </w:p>
    <w:p>
      <w:pPr>
        <w:spacing w:after="80"/>
      </w:pPr>
      <w:r>
        <w:rPr>
          <w:b w:val="0"/>
          <w:i w:val="0"/>
        </w:rPr>
        <w:t>Họ đã ưu tiên chín trường hợp sử dụng có giá trị cao, mỗi trường hợp có lộ trình phát triển riêng được sắp xếp theo mức độ tinh vi ngày càng tăng của trường hợp sử dụng, từ đơn giản (Cấp 1) đến rất tinh vi (Cấp 3) như thể hiện trong Hình 4.4.</w:t>
      </w:r>
    </w:p>
    <w:p>
      <w:pPr>
        <w:spacing w:after="80"/>
      </w:pPr>
      <w:r>
        <w:rPr>
          <w:b w:val="0"/>
          <w:i w:val="0"/>
        </w:rPr>
        <w:t>Suy nghĩ theo từng cấp độ vừa giúp tránh xây dựng một lộ trình dồn lợi ích về cuối, vừa giữ cho đội ngũ tập trung vào việc đạt được các cột mốc cụ thể mỗi 6 đến 12 tháng. Mỗi cấp độ tập trung vào giá trị mục tiêu bổ sung, và đòi hỏi thêm nguồn tài trợ.</w:t>
      </w:r>
    </w:p>
    <w:p>
      <w:pPr>
        <w:jc w:val="center"/>
      </w:pPr>
      <w:r>
        <w:drawing>
          <wp:inline xmlns:a="http://schemas.openxmlformats.org/drawingml/2006/main" xmlns:pic="http://schemas.openxmlformats.org/drawingml/2006/picture">
            <wp:extent cx="5486400" cy="6770887"/>
            <wp:docPr id="31" name="Picture 31"/>
            <wp:cNvGraphicFramePr>
              <a:graphicFrameLocks noChangeAspect="1"/>
            </wp:cNvGraphicFramePr>
            <a:graphic>
              <a:graphicData uri="http://schemas.openxmlformats.org/drawingml/2006/picture">
                <pic:pic>
                  <pic:nvPicPr>
                    <pic:cNvPr id="0" name="c04ex003.png"/>
                    <pic:cNvPicPr/>
                  </pic:nvPicPr>
                  <pic:blipFill>
                    <a:blip r:embed="rId32"/>
                    <a:stretch>
                      <a:fillRect/>
                    </a:stretch>
                  </pic:blipFill>
                  <pic:spPr>
                    <a:xfrm>
                      <a:off x="0" y="0"/>
                      <a:ext cx="5486400" cy="6770887"/>
                    </a:xfrm>
                    <a:prstGeom prst="rect"/>
                  </pic:spPr>
                </pic:pic>
              </a:graphicData>
            </a:graphic>
          </wp:inline>
        </w:drawing>
      </w:r>
    </w:p>
    <w:p>
      <w:pPr>
        <w:spacing w:after="160"/>
        <w:jc w:val="center"/>
      </w:pPr>
      <w:r>
        <w:rPr>
          <w:rFonts w:ascii="Calibri" w:hAnsi="Calibri"/>
          <w:b w:val="0"/>
          <w:i/>
          <w:sz w:val="19"/>
        </w:rPr>
        <w:t>HÌNH 4.3</w:t>
      </w:r>
    </w:p>
    <w:p>
      <w:pPr>
        <w:jc w:val="center"/>
      </w:pPr>
      <w:r>
        <w:drawing>
          <wp:inline xmlns:a="http://schemas.openxmlformats.org/drawingml/2006/main" xmlns:pic="http://schemas.openxmlformats.org/drawingml/2006/picture">
            <wp:extent cx="5486400" cy="6698789"/>
            <wp:docPr id="32" name="Picture 32"/>
            <wp:cNvGraphicFramePr>
              <a:graphicFrameLocks noChangeAspect="1"/>
            </wp:cNvGraphicFramePr>
            <a:graphic>
              <a:graphicData uri="http://schemas.openxmlformats.org/drawingml/2006/picture">
                <pic:pic>
                  <pic:nvPicPr>
                    <pic:cNvPr id="0" name="c04ex004.png"/>
                    <pic:cNvPicPr/>
                  </pic:nvPicPr>
                  <pic:blipFill>
                    <a:blip r:embed="rId33"/>
                    <a:stretch>
                      <a:fillRect/>
                    </a:stretch>
                  </pic:blipFill>
                  <pic:spPr>
                    <a:xfrm>
                      <a:off x="0" y="0"/>
                      <a:ext cx="5486400" cy="6698789"/>
                    </a:xfrm>
                    <a:prstGeom prst="rect"/>
                  </pic:spPr>
                </pic:pic>
              </a:graphicData>
            </a:graphic>
          </wp:inline>
        </w:drawing>
      </w:r>
    </w:p>
    <w:p>
      <w:pPr>
        <w:spacing w:after="160"/>
        <w:jc w:val="center"/>
      </w:pPr>
      <w:r>
        <w:rPr>
          <w:rFonts w:ascii="Calibri" w:hAnsi="Calibri"/>
          <w:b w:val="0"/>
          <w:i/>
          <w:sz w:val="19"/>
        </w:rPr>
        <w:t>HÌNH 4.4</w:t>
      </w:r>
    </w:p>
    <w:p>
      <w:pPr>
        <w:jc w:val="center"/>
      </w:pPr>
      <w:r>
        <w:drawing>
          <wp:inline xmlns:a="http://schemas.openxmlformats.org/drawingml/2006/main" xmlns:pic="http://schemas.openxmlformats.org/drawingml/2006/picture">
            <wp:extent cx="5486400" cy="5940114"/>
            <wp:docPr id="33" name="Picture 33"/>
            <wp:cNvGraphicFramePr>
              <a:graphicFrameLocks noChangeAspect="1"/>
            </wp:cNvGraphicFramePr>
            <a:graphic>
              <a:graphicData uri="http://schemas.openxmlformats.org/drawingml/2006/picture">
                <pic:pic>
                  <pic:nvPicPr>
                    <pic:cNvPr id="0" name="c04ex005.png"/>
                    <pic:cNvPicPr/>
                  </pic:nvPicPr>
                  <pic:blipFill>
                    <a:blip r:embed="rId34"/>
                    <a:stretch>
                      <a:fillRect/>
                    </a:stretch>
                  </pic:blipFill>
                  <pic:spPr>
                    <a:xfrm>
                      <a:off x="0" y="0"/>
                      <a:ext cx="5486400" cy="5940114"/>
                    </a:xfrm>
                    <a:prstGeom prst="rect"/>
                  </pic:spPr>
                </pic:pic>
              </a:graphicData>
            </a:graphic>
          </wp:inline>
        </w:drawing>
      </w:r>
    </w:p>
    <w:p>
      <w:pPr>
        <w:spacing w:after="160"/>
        <w:jc w:val="center"/>
      </w:pPr>
      <w:r>
        <w:rPr>
          <w:rFonts w:ascii="Calibri" w:hAnsi="Calibri"/>
          <w:b w:val="0"/>
          <w:i/>
          <w:sz w:val="19"/>
        </w:rPr>
        <w:t>HÌNH 4.5</w:t>
      </w:r>
    </w:p>
    <w:p>
      <w:pPr>
        <w:spacing w:after="80"/>
      </w:pPr>
      <w:r>
        <w:rPr>
          <w:b/>
          <w:i w:val="0"/>
        </w:rPr>
        <w:t>Bước 3: Đánh giá các năng lực về dữ liệu và công nghệ cần thiết.</w:t>
      </w:r>
      <w:r>
        <w:rPr>
          <w:b w:val="0"/>
          <w:i w:val="0"/>
        </w:rPr>
        <w:t xml:space="preserve"> Các khoản đầu tư vào những năng lực nền tảng như dữ liệu và công nghệ cần được gắn kết với giá trị mà chúng mang lại trong các tình huống sử dụng (use case).</w:t>
      </w:r>
    </w:p>
    <w:p>
      <w:pPr>
        <w:spacing w:after="80"/>
      </w:pPr>
      <w:r>
        <w:rPr>
          <w:b w:val="0"/>
          <w:i w:val="0"/>
        </w:rPr>
        <w:t>Với nhà bán lẻ của chúng ta, Hình 4.5 cho thấy đánh giá mức độ sẵn sàng về dữ liệu được gắn với cùng tiến trình tình huống sử dụng Cấp 1–3. Đây là một góc nhìn hữu ích để ưu tiên công việc của đội kỹ thuật dữ liệu. Cách tiếp cận tương tự cũng nên được áp dụng cho các năng lực nền tảng công nghệ. Bước 3 thường cần sự hướng dẫn của các chuyên gia như kiến trúc sư dữ liệu, kiến trúc sư giải pháp và kỹ sư AI.</w:t>
      </w:r>
    </w:p>
    <w:p>
      <w:pPr>
        <w:spacing w:after="80"/>
      </w:pPr>
      <w:r>
        <w:rPr>
          <w:b w:val="0"/>
          <w:i w:val="0"/>
        </w:rPr>
        <w:t>Hãy cẩn thận đừng làm quá tải những nỗ lực lĩnh vực ban đầu bằng các chi phí nền tảng lớn như cam kết về cloud và LLM, xây dựng nền tảng, và tuyển dụng ồ ạt. Khi điều đó xảy ra, hiệu quả kinh tế ngắn hạn trông kém hấp dẫn, việc bị khóa vào nhà cung cấp (vendor lock-in) làm hạn chế tính linh hoạt, và sự ủng hộ từ ban lãnh đạo suy yếu, ngay cả khi kiến trúc là hợp lý.</w:t>
      </w:r>
    </w:p>
    <w:p>
      <w:pPr>
        <w:spacing w:after="80"/>
      </w:pPr>
      <w:r>
        <w:rPr>
          <w:b/>
          <w:i w:val="0"/>
        </w:rPr>
        <w:t>Bước 4: Đánh giá các khoản đầu tư và lợi ích kỳ vọng từ quá trình chuyển đổi.</w:t>
      </w:r>
      <w:r>
        <w:rPr>
          <w:b w:val="0"/>
          <w:i w:val="0"/>
        </w:rPr>
        <w:t xml:space="preserve"> Qua nhiều năm, chúng tôi đã rút ra một vài bài học then chốt về cách làm điều này cho tốt:</w:t>
      </w:r>
    </w:p>
    <w:p>
      <w:pPr>
        <w:spacing w:after="80"/>
        <w:ind w:left="360"/>
      </w:pPr>
      <w:r>
        <w:t xml:space="preserve">• </w:t>
      </w:r>
      <w:r>
        <w:rPr>
          <w:b/>
          <w:i w:val="0"/>
        </w:rPr>
        <w:t>Tránh độ chính xác giả tạo.</w:t>
      </w:r>
      <w:r>
        <w:rPr>
          <w:b w:val="0"/>
          <w:i w:val="0"/>
        </w:rPr>
        <w:t xml:space="preserve"> Thời gian hoàn vốn điển hình cho đổi mới kinh doanh bằng Tech &amp; AI thường là bội số của khoản đầu tư (1x–5x). Đạt độ chính xác trong khoảng 30% khi ước tính đầu tư hoặc lợi ích là đủ với kiểu lợi nhuận này.</w:t>
      </w:r>
    </w:p>
    <w:p>
      <w:pPr>
        <w:spacing w:after="80"/>
        <w:ind w:left="360"/>
      </w:pPr>
      <w:r>
        <w:t xml:space="preserve">• </w:t>
      </w:r>
      <w:r>
        <w:rPr>
          <w:b/>
          <w:i w:val="0"/>
        </w:rPr>
        <w:t>Neo tiến độ vào các KPI.</w:t>
      </w:r>
      <w:r>
        <w:rPr>
          <w:b w:val="0"/>
          <w:i w:val="0"/>
        </w:rPr>
        <w:t xml:space="preserve"> Hãy ước tính các KPI vận hành then chốt sẽ cải thiện ra sao và gắn chúng trở lại với các động lực tài chính như biên lợi nhuận và tăng trưởng. Trong ví dụ về định giá của chúng ta, các KPI then chốt bao gồm tỷ lệ giảm giá (markdown percentage) và số ngày tồn kho. Mỗi điểm cải thiện ở những KPI này đều có thể quy đổi thành EBITDA.</w:t>
      </w:r>
    </w:p>
    <w:p>
      <w:pPr>
        <w:spacing w:after="80"/>
        <w:ind w:left="360"/>
      </w:pPr>
      <w:r>
        <w:t xml:space="preserve">• </w:t>
      </w:r>
      <w:r>
        <w:rPr>
          <w:b/>
          <w:i w:val="0"/>
        </w:rPr>
        <w:t>Chia tài chính theo từng giai đoạn (stage-gate).</w:t>
      </w:r>
      <w:r>
        <w:rPr>
          <w:b w:val="0"/>
          <w:i w:val="0"/>
        </w:rPr>
        <w:t xml:space="preserve"> Mỗi cột mốc trong quá trình phát triển các tình huống sử dụng cần có lợi ích và khoản đầu tư tương ứng. Điều này giúp duy trì sự tập trung ngắn hạn và giảm thiểu rủi ro tổng thể.</w:t>
      </w:r>
    </w:p>
    <w:p>
      <w:pPr>
        <w:spacing w:after="80"/>
        <w:ind w:left="360"/>
      </w:pPr>
      <w:r>
        <w:t xml:space="preserve">• </w:t>
      </w:r>
      <w:r>
        <w:rPr>
          <w:b/>
          <w:i w:val="0"/>
        </w:rPr>
        <w:t>Đừng bỏ qua quản lý thay đổi.</w:t>
      </w:r>
      <w:r>
        <w:rPr>
          <w:b w:val="0"/>
          <w:i w:val="0"/>
        </w:rPr>
        <w:t xml:space="preserve"> Quản lý thay đổi thường là khoản đầu tư lớn hơn cả phát triển công nghệ. Những thay đổi liên quan bao gồm đào tạo người dùng, giao diện người dùng mới, thiết kế lại quy trình, sửa đổi các chương trình khuyến khích, truyền thông, v.v.</w:t>
      </w:r>
    </w:p>
    <w:p>
      <w:pPr>
        <w:spacing w:after="80"/>
        <w:ind w:left="360"/>
      </w:pPr>
      <w:r>
        <w:t xml:space="preserve">• </w:t>
      </w:r>
      <w:r>
        <w:rPr>
          <w:b/>
          <w:i w:val="0"/>
        </w:rPr>
        <w:t>Tách biệt chi phí “xây dựng” và “vận hành”.</w:t>
      </w:r>
      <w:r>
        <w:rPr>
          <w:b w:val="0"/>
          <w:i w:val="0"/>
        </w:rPr>
        <w:t xml:space="preserve"> Hãy rõ ràng về các chi phí thường xuyên cần thiết để duy trì các giải pháp của bạn. Ví dụ, việc bảo trì đường ống dữ liệu (data pipeline) thường xuyên, huấn luyện lại mô hình, và chi phí tính toán trên cloud đều cần được tính vào chi phí và lợi ích ròng hằng năm.</w:t>
      </w:r>
    </w:p>
    <w:p>
      <w:pPr>
        <w:spacing w:after="80"/>
        <w:ind w:left="360"/>
      </w:pPr>
      <w:r>
        <w:t xml:space="preserve">• </w:t>
      </w:r>
      <w:r>
        <w:rPr>
          <w:b/>
          <w:i w:val="0"/>
        </w:rPr>
        <w:t>Thiết lập một cơ chế tài trợ rõ ràng cho các năng lực dùng chung.</w:t>
      </w:r>
      <w:r>
        <w:rPr>
          <w:b w:val="0"/>
          <w:i w:val="0"/>
        </w:rPr>
        <w:t xml:space="preserve"> Bất kỳ chuyển đổi lĩnh vực nào cũng đòi hỏi đầu tư vào nền tảng dữ liệu và công nghệ. Những khoản này thường có thể tái sử dụng cho nhiều tình huống sử dụng. Trong khi một số công ty thích chi trả khoản này trong ngân sách của từng tình huống sử dụng, những công ty khác lại thích chi trả tập trung để không làm quá tải những tình huống sử dụng đầu tiên. Cả hai cách đều có ưu và nhược điểm. Điều quan trọng là phải có cuộc trò chuyện này ở cấp ban điều hành (C-suite) và thống nhất một cách tiếp cận.</w:t>
      </w:r>
    </w:p>
    <w:p>
      <w:pPr>
        <w:spacing w:after="80"/>
      </w:pPr>
      <w:r>
        <w:rPr>
          <w:b/>
          <w:i w:val="0"/>
        </w:rPr>
        <w:t>Bước 5: Xây dựng kế hoạch triển khai.</w:t>
      </w:r>
      <w:r>
        <w:rPr>
          <w:b w:val="0"/>
          <w:i w:val="0"/>
        </w:rPr>
        <w:t xml:space="preserve"> Ở đây có một vài quyết định đánh đổi quan trọng cần đưa ra:</w:t>
      </w:r>
    </w:p>
    <w:p>
      <w:pPr>
        <w:spacing w:after="80"/>
        <w:ind w:left="360"/>
      </w:pPr>
      <w:r>
        <w:t xml:space="preserve">• </w:t>
      </w:r>
      <w:r>
        <w:rPr>
          <w:b/>
          <w:i w:val="0"/>
        </w:rPr>
        <w:t>Nguồn lực.</w:t>
      </w:r>
      <w:r>
        <w:rPr>
          <w:b w:val="0"/>
          <w:i w:val="0"/>
        </w:rPr>
        <w:t xml:space="preserve"> Nhà bán lẻ trong ví dụ của chúng ta nên triển khai một đội thực thi duy nhất và sắp xếp công việc tuần tự trong thời gian dài hơn, hay triển khai ba đội song song để tiến hành nhiều giải pháp cùng lúc? Quyết định này sẽ phụ thuộc vào nguồn lực sẵn có và các mục tiêu về tác động tài chính.</w:t>
      </w:r>
    </w:p>
    <w:p>
      <w:pPr>
        <w:spacing w:after="80"/>
        <w:ind w:left="360"/>
      </w:pPr>
      <w:r>
        <w:t xml:space="preserve">• </w:t>
      </w:r>
      <w:r>
        <w:rPr>
          <w:b/>
          <w:i w:val="0"/>
        </w:rPr>
        <w:t>Các phụ thuộc.</w:t>
      </w:r>
      <w:r>
        <w:rPr>
          <w:b w:val="0"/>
          <w:i w:val="0"/>
        </w:rPr>
        <w:t xml:space="preserve"> Việc có sẵn nhân tài hoặc dữ liệu phù hợp, hay sự sẵn sàng của ban lãnh đạo cấp cao, hay việc triển khai một công nghệ nền tảng là những phụ thuộc điển hình ảnh hưởng đến kế hoạch. Trong trường hợp của nhà bán lẻ của chúng ta, việc đầu tư phát triển nhãn kệ điện tử có thể là điều kiện tiên quyết để hiện thực hóa hoàn toàn giá trị mà họ đã xác định trong lộ trình chuyển đổi của mình.</w:t>
      </w:r>
    </w:p>
    <w:p>
      <w:pPr>
        <w:spacing w:after="80"/>
        <w:ind w:left="360"/>
      </w:pPr>
      <w:r>
        <w:t xml:space="preserve">• </w:t>
      </w:r>
      <w:r>
        <w:rPr>
          <w:b/>
          <w:i w:val="0"/>
        </w:rPr>
        <w:t>Rủi ro.</w:t>
      </w:r>
      <w:r>
        <w:rPr>
          <w:b w:val="0"/>
          <w:i w:val="0"/>
        </w:rPr>
        <w:t xml:space="preserve"> Nếu bạn đang theo đuổi một đổi mới kinh doanh chưa được kiểm chứng, điều quan trọng là phải giải quyết sớm những hạng mục rủi ro cao nhất trên lộ trình. Ví dụ, giả sử nhà bán lẻ của chúng ta đã quyết định sử dụng một tác nhân học tăng cường (reinforcement learning) học các hành động định giá tối ưu theo thời gian để điều chỉnh giá liên tục khi điều kiện thị trường thay đổi. Cách tiếp cận này chưa được kiểm chứng. Nếu bài toán kinh doanh phụ thuộc vào nó, thì kế hoạch phải sắp xếp việc thử nghiệm cách tiếp cận này sớm để giảm rủi ro rằng nó không hiệu quả và ảnh hưởng đến các phần khác của kế hoạch.</w:t>
      </w:r>
    </w:p>
    <w:p>
      <w:pPr>
        <w:jc w:val="center"/>
      </w:pPr>
      <w:r>
        <w:drawing>
          <wp:inline xmlns:a="http://schemas.openxmlformats.org/drawingml/2006/main" xmlns:pic="http://schemas.openxmlformats.org/drawingml/2006/picture">
            <wp:extent cx="457200" cy="447675"/>
            <wp:docPr id="34" name="Picture 34"/>
            <wp:cNvGraphicFramePr>
              <a:graphicFrameLocks noChangeAspect="1"/>
            </wp:cNvGraphicFramePr>
            <a:graphic>
              <a:graphicData uri="http://schemas.openxmlformats.org/drawingml/2006/picture">
                <pic:pic>
                  <pic:nvPicPr>
                    <pic:cNvPr id="0" name="MANAGEMENT_TIP_darkblue.png"/>
                    <pic:cNvPicPr/>
                  </pic:nvPicPr>
                  <pic:blipFill>
                    <a:blip r:embed="rId3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Ban lãnh đạo cấp cao cần giữ tiêu chuẩn cao</w:t>
      </w:r>
    </w:p>
    <w:p>
      <w:pPr>
        <w:spacing w:after="80"/>
      </w:pPr>
      <w:r>
        <w:rPr>
          <w:b w:val="0"/>
          <w:i w:val="0"/>
        </w:rPr>
        <w:t>Theo kinh nghiệm của chúng tôi, giữ tiêu chuẩn cao là một trong những điều quan trọng nhất cần làm đúng. Đó là công việc của ban lãnh đạo điều hành cấp cao. Hãy tránh một kiểu thất bại phổ biến là giao việc quản lý lộ trình cho một người nào đó ở vị trí thấp hơn trong tổ chức.</w:t>
      </w:r>
    </w:p>
    <w:p>
      <w:pPr>
        <w:jc w:val="center"/>
      </w:pPr>
      <w:r>
        <w:drawing>
          <wp:inline xmlns:a="http://schemas.openxmlformats.org/drawingml/2006/main" xmlns:pic="http://schemas.openxmlformats.org/drawingml/2006/picture">
            <wp:extent cx="457200" cy="447675"/>
            <wp:docPr id="35" name="Picture 35"/>
            <wp:cNvGraphicFramePr>
              <a:graphicFrameLocks noChangeAspect="1"/>
            </wp:cNvGraphicFramePr>
            <a:graphic>
              <a:graphicData uri="http://schemas.openxmlformats.org/drawingml/2006/picture">
                <pic:pic>
                  <pic:nvPicPr>
                    <pic:cNvPr id="0" name="CASE_STUDY_darkblue.png"/>
                    <pic:cNvPicPr/>
                  </pic:nvPicPr>
                  <pic:blipFill>
                    <a:blip r:embed="rId29"/>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Một kế hoạch để duy trì đà chuyển đổi</w:t>
      </w:r>
    </w:p>
    <w:p>
      <w:pPr>
        <w:spacing w:after="80"/>
      </w:pPr>
      <w:r>
        <w:rPr>
          <w:b w:val="0"/>
          <w:i w:val="0"/>
        </w:rPr>
        <w:t>Một công ty thực phẩm lớn đã phát triển một tầm nhìn nhằm tăng EBITDA thêm 800 triệu đô la trên 20 lĩnh vực được xác định.</w:t>
      </w:r>
    </w:p>
    <w:p>
      <w:pPr>
        <w:spacing w:after="80"/>
      </w:pPr>
      <w:r>
        <w:rPr>
          <w:b w:val="0"/>
          <w:i w:val="0"/>
        </w:rPr>
        <w:t>Sau đó, họ phát triển một kế hoạch để trưởng thành các năng lực của mình trong ba năm, gần như tương ứng với phạm vi, quy mô và yêu cầu của các lĩnh vực mà họ sẽ chuyển đổi ở mỗi bước.</w:t>
      </w:r>
    </w:p>
    <w:p>
      <w:pPr>
        <w:spacing w:after="80"/>
      </w:pPr>
      <w:r>
        <w:rPr>
          <w:b w:val="0"/>
          <w:i w:val="0"/>
        </w:rPr>
        <w:t>Đây không phải là một bài tập về độ chính xác giả tạo. Thay vào đó, đó là một bài tập về tính chủ đích nhằm đảm bảo các chuyển đổi lĩnh vực sẽ không bị đình trệ do thiếu các năng lực then chốt ở bất kỳ bước nào. Ban lãnh đạo muốn rõ ràng về những lựa chọn họ cần đưa ra để xây dựng các năng lực cần thiết, và về bậc độ lớn ước chừng của các nguồn lực và khoản đầu tư sẽ được yêu cầu.</w:t>
      </w:r>
    </w:p>
    <w:p>
      <w:pPr>
        <w:spacing w:after="80"/>
      </w:pPr>
      <w:r>
        <w:rPr>
          <w:b w:val="0"/>
          <w:i w:val="0"/>
        </w:rPr>
        <w:t>Kết quả của việc lập kế hoạch này, họ đã thực hiện ba hành động then chốt phục vụ tốt cho quá trình chuyển đổi:</w:t>
      </w:r>
    </w:p>
    <w:p>
      <w:pPr>
        <w:spacing w:after="80"/>
        <w:ind w:left="360"/>
      </w:pPr>
      <w:r>
        <w:t xml:space="preserve">• </w:t>
      </w:r>
      <w:r>
        <w:rPr>
          <w:b w:val="0"/>
          <w:i w:val="0"/>
        </w:rPr>
        <w:t>Đặt mục tiêu ba năm để phát triển nhân tài Công nghệ &amp; AI nội bộ, mà họ đã tích hợp vào kế hoạch ngân sách và xây dựng một chương trình truyền thông xoay quanh để thu hút nhân tài hàng đầu.</w:t>
      </w:r>
    </w:p>
    <w:p>
      <w:pPr>
        <w:spacing w:after="80"/>
        <w:ind w:left="360"/>
      </w:pPr>
      <w:r>
        <w:t xml:space="preserve">• </w:t>
      </w:r>
      <w:r>
        <w:rPr>
          <w:b w:val="0"/>
          <w:i w:val="0"/>
        </w:rPr>
        <w:t>Cam kết với các sản phẩm dữ liệu mà họ sẽ cần xây dựng theo thời gian để phục vụ nhiều lĩnh vực. Trọng tâm dài hạn giúp làm rõ nhu cầu ngân sách để duy trì chúng, cũng như những điểm cộng hưởng nằm ở đâu.</w:t>
      </w:r>
    </w:p>
    <w:p>
      <w:pPr>
        <w:spacing w:after="80"/>
        <w:ind w:left="360"/>
      </w:pPr>
      <w:r>
        <w:t xml:space="preserve">• </w:t>
      </w:r>
      <w:r>
        <w:rPr>
          <w:b w:val="0"/>
          <w:i w:val="0"/>
        </w:rPr>
        <w:t>Xác định các chủ sở hữu lĩnh vực và sản phẩm mà họ sẽ cần. Điều này giúp họ phát triển trước một trại huấn luyện xây dựng năng lực cho các vai trò này, và đưa tầm quan trọng của những “nhà quản lý của tương lai” này vào thông điệp của CEO về quá trình chuyển đổi.</w:t>
      </w:r>
    </w:p>
    <w:p>
      <w:pPr>
        <w:spacing w:after="80"/>
      </w:pPr>
      <w:r>
        <w:rPr>
          <w:b w:val="0"/>
          <w:i w:val="0"/>
        </w:rPr>
        <w:t>Bài tập này giúp mang lại cho ban lãnh đạo sự tự tin để truyền đạt một tầm nhìn và kế hoạch cụ thể tại ngày phân tích thường niên của họ, đồng thời cho họ một kế hoạch cụ thể mà họ có thể xem lại trong tương lai.</w:t>
      </w:r>
    </w:p>
    <w:p>
      <w:pPr>
        <w:jc w:val="center"/>
      </w:pPr>
      <w:r>
        <w:drawing>
          <wp:inline xmlns:a="http://schemas.openxmlformats.org/drawingml/2006/main" xmlns:pic="http://schemas.openxmlformats.org/drawingml/2006/picture">
            <wp:extent cx="1905000" cy="104775"/>
            <wp:docPr id="36" name="Picture 36"/>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Việc tuân theo năm bước này mang lại sự nhất quán và cấu trúc trong việc tái tưởng tượng lĩnh vực. Lần đầu tiên thực hiện, quá trình này sẽ có chút xa lạ. Điều đó là bình thường. Theo thời gian, khi khả năng nhận diện mẫu của bạn trưởng thành, bạn sẽ làm tốt hơn, và một cách có kỷ luật và thực tế để tái tưởng tượng các lĩnh vực sẽ trở thành một năng lực cốt lõi của tổ chức.</w:t>
      </w:r>
    </w:p>
    <w:p>
      <w:pPr>
        <w:pStyle w:val="Heading2"/>
      </w:pPr>
      <w:r>
        <w:rPr>
          <w:rFonts w:ascii="Calibri" w:hAnsi="Calibri"/>
          <w:b/>
          <w:i w:val="0"/>
          <w:sz w:val="32"/>
        </w:rPr>
        <w:t>Ghi chú</w:t>
      </w:r>
    </w:p>
    <w:p>
      <w:pPr>
        <w:spacing w:after="80"/>
        <w:ind w:left="360"/>
      </w:pPr>
      <w:r>
        <w:t xml:space="preserve">1. </w:t>
      </w:r>
      <w:r>
        <w:rPr>
          <w:b w:val="0"/>
          <w:i w:val="0"/>
        </w:rPr>
        <w:t>1   Đây cũng có thể là một giải pháp khả thi tối thiểu.</w:t>
      </w:r>
    </w:p>
    <w:p>
      <w:pPr>
        <w:pStyle w:val="Heading2"/>
      </w:pPr>
      <w:r>
        <w:rPr>
          <w:rFonts w:ascii="Calibri" w:hAnsi="Calibri"/>
          <w:b/>
          <w:i/>
          <w:sz w:val="32"/>
        </w:rPr>
        <w:t>"Tương lai không phải là thứ chúng ta bước vào. Tương lai là thứ chúng ta tạo ra."</w:t>
      </w:r>
    </w:p>
    <w:p>
      <w:pPr>
        <w:spacing w:after="80"/>
      </w:pPr>
      <w:r>
        <w:rPr>
          <w:b/>
          <w:i w:val="0"/>
        </w:rPr>
        <w:t>— Eleanor Roosevelt</w:t>
      </w:r>
    </w:p>
    <w:p>
      <w:pPr>
        <w:pStyle w:val="Heading1"/>
      </w:pPr>
      <w:r>
        <w:rPr>
          <w:rFonts w:ascii="Calibri" w:hAnsi="Calibri"/>
          <w:b/>
          <w:i w:val="0"/>
          <w:sz w:val="40"/>
        </w:rPr>
        <w:t>CHƯƠNG 5</w:t>
      </w:r>
      <w:r>
        <w:rPr>
          <w:rFonts w:ascii="Calibri" w:hAnsi="Calibri"/>
          <w:b/>
          <w:i w:val="0"/>
          <w:sz w:val="40"/>
        </w:rPr>
      </w:r>
      <w:r>
        <w:rPr>
          <w:rFonts w:ascii="Calibri" w:hAnsi="Calibri"/>
          <w:b/>
          <w:i w:val="0"/>
          <w:sz w:val="40"/>
        </w:rPr>
        <w:t>Tái định hình quy trình làm việc với AI tác tử</w:t>
      </w:r>
    </w:p>
    <w:p>
      <w:pPr>
        <w:spacing w:after="80"/>
      </w:pPr>
      <w:r>
        <w:rPr>
          <w:b w:val="0"/>
          <w:i w:val="0"/>
        </w:rPr>
        <w:t>E.ON Next là một nhà cung cấp điện và khí đốt lớn tại Anh, tập trung vào năng lượng tái tạo và dịch vụ khách hàng kỹ thuật số. Công ty có hơn năm triệu khách hàng và xử lý hơn bảy triệu cuộc gọi mỗi năm, ngay cả khi đã có nhiều lựa chọn tự phục vụ. Hệ thống phản hồi giọng nói tương tác (IVR) của họ chỉ giải quyết được khoảng 13% các yêu cầu, phần còn lại phải do nhân viên chăm sóc khách hàng xử lý.</w:t>
      </w:r>
    </w:p>
    <w:p>
      <w:pPr>
        <w:spacing w:after="80"/>
      </w:pPr>
      <w:r>
        <w:rPr>
          <w:b w:val="0"/>
          <w:i w:val="0"/>
        </w:rPr>
        <w:t>Năm 2024, E.ON Next nhìn thấy cơ hội để cải thiện hơn nữa trải nghiệm khách hàng bằng cách giới thiệu một tác tử giọng nói AI (AI voice agent). Điều này phù hợp với lời hứa mang lại cảm giác dễ chịu ("feel-good") cho khách hàng của họ.</w:t>
      </w:r>
    </w:p>
    <w:p>
      <w:pPr>
        <w:spacing w:after="80"/>
      </w:pPr>
      <w:r>
        <w:rPr>
          <w:b w:val="0"/>
          <w:i w:val="0"/>
        </w:rPr>
        <w:t>Công ty quyết định phát triển khả năng AI hội thoại tác tử theo thời gian thực cho dịch vụ khách hàng. Một năm sau, điểm số hài lòng của khách hàng đã tăng sáu điểm phần trăm so với hệ thống trước đó là IVR kết hợp với tương tác của con người.</w:t>
      </w:r>
    </w:p>
    <w:p>
      <w:pPr>
        <w:spacing w:after="80"/>
      </w:pPr>
      <w:r>
        <w:rPr>
          <w:b w:val="0"/>
          <w:i w:val="0"/>
        </w:rPr>
        <w:t>Thời gian xử lý cuộc gọi trung bình giảm 8% so với hệ thống IVR. Hơn nữa, tỷ lệ thành công cho các giao dịch được xử lý bởi tác tử giọng nói AI đã cải thiện 14% so với hệ thống IVR. Hơn 40% cuộc gọi được tác tử giọng nói AI nhận diện và xác minh hoàn toàn, giúp giảm chi phí trung bình để quản lý các cuộc gọi đến xuống gần 50%.</w:t>
      </w:r>
    </w:p>
    <w:p>
      <w:pPr>
        <w:spacing w:after="80"/>
      </w:pPr>
      <w:r>
        <w:rPr>
          <w:b w:val="0"/>
          <w:i w:val="0"/>
        </w:rPr>
        <w:t>Vậy thì có gì để chê chứ?!</w:t>
      </w:r>
    </w:p>
    <w:p>
      <w:pPr>
        <w:spacing w:after="80"/>
      </w:pPr>
      <w:r>
        <w:rPr>
          <w:b w:val="0"/>
          <w:i w:val="0"/>
        </w:rPr>
        <w:t>Đây là một cú đánh hoàn hảo (home run) cho AI tác tử, và nó cho thấy tiềm năng phi thường mà công nghệ này mang lại để tái cấu trúc quy trình làm việc kinh doanh. Chúng tôi viết chương này không chỉ để tôn vinh những gì có thể làm được mà còn để xem xét công việc thực sự cần thiết để biến khả năng của AI tác tử thành giá trị.</w:t>
      </w:r>
    </w:p>
    <w:p>
      <w:pPr>
        <w:spacing w:after="80"/>
      </w:pPr>
      <w:r>
        <w:rPr>
          <w:b/>
          <w:i/>
        </w:rPr>
        <w:t>AI tác tử không chỉ là một công cụ mới trong hộp đồ nghề của chúng ta. Khi được triển khai đúng cách, nó là một công cụ mạnh mẽ có thể tự nhận biết cần làm gì, chọn phản hồi phù hợp và thực thi một cách chính xác</w:t>
      </w:r>
      <w:r>
        <w:rPr>
          <w:b/>
          <w:i w:val="0"/>
        </w:rPr>
        <w:t>.</w:t>
      </w:r>
    </w:p>
    <w:p>
      <w:pPr>
        <w:spacing w:after="80"/>
      </w:pPr>
      <w:r>
        <w:rPr>
          <w:b w:val="0"/>
          <w:i w:val="0"/>
        </w:rPr>
        <w:t>Trước khi AI tạo sinh (generative AI) và AI tác tử ra đời, việc tự động hóa các quy trình làm việc như trung tâm liên lạc của E.ON Next rất gian nan vì các công nghệ IVR và tự động hóa quy trình bằng robot (RPA) vốn nổi tiếng là dễ vỡ—chỉ cần những thay đổi nhỏ về định dạng dữ liệu, giao diện hoặc các bước quy trình cũng có thể làm hỏng các kịch bản của nó.</w:t>
      </w:r>
    </w:p>
    <w:p>
      <w:pPr>
        <w:spacing w:after="80"/>
      </w:pPr>
      <w:r>
        <w:rPr>
          <w:b w:val="0"/>
          <w:i w:val="0"/>
        </w:rPr>
        <w:t>AI tác tử hứa hẹn tác động kinh tế lớn hơn nhiều và trải nghiệm khách hàng tốt hơn vì nó suy luận qua các biến thể tương tác, học hỏi từ phản hồi và điều chỉnh hành động của mình một cách linh hoạt. Nó đã bắt đầu có tác động đáng kể đến cách các công ty tạo ra phần mềm, với các nhóm nhỏ hơn giám sát các hệ thống tác tử hoạt động nhanh hơn nhiều.</w:t>
      </w:r>
    </w:p>
    <w:p>
      <w:pPr>
        <w:spacing w:after="80"/>
      </w:pPr>
      <w:r>
        <w:rPr>
          <w:b w:val="0"/>
          <w:i w:val="0"/>
        </w:rPr>
        <w:t>Với những sự thật này, bạn có thể hỏi, tại sao rất nhiều công ty lại đang vật lộn để thu được giá trị từ AI tác tử? Một lý do chính là sự phức tạp của việc phát triển và vận hành các hệ thống tác tử.</w:t>
      </w:r>
    </w:p>
    <w:p>
      <w:pPr>
        <w:spacing w:after="80"/>
      </w:pPr>
      <w:r>
        <w:rPr>
          <w:b w:val="0"/>
          <w:i w:val="0"/>
        </w:rPr>
        <w:t>Như Jeetu Patel, chủ tịch kiêm giám đốc sản phẩm tại Cisco nói: "Với AI, có thể dễ dàng xây dựng một nguyên mẫu, nhưng rất khó để xây dựng một ứng dụng hoàn chỉnh, đầy đủ, hoàn thiện mang lại kết quả kinh doanh hiệu quả. Cách duy nhất để làm được điều này là lặp đi lặp lại và thử nghiệm, và liên tục kiên trì với nó và học hỏi."</w:t>
      </w:r>
    </w:p>
    <w:p>
      <w:pPr>
        <w:spacing w:after="80"/>
      </w:pPr>
      <w:r>
        <w:rPr>
          <w:b w:val="0"/>
          <w:i w:val="0"/>
        </w:rPr>
        <w:t>Trong chương này, chúng ta bắt đầu bằng việc giải thích các kiểu tự động hóa tác tử (agentic automation) khác nhau và cho thấy độ phức tạp của việc xây dựng các quy trình công việc (workflow) với các AI agent; sau đó, chúng tôi đưa ra hướng dẫn về cách chọn những quy trình công việc phù hợp để tự động hóa bằng tác tử; và cuối cùng, chúng tôi chia sẻ những bài học xương máu mà chúng tôi đã rút ra được khi xây dựng các hệ thống tác tử (agentic system).</w:t>
      </w:r>
    </w:p>
    <w:p>
      <w:pPr>
        <w:pStyle w:val="Heading2"/>
      </w:pPr>
      <w:r>
        <w:rPr>
          <w:rFonts w:ascii="Calibri" w:hAnsi="Calibri"/>
          <w:b/>
          <w:i w:val="0"/>
          <w:sz w:val="32"/>
        </w:rPr>
        <w:t>Các định nghĩa hữu ích</w:t>
      </w:r>
    </w:p>
    <w:p>
      <w:pPr>
        <w:spacing w:after="80"/>
      </w:pPr>
      <w:r>
        <w:rPr>
          <w:b/>
          <w:i w:val="0"/>
        </w:rPr>
        <w:t>Trí tuệ nhân tạo (AI):</w:t>
      </w:r>
      <w:r>
        <w:rPr>
          <w:b w:val="0"/>
          <w:i w:val="0"/>
        </w:rPr>
        <w:t xml:space="preserve"> Máy móc được vận hành bởi nhiều công nghệ khác nhau, ví dụ GenAI, tự động hóa quy trình bằng robot (RPA) và học máy (ML), có thể thực hiện các tác vụ đòi hỏi trí thông minh giống con người.</w:t>
      </w:r>
    </w:p>
    <w:p>
      <w:pPr>
        <w:spacing w:after="80"/>
      </w:pPr>
      <w:r>
        <w:rPr>
          <w:b/>
          <w:i w:val="0"/>
        </w:rPr>
        <w:t>AI tạo sinh (GenAI):</w:t>
      </w:r>
      <w:r>
        <w:rPr>
          <w:b w:val="0"/>
          <w:i w:val="0"/>
        </w:rPr>
        <w:t xml:space="preserve"> Là một tập con của AI, GenAI sử dụng các mô hình nền tảng (foundation model) để tạo nội dung—như văn bản, hình ảnh hoặc mã—dựa trên các mẫu học được từ những tập dữ liệu lớn, phi cấu trúc.</w:t>
      </w:r>
    </w:p>
    <w:p>
      <w:pPr>
        <w:spacing w:after="80"/>
      </w:pPr>
      <w:r>
        <w:rPr>
          <w:b/>
          <w:i w:val="0"/>
        </w:rPr>
        <w:t>AI agent:</w:t>
      </w:r>
      <w:r>
        <w:rPr>
          <w:b w:val="0"/>
          <w:i w:val="0"/>
        </w:rPr>
        <w:t xml:space="preserve"> Các hệ thống phần mềm được hỗ trợ bởi GenAI, thực hiện các hành động nhiều bước một cách tự chủ hướng tới một mục tiêu, thường điều phối các công cụ, mô hình và quy trình công việc.</w:t>
      </w:r>
    </w:p>
    <w:p>
      <w:pPr>
        <w:spacing w:after="80"/>
      </w:pPr>
      <w:r>
        <w:rPr>
          <w:b/>
          <w:i w:val="0"/>
        </w:rPr>
        <w:t>Quy trình công việc tác tử (agentic workflow):</w:t>
      </w:r>
      <w:r>
        <w:rPr>
          <w:b w:val="0"/>
          <w:i w:val="0"/>
        </w:rPr>
        <w:t xml:space="preserve"> Các AI agent được liên kết với nhau để hoàn thành một loạt tác vụ trong một quy trình công việc.</w:t>
      </w:r>
    </w:p>
    <w:p>
      <w:pPr>
        <w:spacing w:after="80"/>
      </w:pPr>
      <w:r>
        <w:rPr>
          <w:b/>
          <w:i w:val="0"/>
        </w:rPr>
        <w:t>Hệ thống tác tử (agentic system):</w:t>
      </w:r>
      <w:r>
        <w:rPr>
          <w:b w:val="0"/>
          <w:i w:val="0"/>
        </w:rPr>
        <w:t xml:space="preserve"> Các nhóm AI agent tối ưu hóa đồng thời trên nhiều quy trình công việc, giải quyết các đánh đổi để mang lại kết quả cho doanh nghiệp.</w:t>
      </w:r>
    </w:p>
    <w:p>
      <w:pPr>
        <w:pStyle w:val="Heading2"/>
      </w:pPr>
      <w:r>
        <w:rPr>
          <w:rFonts w:ascii="Calibri" w:hAnsi="Calibri"/>
          <w:b/>
          <w:i w:val="0"/>
          <w:sz w:val="32"/>
        </w:rPr>
        <w:t>Các kiểu tự động hóa tác tử khác nhau</w:t>
      </w:r>
    </w:p>
    <w:p>
      <w:pPr>
        <w:spacing w:after="80"/>
      </w:pPr>
      <w:r>
        <w:rPr>
          <w:b w:val="0"/>
          <w:i w:val="0"/>
        </w:rPr>
        <w:t>Cho đến nay đã xuất hiện bốn kiểu tự động hóa tác tử chính (Hình 5.1). Bạn nên tìm hiểu chúng để mài sắc tư duy của mình về những thay đổi tổ chức cần thiết để chúng vận hành được.</w:t>
      </w:r>
    </w:p>
    <w:p>
      <w:pPr>
        <w:jc w:val="center"/>
      </w:pPr>
      <w:r>
        <w:drawing>
          <wp:inline xmlns:a="http://schemas.openxmlformats.org/drawingml/2006/main" xmlns:pic="http://schemas.openxmlformats.org/drawingml/2006/picture">
            <wp:extent cx="5486400" cy="6893626"/>
            <wp:docPr id="37" name="Picture 37"/>
            <wp:cNvGraphicFramePr>
              <a:graphicFrameLocks noChangeAspect="1"/>
            </wp:cNvGraphicFramePr>
            <a:graphic>
              <a:graphicData uri="http://schemas.openxmlformats.org/drawingml/2006/picture">
                <pic:pic>
                  <pic:nvPicPr>
                    <pic:cNvPr id="0" name="c05ex001.png"/>
                    <pic:cNvPicPr/>
                  </pic:nvPicPr>
                  <pic:blipFill>
                    <a:blip r:embed="rId35"/>
                    <a:stretch>
                      <a:fillRect/>
                    </a:stretch>
                  </pic:blipFill>
                  <pic:spPr>
                    <a:xfrm>
                      <a:off x="0" y="0"/>
                      <a:ext cx="5486400" cy="6893626"/>
                    </a:xfrm>
                    <a:prstGeom prst="rect"/>
                  </pic:spPr>
                </pic:pic>
              </a:graphicData>
            </a:graphic>
          </wp:inline>
        </w:drawing>
      </w:r>
    </w:p>
    <w:p>
      <w:pPr>
        <w:spacing w:after="160"/>
        <w:jc w:val="center"/>
      </w:pPr>
      <w:r>
        <w:rPr>
          <w:rFonts w:ascii="Calibri" w:hAnsi="Calibri"/>
          <w:b w:val="0"/>
          <w:i/>
          <w:sz w:val="19"/>
        </w:rPr>
        <w:t>HÌNH 5.1</w:t>
      </w:r>
    </w:p>
    <w:p>
      <w:pPr>
        <w:spacing w:after="80"/>
        <w:ind w:left="360"/>
      </w:pPr>
      <w:r>
        <w:t xml:space="preserve">1. </w:t>
      </w:r>
      <w:r>
        <w:rPr>
          <w:b/>
          <w:i w:val="0"/>
        </w:rPr>
        <w:t>Tăng cường cá nhân.</w:t>
      </w:r>
      <w:r>
        <w:rPr>
          <w:b w:val="0"/>
          <w:i w:val="0"/>
        </w:rPr>
        <w:t xml:space="preserve"> Đây là việc tất cả chúng ta đều làm khi truy vấn ChatGPT hay Gemini hay bất kỳ LLM nào khác. Những công cụ này giúp tự động hóa, tăng tốc hoặc cải thiện các tác vụ mà con người thường làm. Nhiều tác vụ đã quá quen thuộc—soạn ghi chú nghiên cứu, tạo mã, tiến hành nghiên cứu, hay đề xuất các điều khoản hợp đồng. Những công cụ này đã được sử dụng rộng rãi và điều này sẽ chỉ còn tăng lên.</w:t>
        <w:br/>
        <w:t>Kinh nghiệm của chúng tôi cho thấy năng suất cá nhân có thể cao hơn 20–30% (và đôi khi cao hơn nhiều) đối với từng tác vụ đơn lẻ. Tuy nhiên, việc triển khai rộng rãi các công cụ tác tử để nhân viên xử lý những tác vụ cá nhân kiểu này hiếm khi mang lại lợi ích kinh doanh đáng kể vì tác động quá phân tán. Những cải thiện năng suất này ngày càng chỉ là mức tối thiểu bắt buộc.</w:t>
      </w:r>
    </w:p>
    <w:p>
      <w:pPr>
        <w:spacing w:after="80"/>
        <w:ind w:left="360"/>
      </w:pPr>
      <w:r>
        <w:t xml:space="preserve">2. </w:t>
      </w:r>
      <w:r>
        <w:rPr>
          <w:b/>
          <w:i w:val="0"/>
        </w:rPr>
        <w:t>Tự động hóa tác vụ.</w:t>
      </w:r>
      <w:r>
        <w:rPr>
          <w:b w:val="0"/>
          <w:i w:val="0"/>
        </w:rPr>
        <w:t xml:space="preserve"> Loại tự động hóa tác tử thứ hai tập trung vào các tác vụ và quy trình công việc có độ phức tạp thấp. Một lớp thực thi tác tử nằm "bên trên" các quy trình và hệ thống hiện có. Các ông lớn công nghệ đang bổ sung những quy trình công việc tác tử đơn giản kiểu này vào các sản phẩm hiện tại của họ, chẳng hạn như tạo tóm tắt cuộc họp hoặc tự động điền hồ sơ CRM sau các cuộc gọi bán hàng.</w:t>
        <w:br/>
        <w:t>Trong các nghiên cứu của chúng tôi, những triển khai ban đầu AI tác tử cho tự động hóa tác vụ đã mang lại thời gian chu kỳ nhanh hơn hoặc chi phí xử lý thấp hơn tới 20–40% đối với công việc lặp đi lặp lại, mang tính giao dịch. Tại các trung tâm liên hệ (contact center), một số loại cuộc gọi như xử lý giao dịch kiểm tra số dư và thay đổi địa chỉ gần như được tự động hóa hoàn toàn.</w:t>
        <w:br/>
        <w:t>Trở ngại để hiện thực hóa giá trị đáng kể từ những nỗ lực này là con người vẫn "nằm trong vòng lặp" (in the loop) và các năng lực tác tử mang lại ít sự khác biệt.</w:t>
      </w:r>
    </w:p>
    <w:p>
      <w:pPr>
        <w:spacing w:after="80"/>
        <w:ind w:left="360"/>
      </w:pPr>
      <w:r>
        <w:t xml:space="preserve">3. </w:t>
      </w:r>
      <w:r>
        <w:rPr>
          <w:b/>
          <w:i w:val="0"/>
        </w:rPr>
        <w:t>Quy trình công việc tác tử.</w:t>
      </w:r>
      <w:r>
        <w:rPr>
          <w:b w:val="0"/>
          <w:i w:val="0"/>
        </w:rPr>
        <w:t xml:space="preserve"> Các nhóm AI agent phối hợp với nhau để tự động hóa các quy trình công việc phức tạp từ đầu đến cuối. Quy trình công việc tác tử có thể loại bỏ những lần chuyển giao thường xuyên và các hoạt động phân mảnh vốn cản trở nhiều quy trình hiện nay, bởi vì các nhóm agent được điều phối để vận hành liền mạch. Cách tiếp cận quy trình công việc từ đầu đến cuối này thể hiện rõ trong ví dụ E.ON Next của chúng tôi, nơi một nhóm agent xử lý trọn vẹn một loạt tác vụ (chi tiết hơn về điều này ở các trang tiếp theo).</w:t>
        <w:br/>
        <w:t>Tuy nhiên, để nắm bắt được giá trị này đòi hỏi phải thiết kế lại các quy trình từ đầu đến cuối với con người "ở trên vòng lặp" (above the loop) (tức là giám sát các agent) để quản lý các nhóm AI agent. Điều đó có nghĩa là phải suy nghĩ lại về thứ tự tác vụ, gộp các tác vụ lại, truy cập các nguồn dữ liệu, và phát triển các quy trình mới, chẳng hạn như phát hiện sớm và giải quyết vấn đề trước khi chúng nảy sinh.</w:t>
      </w:r>
    </w:p>
    <w:p>
      <w:pPr>
        <w:spacing w:after="80"/>
        <w:ind w:left="360"/>
      </w:pPr>
      <w:r>
        <w:t xml:space="preserve">4. </w:t>
      </w:r>
      <w:r>
        <w:rPr>
          <w:b/>
          <w:i w:val="0"/>
        </w:rPr>
        <w:t>Hệ thống tác tử.</w:t>
      </w:r>
      <w:r>
        <w:rPr>
          <w:b w:val="0"/>
          <w:i w:val="0"/>
        </w:rPr>
        <w:t xml:space="preserve"> Những hệ thống lấy tác tử làm trung tâm này tối ưu hóa các quy trình đồng thời trên nhiều quy trình công việc và có năng lực ra quyết định ở mức cao. Hãy xem xét, ví dụ, các agent vận hành dịch vụ hiện trường 24/7 điều phối kỹ thuật viên, sắp xếp lại lịch các chuyến thăm và đặt hàng linh kiện một cách tự chủ.</w:t>
        <w:br/>
        <w:t>Những hệ thống tác tử này có thể tạo ra giá trị đa chiều, chẳng hạn thông qua việc giải quyết vấn đề nhanh hơn, các đánh đổi tối ưu hóa biên lợi nhuận tốt hơn, và sử dụng nguồn lực tốt hơn trên toàn hệ thống.</w:t>
        <w:br/>
        <w:t>Những thách thức then chốt gắn liền với các vấn đề về tổ chức và mô hình vận hành. CEO và hội đồng quản trị sẽ cần tham gia sâu sát để tái kiến trúc mô hình vận hành, bao gồm trách nhiệm của ban lãnh đạo và các nhóm vốn từ trước đến nay nằm trong các silo của doanh nghiệp. Những thay đổi gia tăng sẽ không hiệu quả; mức độ chuyển đổi này đòi hỏi phải đoạn tuyệt rõ ràng với các thông lệ trong quá khứ.</w:t>
      </w:r>
    </w:p>
    <w:p>
      <w:pPr>
        <w:spacing w:after="80"/>
      </w:pPr>
      <w:r>
        <w:rPr>
          <w:b/>
          <w:i/>
        </w:rPr>
        <w:t>Các hệ thống tác tử vẫn còn ở giai đoạn sơ khai. Chúng tôi tin rằng sẽ cần thời gian để phát triển và đưa những hệ thống phức tạp này vào vận hành, nhưng phần thưởng sẽ rất đáng kể vì có quá nhiều giá trị đang bị mắc kẹt rải rác khắp các phòng ban và quy trình công việc</w:t>
      </w:r>
      <w:r>
        <w:rPr>
          <w:b/>
          <w:i w:val="0"/>
        </w:rPr>
        <w:t>.</w:t>
      </w:r>
    </w:p>
    <w:p>
      <w:pPr>
        <w:spacing w:after="80"/>
      </w:pPr>
      <w:r>
        <w:rPr>
          <w:b w:val="0"/>
          <w:i w:val="0"/>
        </w:rPr>
        <w:t>Hầu hết các công ty đang ở hai nấc đầu tiên của chiếc thang tác tử này, thường mua các công cụ đóng gói sẵn và áp dụng chúng cho những trường hợp sử dụng hẹp (mà vẫn đòi hỏi nhiều công sức tích hợp và đào tạo). Điều đó cũng ổn trong những ngày đầu, và ở đây có giá trị để thu về. Nhưng giá trị đó khó có thể tạo ra bước ngoặt, và phần lớn trong số đó sẽ không mang lại sự khác biệt cạnh tranh.</w:t>
      </w:r>
    </w:p>
    <w:p>
      <w:pPr>
        <w:spacing w:after="80"/>
      </w:pPr>
      <w:r>
        <w:rPr>
          <w:b/>
          <w:i/>
        </w:rPr>
        <w:t>Bậc thứ ba và thứ tư chính là nơi giá trị mang ý nghĩa chiến lược thực sự. Để khai mở được nó, sẽ cần đến sự tái tưởng tượng lĩnh vực một cách táo bạo và sáng tạo, những khoản đầu tư đáng kể, cùng quyết tâm triển khai để vượt qua sự phức tạp của việc quản lý thay đổi</w:t>
      </w:r>
      <w:r>
        <w:rPr>
          <w:b/>
          <w:i w:val="0"/>
        </w:rPr>
        <w:t>.</w:t>
      </w:r>
    </w:p>
    <w:p>
      <w:pPr>
        <w:spacing w:after="80"/>
      </w:pPr>
      <w:r>
        <w:rPr>
          <w:b w:val="0"/>
          <w:i w:val="0"/>
        </w:rPr>
        <w:t>Hãy cùng mổ xẻ một quy trình làm việc tác tử (agentic workflow) thực tế để hiểu rõ hơn về sự phức tạp này.</w:t>
      </w:r>
    </w:p>
    <w:p>
      <w:pPr>
        <w:pStyle w:val="Heading2"/>
      </w:pPr>
      <w:r>
        <w:rPr>
          <w:rFonts w:ascii="Calibri" w:hAnsi="Calibri"/>
          <w:b/>
          <w:i w:val="0"/>
          <w:sz w:val="32"/>
        </w:rPr>
        <w:t>Nhìn sâu vào bên trong một quy trình làm việc tác tử</w:t>
      </w:r>
    </w:p>
    <w:p>
      <w:pPr>
        <w:spacing w:after="80"/>
      </w:pPr>
      <w:r>
        <w:rPr>
          <w:b w:val="0"/>
          <w:i w:val="0"/>
        </w:rPr>
        <w:t>Cốt lõi trong nỗ lực tác tử của E.ON Next là việc phát triển một kiến trúc tác tử có khả năng quản lý và điều phối một đội gồm các tác tử AI. Tổng cộng, tám tác tử AI đảm nhận những vai trò khác nhau xuyên suốt dòng hội thoại với khách hàng (Sơ đồ 5.2).</w:t>
      </w:r>
    </w:p>
    <w:p>
      <w:pPr>
        <w:spacing w:after="80"/>
      </w:pPr>
      <w:r>
        <w:rPr>
          <w:b w:val="0"/>
          <w:i w:val="0"/>
        </w:rPr>
        <w:t>Ngay khi khách hàng gọi đến—trong ví dụ này, với câu hỏi về chỉ số điện—một tác tử sẽ tra cứu hồ sơ khách hàng trong hệ thống CRM dựa trên số điện thoại. Sau đó, tác tử điều phối AI sẽ chào hỏi khách hàng và hỏi xem có thể giúp gì. Tin nhắn của khách hàng được đẩy vào nền tảng AI của E.ON để dùng LLM phân loại ý định và tạo phản hồi trong giới hạn bảo vệ đầu ra (output guardrails).</w:t>
      </w:r>
    </w:p>
    <w:p>
      <w:pPr>
        <w:spacing w:after="80"/>
      </w:pPr>
      <w:r>
        <w:rPr>
          <w:b w:val="0"/>
          <w:i w:val="0"/>
        </w:rPr>
        <w:t>Trong khi khách hàng đang nói, một tác tử khác tra cứu các chỉ số đồng hồ trước đây mà khách hàng đã gửi để xác thực chỉ số mới. Khi khách hàng chia sẻ chỉ số, tác tử tiếp theo sẽ truy cập các cơ sở dữ liệu liên quan để trích xuất mọi thông tin cần thiết (ví dụ: lịch sử chỉ số, so sánh với khách hàng khác). Nếu chỉ số hợp lý (tức là nằm trong giới hạn mong đợi), tài khoản sẽ được cập nhật chính thức, và hóa đơn cập nhật sẽ được gửi đến khách hàng.</w:t>
      </w:r>
    </w:p>
    <w:p>
      <w:pPr>
        <w:spacing w:after="80"/>
      </w:pPr>
      <w:r>
        <w:rPr>
          <w:b w:val="0"/>
          <w:i w:val="0"/>
        </w:rPr>
        <w:t>Trong trường hợp khách hàng có yêu cầu mà tác tử giọng nói AI chưa thể xử lý (ví dụ: chỉ số không nằm trong giới hạn bình thường), tác tử sẽ tóm tắt cuộc hội thoại và chuyển tiếp lên nhân viên con người, người có thể tiếp tục cuộc gọi một cách liền mạch.</w:t>
      </w:r>
    </w:p>
    <w:p>
      <w:pPr>
        <w:jc w:val="center"/>
      </w:pPr>
      <w:r>
        <w:drawing>
          <wp:inline xmlns:a="http://schemas.openxmlformats.org/drawingml/2006/main" xmlns:pic="http://schemas.openxmlformats.org/drawingml/2006/picture">
            <wp:extent cx="5486400" cy="6839453"/>
            <wp:docPr id="38" name="Picture 38"/>
            <wp:cNvGraphicFramePr>
              <a:graphicFrameLocks noChangeAspect="1"/>
            </wp:cNvGraphicFramePr>
            <a:graphic>
              <a:graphicData uri="http://schemas.openxmlformats.org/drawingml/2006/picture">
                <pic:pic>
                  <pic:nvPicPr>
                    <pic:cNvPr id="0" name="c05ex002.png"/>
                    <pic:cNvPicPr/>
                  </pic:nvPicPr>
                  <pic:blipFill>
                    <a:blip r:embed="rId36"/>
                    <a:stretch>
                      <a:fillRect/>
                    </a:stretch>
                  </pic:blipFill>
                  <pic:spPr>
                    <a:xfrm>
                      <a:off x="0" y="0"/>
                      <a:ext cx="5486400" cy="6839453"/>
                    </a:xfrm>
                    <a:prstGeom prst="rect"/>
                  </pic:spPr>
                </pic:pic>
              </a:graphicData>
            </a:graphic>
          </wp:inline>
        </w:drawing>
      </w:r>
    </w:p>
    <w:p>
      <w:pPr>
        <w:spacing w:after="160"/>
        <w:jc w:val="center"/>
      </w:pPr>
      <w:r>
        <w:rPr>
          <w:rFonts w:ascii="Calibri" w:hAnsi="Calibri"/>
          <w:b w:val="0"/>
          <w:i/>
          <w:sz w:val="19"/>
        </w:rPr>
        <w:t>SƠ ĐỒ 5.2</w:t>
      </w:r>
    </w:p>
    <w:p>
      <w:pPr>
        <w:spacing w:after="80"/>
      </w:pPr>
      <w:r>
        <w:rPr>
          <w:b w:val="0"/>
          <w:i w:val="0"/>
        </w:rPr>
        <w:t>Giờ hãy cùng xem xét những khoản đầu tư khác nhau cần thiết để lắp ghép nên quy trình làm việc tác tử này.</w:t>
      </w:r>
    </w:p>
    <w:p>
      <w:pPr>
        <w:spacing w:after="80"/>
      </w:pPr>
      <w:r>
        <w:rPr>
          <w:b w:val="0"/>
          <w:i w:val="0"/>
        </w:rPr>
        <w:t>E.ON Next đã phải tích hợp hệ thống CRM, hệ thống thanh toán và hệ thống máy tính để bàn của nhân viên con người để cho phép các tác tử AI thực hiện những nhiệm vụ khác nhau của chúng. Ban lãnh đạo cũng đưa ra quyết định sáng suốt là xây dựng một nền tảng AI nhằm tối đa hóa việc tái sử dụng các thành phần (như LLM, cơ sở dữ liệu tri thức, giới hạn bảo vệ rủi ro, và các ứng dụng chuyển giọng nói thành văn bản và văn bản thành giọng nói). Nền tảng này giúp việc tự động hóa các quy trình cuộc gọi bổ sung trở nên dễ dàng hơn (ví dụ: cuộc gọi bán hàng cho khách hàng mới).</w:t>
      </w:r>
    </w:p>
    <w:p>
      <w:pPr>
        <w:spacing w:after="80"/>
      </w:pPr>
      <w:r>
        <w:rPr>
          <w:b w:val="0"/>
          <w:i w:val="0"/>
        </w:rPr>
        <w:t>Như thường lệ với các quy trình làm việc tác tử, cần khá nhiều kiểm thử tuân thủ để đảm bảo hệ thống hoạt động đúng như mong đợi. E.ON Next đã phát triển 25 chỉ số cuộc gọi để đo lường chất lượng cuộc gọi và mức độ tuân thủ giới hạn bảo vệ. Những chỉ số này đo lường hiệu suất cuộc gọi (bao gồm các yếu tố như tỷ lệ hoàn thành mỗi hành trình và độ chính xác phân loại ý định), hiệu suất kỹ thuật (bao gồm độ trễ trung bình và tối đa), và mức độ hài lòng của khách hàng (như mức độ vui vẻ của khách hàng).</w:t>
      </w:r>
    </w:p>
    <w:p>
      <w:pPr>
        <w:spacing w:after="80"/>
      </w:pPr>
      <w:r>
        <w:rPr>
          <w:b w:val="0"/>
          <w:i w:val="0"/>
        </w:rPr>
        <w:t>Giải pháp kỹ thuật để xử lý độ trễ không hề đơn giản. Trong khi LLM đưa ra phản hồi chính xác hơn, chúng không phải lúc nào cũng phù hợp cho trải nghiệm cuộc gọi thời gian thực. Giải pháp cho vấn đề này là làm việc với các mô hình nhỏ hơn (mô hình ngôn ngữ nhỏ, hay SLM) cho trải nghiệm trong cuộc gọi, và kiểm tra lại độ chính xác của SLM bằng các mô hình lớn hơn sau cuộc gọi.</w:t>
      </w:r>
    </w:p>
    <w:p>
      <w:pPr>
        <w:spacing w:after="80"/>
      </w:pPr>
      <w:r>
        <w:rPr>
          <w:b w:val="0"/>
          <w:i w:val="0"/>
        </w:rPr>
        <w:t>Với sự tích hợp sâu giữa tác tử AI và nhân viên con người, E.ON Next đã dành rất nhiều thời gian để đào tạo nhân viên tổng đài con người cả về việc hiểu lẫn sử dụng tác tử giọng nói AI mới.</w:t>
      </w:r>
    </w:p>
    <w:p>
      <w:pPr>
        <w:spacing w:after="80"/>
      </w:pPr>
      <w:r>
        <w:rPr>
          <w:b/>
          <w:i/>
        </w:rPr>
        <w:t>Nhân viên con người đang trở thành tuyến thứ hai hỗ trợ các tác tử AI, và do đó cần được đào tạo về cách "tiếp quản" cuộc gọi từ các tác tử AI, đòi hỏi họ phải nhanh chóng xem lại tóm tắt hội thoại và điều hướng đến hành động tiếp theo</w:t>
      </w:r>
      <w:r>
        <w:rPr>
          <w:b/>
          <w:i w:val="0"/>
        </w:rPr>
        <w:t>.</w:t>
      </w:r>
    </w:p>
    <w:p>
      <w:pPr>
        <w:spacing w:after="80"/>
      </w:pPr>
      <w:r>
        <w:rPr>
          <w:b w:val="0"/>
          <w:i w:val="0"/>
        </w:rPr>
        <w:t>Cuối cùng, để nắm bắt được lợi ích của một hệ thống tác tử, cần hiệu chỉnh lại kỳ vọng về hiệu suất của trung tâm liên hệ trên các chỉ số hiệu suất chính, như mức độ hài lòng của khách hàng và chi phí đơn vị cuộc gọi.</w:t>
      </w:r>
    </w:p>
    <w:p>
      <w:pPr>
        <w:spacing w:after="80"/>
      </w:pPr>
      <w:r>
        <w:rPr>
          <w:b w:val="0"/>
          <w:i w:val="0"/>
        </w:rPr>
        <w:t>Tóm lại, đây là một công việc khá phức tạp, đòi hỏi những khoản đầu tư nghiêm túc.</w:t>
      </w:r>
    </w:p>
    <w:p>
      <w:pPr>
        <w:pStyle w:val="Heading2"/>
      </w:pPr>
      <w:r>
        <w:rPr>
          <w:rFonts w:ascii="Calibri" w:hAnsi="Calibri"/>
          <w:b/>
          <w:i w:val="0"/>
          <w:sz w:val="32"/>
        </w:rPr>
        <w:t>Chọn ra những quy trình làm việc (workflow) hứa hẹn nhất</w:t>
      </w:r>
    </w:p>
    <w:p>
      <w:pPr>
        <w:spacing w:after="80"/>
      </w:pPr>
      <w:r>
        <w:rPr>
          <w:b w:val="0"/>
          <w:i w:val="0"/>
        </w:rPr>
        <w:t>Chúng ta đang ở những ngày đầu tiên của việc phát triển các quy trình làm việc và hệ thống agentic (tác tử), và kết quả kinh tế vẫn còn chưa chắc chắn. Nhưng điều quan trọng với bất kỳ công ty nào là phải bắt đầu xây dựng "cơ bắp agentic" của mình. Việc để tổ chức của bạn học hỏi sẽ chỉ giúp bạn chuẩn bị tốt hơn cho những gì sắp tới.</w:t>
      </w:r>
    </w:p>
    <w:p>
      <w:pPr>
        <w:spacing w:after="80"/>
      </w:pPr>
      <w:r>
        <w:rPr>
          <w:b w:val="0"/>
          <w:i w:val="0"/>
        </w:rPr>
        <w:t>Những quy trình làm việc nào sẽ mang lại tiềm năng tốt nhất cho tự động hóa agentic? Chúng tôi đưa ra bốn lăng kính để giúp bạn ưu tiên hóa việc này.</w:t>
      </w:r>
    </w:p>
    <w:p>
      <w:pPr>
        <w:spacing w:after="80"/>
        <w:ind w:left="360"/>
      </w:pPr>
      <w:r>
        <w:t xml:space="preserve">1. </w:t>
      </w:r>
      <w:r>
        <w:rPr>
          <w:b/>
          <w:i w:val="0"/>
        </w:rPr>
        <w:t>Tiềm năng giá trị.</w:t>
      </w:r>
      <w:r>
        <w:rPr>
          <w:b w:val="0"/>
          <w:i w:val="0"/>
        </w:rPr>
        <w:t xml:space="preserve"> Nghiên cứu của McKinsey Global Institute cho thấy 60% tiềm năng kinh tế nằm ở các lĩnh vực chuyên biệt theo ngành, điều này hạn chế giá trị của các giải pháp chung chung và biến việc thiết kế lại quy trình làm việc thành một năng lực mới cần phát triển. Hãy ưu tiên các quy trình có tần suất cao, độ biến động cao, giá trị cao như dự báo nhu cầu, phân loại yêu cầu bồi thường, định giá, tìm nguồn cung ứng mua hàng, hoặc phát hiện gian lận. Những câu hỏi cần đặt ra để xác định các quy trình này bao gồm:</w:t>
      </w:r>
    </w:p>
    <w:p>
      <w:pPr>
        <w:spacing w:after="80"/>
        <w:ind w:left="720"/>
      </w:pPr>
      <w:r>
        <w:t xml:space="preserve">• </w:t>
      </w:r>
      <w:r>
        <w:rPr>
          <w:b w:val="0"/>
          <w:i w:val="0"/>
        </w:rPr>
        <w:t>Có bao nhiêu giá trị kinh doanh chảy qua quy trình này? Hãy xem xét doanh thu, chi phí và mức độ rủi ro.</w:t>
      </w:r>
    </w:p>
    <w:p>
      <w:pPr>
        <w:spacing w:after="80"/>
        <w:ind w:left="720"/>
      </w:pPr>
      <w:r>
        <w:t xml:space="preserve">• </w:t>
      </w:r>
      <w:r>
        <w:rPr>
          <w:b w:val="0"/>
          <w:i w:val="0"/>
        </w:rPr>
        <w:t>Mức độ biến động về hiệu suất giữa các nhóm, khu vực địa lý hoặc theo thời gian lớn đến mức nào?</w:t>
      </w:r>
    </w:p>
    <w:p>
      <w:pPr>
        <w:spacing w:after="80"/>
        <w:ind w:left="720"/>
      </w:pPr>
      <w:r>
        <w:t xml:space="preserve">• </w:t>
      </w:r>
      <w:r>
        <w:rPr>
          <w:b w:val="0"/>
          <w:i w:val="0"/>
        </w:rPr>
        <w:t>Quy trình này diễn ra thường xuyên đến mức nào? Hàng ngày, hàng giờ, hay theo từng giao dịch?</w:t>
      </w:r>
    </w:p>
    <w:p>
      <w:pPr>
        <w:spacing w:after="80"/>
        <w:ind w:left="720"/>
      </w:pPr>
      <w:r>
        <w:t xml:space="preserve">• </w:t>
      </w:r>
      <w:r>
        <w:rPr>
          <w:b w:val="0"/>
          <w:i w:val="0"/>
        </w:rPr>
        <w:t>Nỗi đau hoặc cơ hội hiện tại là gì? Hãy xem xét tốc độ, độ chính xác, trải nghiệm và vốn lưu động.</w:t>
      </w:r>
    </w:p>
    <w:p>
      <w:pPr>
        <w:spacing w:after="80"/>
        <w:ind w:left="360"/>
      </w:pPr>
      <w:r>
        <w:t xml:space="preserve">2. </w:t>
      </w:r>
      <w:r>
        <w:rPr>
          <w:b/>
          <w:i w:val="0"/>
        </w:rPr>
        <w:t>Mức độ phù hợp với quy trình làm việc agentic.</w:t>
      </w:r>
      <w:r>
        <w:rPr>
          <w:b w:val="0"/>
          <w:i w:val="0"/>
        </w:rPr>
        <w:t xml:space="preserve"> Hãy chọn những quy trình đủ phức tạp để hưởng lợi từ khả năng suy luận, nhưng đủ có cấu trúc để cho phép tự chủ một cách an toàn. Các tác tử (agent) phát huy tốt nhất ở nơi có tải nhận thức (cognitive load), tính lặp lại và thành công có thể đo lường được. Ví dụ như việc chốt sổ cuối tháng trong tài chính, lập lịch và đặt hàng linh kiện trong bảo trì, và quản lý yêu cầu bồi thường trong bảo hiểm. Những câu hỏi cần đặt ra bao gồm:</w:t>
      </w:r>
    </w:p>
    <w:p>
      <w:pPr>
        <w:spacing w:after="80"/>
        <w:ind w:left="720"/>
      </w:pPr>
      <w:r>
        <w:t xml:space="preserve">• </w:t>
      </w:r>
      <w:r>
        <w:rPr>
          <w:b w:val="0"/>
          <w:i w:val="0"/>
        </w:rPr>
        <w:t>Quy trình này có liên quan đến suy luận nhiều bước hoặc phối hợp giữa các vai trò hay hệ thống không?</w:t>
      </w:r>
    </w:p>
    <w:p>
      <w:pPr>
        <w:spacing w:after="80"/>
        <w:ind w:left="720"/>
      </w:pPr>
      <w:r>
        <w:t xml:space="preserve">• </w:t>
      </w:r>
      <w:r>
        <w:rPr>
          <w:b w:val="0"/>
          <w:i w:val="0"/>
        </w:rPr>
        <w:t>Tác tử có thể cảm nhận, suy luận và hành động với quyền tự chủ có giới hạn (bao gồm mục tiêu rõ ràng, rào chắn bảo vệ và quyền truy cập vào các API) không?</w:t>
      </w:r>
    </w:p>
    <w:p>
      <w:pPr>
        <w:spacing w:after="80"/>
        <w:ind w:left="720"/>
      </w:pPr>
      <w:r>
        <w:t xml:space="preserve">• </w:t>
      </w:r>
      <w:r>
        <w:rPr>
          <w:b w:val="0"/>
          <w:i w:val="0"/>
        </w:rPr>
        <w:t>Kết quả có thể quan sát và đo lường được không, để các tác tử có thể học hỏi theo thời gian?</w:t>
      </w:r>
    </w:p>
    <w:p>
      <w:pPr>
        <w:spacing w:after="80"/>
        <w:ind w:left="720"/>
      </w:pPr>
      <w:r>
        <w:t xml:space="preserve">• </w:t>
      </w:r>
      <w:r>
        <w:rPr>
          <w:b w:val="0"/>
          <w:i w:val="0"/>
        </w:rPr>
        <w:t>Quy trình này dựa vào phán đoán, tổng hợp hay điều phối thay vì chỉ thực thi các quy tắc đơn giản phải không?</w:t>
      </w:r>
    </w:p>
    <w:p>
      <w:pPr>
        <w:spacing w:after="80"/>
        <w:ind w:left="360"/>
      </w:pPr>
      <w:r>
        <w:t xml:space="preserve">3. </w:t>
      </w:r>
      <w:r>
        <w:rPr>
          <w:b/>
          <w:i w:val="0"/>
        </w:rPr>
        <w:t>Mức độ chính xác.</w:t>
      </w:r>
      <w:r>
        <w:rPr>
          <w:b w:val="0"/>
          <w:i w:val="0"/>
        </w:rPr>
        <w:t xml:space="preserve"> Các khoản đầu tư cần thiết để phát triển một hệ thống agentic có thể rất lớn và rủi ro có thể tốn kém. Cả hai điều này đều được quyết định bởi cái mà Rama Ramakrishnan gọi là "mức độ chính xác" (degree of correctness) của đầu ra. Yêu cầu về độ chính xác càng cao (ví dụ, trong văn bản pháp lý, công bố thông tin theo quy định, hoặc tư vấn trực tiếp cho khách hàng), thì chi phí càng lớn để nâng đầu ra lên chất lượng chấp nhận được. Điều này làm giảm lợi tức đầu tư (ROI).</w:t>
        <w:br/>
        <w:t>Những câu hỏi cần đặt ra bao gồm:</w:t>
      </w:r>
    </w:p>
    <w:p>
      <w:pPr>
        <w:spacing w:after="80"/>
        <w:ind w:left="720"/>
      </w:pPr>
      <w:r>
        <w:t xml:space="preserve">• </w:t>
      </w:r>
      <w:r>
        <w:rPr>
          <w:b w:val="0"/>
          <w:i w:val="0"/>
        </w:rPr>
        <w:t>Có chấp nhận được những câu trả lời chưa hoàn hảo không và giá trị kinh tế đến từ tốc độ, sự sáng tạo hay khối lượng, thay vì độ chính xác? Trong những trường hợp này, việc con người xem xét hoặc lặp lại không tốn kém, và những sai sót nhỏ không gây tổn hại đáng kể đến kết quả. Ví dụ bao gồm tạo nội dung tiếp thị, tạo mã phần mềm trong một số trường hợp, tìm kiếm khách hàng tiềm năng cho bán hàng, và lên ý tưởng sản phẩm.</w:t>
      </w:r>
    </w:p>
    <w:p>
      <w:pPr>
        <w:spacing w:after="80"/>
        <w:ind w:left="720"/>
      </w:pPr>
      <w:r>
        <w:t xml:space="preserve">• </w:t>
      </w:r>
      <w:r>
        <w:rPr>
          <w:b w:val="0"/>
          <w:i w:val="0"/>
        </w:rPr>
        <w:t>Có phải sai sót gây tốn kém—về mặt tài chính, pháp lý hay danh tiếng—và đầu ra phải có thể kiểm chứng, có thể kiểm toán và chính xác? Trong những trường hợp này, việc giám sát có con người trong vòng lặp (human-in-the-loop) thường là bắt buộc, và việc xác thực mô hình trở nên phức tạp và tốn kém. Ví dụ bao gồm việc xét xử yêu cầu bồi thường, nơi phải tuân theo logic quy định và tiêu chuẩn tài liệu, và sai sót có thể dẫn đến rủi ro pháp lý; hoặc các trợ lý nghiên cứu lâm sàng và dược phẩm, nơi việc hiểu sai tài liệu y khoa hoặc dữ liệu bệnh nhân mang lại rủi ro thực tế.</w:t>
      </w:r>
    </w:p>
    <w:p>
      <w:pPr>
        <w:spacing w:after="80"/>
        <w:ind w:left="360"/>
      </w:pPr>
      <w:r>
        <w:t xml:space="preserve">4. </w:t>
      </w:r>
      <w:r>
        <w:rPr>
          <w:b/>
          <w:i w:val="0"/>
        </w:rPr>
        <w:t>Mức độ sẵn sàng.</w:t>
      </w:r>
      <w:r>
        <w:rPr>
          <w:b w:val="0"/>
          <w:i w:val="0"/>
        </w:rPr>
        <w:t xml:space="preserve"> Ưu tiên các quy trình đã có sẵn công cụ đo lường kỹ thuật số và các quy tắc hoặc ràng buộc rõ ràng, thay vì những quy trình vẫn còn dựa trên giấy tờ hoặc chưa có cấu trúc. Một số câu hỏi cần đặt ra gồm:</w:t>
      </w:r>
    </w:p>
    <w:p>
      <w:pPr>
        <w:spacing w:after="80"/>
        <w:ind w:left="720"/>
      </w:pPr>
      <w:r>
        <w:t xml:space="preserve">• </w:t>
      </w:r>
      <w:r>
        <w:rPr>
          <w:b w:val="0"/>
          <w:i w:val="0"/>
        </w:rPr>
        <w:t>Các nguồn dữ liệu chính có được thu thập và truy cập dưới dạng kỹ thuật số không (dù là có cấu trúc hay phi cấu trúc)?</w:t>
      </w:r>
    </w:p>
    <w:p>
      <w:pPr>
        <w:spacing w:after="80"/>
        <w:ind w:left="720"/>
      </w:pPr>
      <w:r>
        <w:t xml:space="preserve">• </w:t>
      </w:r>
      <w:r>
        <w:rPr>
          <w:b w:val="0"/>
          <w:i w:val="0"/>
        </w:rPr>
        <w:t>Đã có sẵn hệ thống quy trình làm việc nào chưa (ERP, CRM, ServiceNow, Salesforce, v.v.) mà các agent có thể tích hợp vào?</w:t>
      </w:r>
    </w:p>
    <w:p>
      <w:pPr>
        <w:spacing w:after="80"/>
        <w:ind w:left="720"/>
      </w:pPr>
      <w:r>
        <w:t xml:space="preserve">• </w:t>
      </w:r>
      <w:r>
        <w:rPr>
          <w:b w:val="0"/>
          <w:i w:val="0"/>
        </w:rPr>
        <w:t>Các rào chắn bảo vệ và vòng phản hồi (bao gồm con người tham gia vào quy trình, chính sách, tuân thủ) đã được định nghĩa rõ ràng chưa?</w:t>
      </w:r>
    </w:p>
    <w:p>
      <w:pPr>
        <w:spacing w:after="80"/>
        <w:ind w:left="360"/>
      </w:pPr>
      <w:r>
        <w:t xml:space="preserve">5. </w:t>
      </w:r>
      <w:r>
        <w:rPr>
          <w:b/>
          <w:i w:val="0"/>
        </w:rPr>
        <w:t>Độ phức tạp khi triển khai.</w:t>
      </w:r>
      <w:r>
        <w:rPr>
          <w:b w:val="0"/>
          <w:i w:val="0"/>
        </w:rPr>
        <w:t xml:space="preserve"> Ưu tiên các quy trình có mức độ tích hợp nhẹ nhàng, ít phải thay đổi cách quản lý, và có thể đo lường được chất lượng kiểm soát. Một số câu hỏi cần đặt ra gồm:</w:t>
      </w:r>
    </w:p>
    <w:p>
      <w:pPr>
        <w:spacing w:after="80"/>
        <w:ind w:left="720"/>
      </w:pPr>
      <w:r>
        <w:t xml:space="preserve">• </w:t>
      </w:r>
      <w:r>
        <w:rPr>
          <w:b w:val="0"/>
          <w:i w:val="0"/>
        </w:rPr>
        <w:t>Agent cần tích hợp với bao nhiêu hệ thống và nguồn dữ liệu?</w:t>
      </w:r>
    </w:p>
    <w:p>
      <w:pPr>
        <w:spacing w:after="80"/>
        <w:ind w:left="720"/>
      </w:pPr>
      <w:r>
        <w:t xml:space="preserve">• </w:t>
      </w:r>
      <w:r>
        <w:rPr>
          <w:b w:val="0"/>
          <w:i w:val="0"/>
        </w:rPr>
        <w:t>Sẽ cần nỗ lực thay đổi hành vi người dùng ở mức độ nào?</w:t>
      </w:r>
    </w:p>
    <w:p>
      <w:pPr>
        <w:spacing w:after="80"/>
        <w:ind w:left="720"/>
      </w:pPr>
      <w:r>
        <w:t xml:space="preserve">• </w:t>
      </w:r>
      <w:r>
        <w:rPr>
          <w:b w:val="0"/>
          <w:i w:val="0"/>
        </w:rPr>
        <w:t>Cần mức độ tuân thủ, giám sát hoặc khả năng kiểm toán như thế nào?</w:t>
      </w:r>
    </w:p>
    <w:p>
      <w:pPr>
        <w:spacing w:after="80"/>
        <w:ind w:left="720"/>
      </w:pPr>
      <w:r>
        <w:t xml:space="preserve">• </w:t>
      </w:r>
      <w:r>
        <w:rPr>
          <w:b w:val="0"/>
          <w:i w:val="0"/>
        </w:rPr>
        <w:t>Chúng ta có đủ nhân lực nội bộ và năng lực nền tảng để duy trì nó không?</w:t>
      </w:r>
    </w:p>
    <w:p>
      <w:pPr>
        <w:spacing w:after="80"/>
      </w:pPr>
      <w:r>
        <w:rPr>
          <w:b w:val="0"/>
          <w:i w:val="0"/>
        </w:rPr>
        <w:t>Những góc nhìn này sẽ giúp bạn tập trung nguồn nhân lực khan hiếm và nguồn đầu tư vào nơi mà agentic AI có thể mang lại tác động lớn nhất.</w:t>
      </w:r>
    </w:p>
    <w:p>
      <w:pPr>
        <w:pStyle w:val="Heading2"/>
      </w:pPr>
      <w:r>
        <w:rPr>
          <w:rFonts w:ascii="Calibri" w:hAnsi="Calibri"/>
          <w:b/>
          <w:i w:val="0"/>
          <w:sz w:val="32"/>
        </w:rPr>
        <w:t>Bài học từ những người đang xây dựng hệ thống agentic</w:t>
      </w:r>
    </w:p>
    <w:p>
      <w:pPr>
        <w:spacing w:after="80"/>
      </w:pPr>
      <w:r>
        <w:rPr>
          <w:b w:val="0"/>
          <w:i w:val="0"/>
        </w:rPr>
        <w:t>Gần đây chúng tôi đã nghiên cứu sâu hơn 50 dự án xây dựng agentic AI để hiểu những bài học ban đầu trong việc xây dựng các ứng dụng agentic.</w:t>
      </w:r>
    </w:p>
    <w:p>
      <w:pPr>
        <w:spacing w:after="80"/>
        <w:ind w:left="360"/>
      </w:pPr>
      <w:r>
        <w:t xml:space="preserve">1. </w:t>
      </w:r>
      <w:r>
        <w:rPr>
          <w:b/>
          <w:i w:val="0"/>
        </w:rPr>
        <w:t>Vấn đề không nằm ở agent; mà nằm ở quy trình làm việc.</w:t>
      </w:r>
      <w:r>
        <w:rPr>
          <w:b w:val="0"/>
          <w:i w:val="0"/>
        </w:rPr>
        <w:t xml:space="preserve"> Khi nghe đến "agentic AI," bản năng của mọi người là tập trung vào chính bản thân agent—độ tinh vi, tính tự chủ, tốc độ của nó. Nhưng đó là điểm khởi đầu sai lầm. Giá trị thực sự đến từ việc tái tưởng tượng lại quy trình làm việc: công việc được thực hiện từ đầu đến cuối như thế nào, con người và máy móc cộng tác ra sao, và thông tin chảy qua các bước như thế nào.</w:t>
      </w:r>
    </w:p>
    <w:p>
      <w:pPr>
        <w:spacing w:after="80"/>
        <w:ind w:left="360"/>
      </w:pPr>
      <w:r>
        <w:t xml:space="preserve">2. </w:t>
      </w:r>
      <w:r>
        <w:rPr>
          <w:b/>
          <w:i w:val="0"/>
        </w:rPr>
        <w:t>Không phải lúc nào agent cũng là câu trả lời.</w:t>
      </w:r>
      <w:r>
        <w:rPr>
          <w:b w:val="0"/>
          <w:i w:val="0"/>
        </w:rPr>
        <w:t xml:space="preserve"> Agentic AI rất mạnh mẽ, nhưng không phải vấn đề nào cũng cần đến nó. Với những tác vụ được chuẩn hóa, lặp đi lặp lại, một công cụ quy tắc hoặc tự động hóa truyền thống có thể nhanh hơn, rẻ hơn và đáng tin cậy hơn. Agent tỏa sáng khi công việc mang tính động, phi cấu trúc, hoặc đầy rẫy các trường hợp ngoại lệ. Chọn đúng công cụ cho đúng công việc không phải là dấu hiệu của sự bảo thủ công nghệ; đó là dấu hiệu của sự trưởng thành (Triển lãm 5.3; đọc thêm về điều này trong Chương 22).</w:t>
      </w:r>
    </w:p>
    <w:p>
      <w:pPr>
        <w:spacing w:after="80"/>
        <w:ind w:left="360"/>
      </w:pPr>
      <w:r>
        <w:t xml:space="preserve">3. </w:t>
      </w:r>
      <w:r>
        <w:rPr>
          <w:b/>
          <w:i w:val="0"/>
        </w:rPr>
        <w:t>Chấm dứt tình trạng "rác AI."</w:t>
      </w:r>
      <w:r>
        <w:rPr>
          <w:b w:val="0"/>
          <w:i w:val="0"/>
        </w:rPr>
        <w:t xml:space="preserve"> Chúng ta đều đã từng thấy: những agent bịa đặt, hiểu sai, hoặc làm người dùng bực mình với nội dung chất lượng thấp hoặc đơn giản là sai hoàn toàn. Đó là cái mà nhiều người gọi là "rác AI." Để tránh điều này, hãy đối xử với agent như nhân viên mới để chúng có thể "học" cách làm việc tốt: định nghĩa rõ ràng công việc của chúng, hướng dẫn chúng vào hệ thống của bạn một cách cẩn thận, đánh giá chúng liên tục. Thiết lập các vòng phản hồi. Đo lường độ chính xác, độ phủ, tỷ lệ bịa đặt. Quan trọng nhất, hãy xây dựng niềm tin của người dùng bằng cách làm cho độ tin cậy trở nên rõ ràng. Nếu mọi người không tin tưởng agent, họ sẽ không sử dụng nó, và việc áp dụng sẽ chết ngay tại đó.</w:t>
      </w:r>
    </w:p>
    <w:p>
      <w:pPr>
        <w:jc w:val="center"/>
      </w:pPr>
      <w:r>
        <w:drawing>
          <wp:inline xmlns:a="http://schemas.openxmlformats.org/drawingml/2006/main" xmlns:pic="http://schemas.openxmlformats.org/drawingml/2006/picture">
            <wp:extent cx="5486400" cy="5800631"/>
            <wp:docPr id="39" name="Picture 39"/>
            <wp:cNvGraphicFramePr>
              <a:graphicFrameLocks noChangeAspect="1"/>
            </wp:cNvGraphicFramePr>
            <a:graphic>
              <a:graphicData uri="http://schemas.openxmlformats.org/drawingml/2006/picture">
                <pic:pic>
                  <pic:nvPicPr>
                    <pic:cNvPr id="0" name="c05ex003.png"/>
                    <pic:cNvPicPr/>
                  </pic:nvPicPr>
                  <pic:blipFill>
                    <a:blip r:embed="rId37"/>
                    <a:stretch>
                      <a:fillRect/>
                    </a:stretch>
                  </pic:blipFill>
                  <pic:spPr>
                    <a:xfrm>
                      <a:off x="0" y="0"/>
                      <a:ext cx="5486400" cy="5800631"/>
                    </a:xfrm>
                    <a:prstGeom prst="rect"/>
                  </pic:spPr>
                </pic:pic>
              </a:graphicData>
            </a:graphic>
          </wp:inline>
        </w:drawing>
      </w:r>
    </w:p>
    <w:p>
      <w:pPr>
        <w:spacing w:after="160"/>
        <w:jc w:val="center"/>
      </w:pPr>
      <w:r>
        <w:rPr>
          <w:rFonts w:ascii="Calibri" w:hAnsi="Calibri"/>
          <w:b w:val="0"/>
          <w:i/>
          <w:sz w:val="19"/>
        </w:rPr>
        <w:t>TRIỂN LÃM 5.3</w:t>
      </w:r>
    </w:p>
    <w:p>
      <w:pPr>
        <w:spacing w:after="80"/>
        <w:ind w:left="360"/>
      </w:pPr>
      <w:r>
        <w:t xml:space="preserve">4. </w:t>
      </w:r>
      <w:r>
        <w:rPr>
          <w:b/>
          <w:i w:val="0"/>
        </w:rPr>
        <w:t>Giúp việc theo dõi và xác minh từng bước trở nên dễ dàng.</w:t>
      </w:r>
      <w:r>
        <w:rPr>
          <w:b w:val="0"/>
          <w:i w:val="0"/>
        </w:rPr>
        <w:t xml:space="preserve"> Khi bạn xây dựng các quy trình làm việc tác tử (agentic workflow), chỉ đo lường kết quả cuối cùng là chưa đủ—bạn cần khả năng quan sát được từng bước. Tại sao độ chính xác lại giảm vào tuần trước? Đó là vấn đề về dữ liệu, lỗi ở prompt, hay sự thay đổi trong hành vi người dùng?</w:t>
        <w:br/>
        <w:t>Việc xây dựng hệ thống đo lường từ xa (telemetry) theo thời gian thực này đòi hỏi phải đầu tư vào các hệ thống đánh giá để theo dõi và cải thiện hiệu suất (xem khung bên cạnh "Các loại đánh giá"), đồng thời tích hợp khả năng quan sát (observability) vào quy trình làm việc để phát hiện và sửa lỗi sớm. Bước quan trọng nhất trong việc phát triển năng lực này là đưa các chuyên gia tuyến đầu tham gia vào quá trình phát triển tác tử.</w:t>
      </w:r>
    </w:p>
    <w:p>
      <w:pPr>
        <w:spacing w:after="80"/>
        <w:ind w:left="360"/>
      </w:pPr>
      <w:r>
        <w:t xml:space="preserve">5. </w:t>
      </w:r>
      <w:r>
        <w:rPr>
          <w:b/>
          <w:i w:val="0"/>
        </w:rPr>
        <w:t>Trường hợp sử dụng tốt nhất chính là trường hợp tái sử dụng.</w:t>
      </w:r>
      <w:r>
        <w:rPr>
          <w:b w:val="0"/>
          <w:i w:val="0"/>
        </w:rPr>
        <w:t xml:space="preserve"> Một trong những yếu tố tăng tốc mạnh mẽ nhất mà chúng tôi từng thấy là tái sử dụng—đây là chủ đề chúng ta sẽ quay lại chi tiết trong Chương 31. Rất thường xuyên, các nhóm xây dựng tác tử như những dự án đơn lẻ, mỗi dự án lại bắt đầu từ con số không. Cách làm thông minh hơn là xác định các mẫu (pattern) được lặp lại xuyên suốt các quy trình làm việc—truy xuất (retrieval), tóm tắt (summarization), phân tích (analysis), đề xuất (recommendation)—và tạo ra các mô-đun tái sử dụng để giải quyết chúng. Đó là lý do vì sao bất kỳ công ty nào thành công với AI đều đã phát triển một nền tảng AI để thúc đẩy việc tái sử dụng (sẽ nói thêm ở Chương 21).</w:t>
      </w:r>
    </w:p>
    <w:p>
      <w:pPr>
        <w:spacing w:after="80"/>
        <w:ind w:left="360"/>
      </w:pPr>
      <w:r>
        <w:t xml:space="preserve">6. </w:t>
      </w:r>
      <w:r>
        <w:rPr>
          <w:b/>
          <w:i w:val="0"/>
        </w:rPr>
        <w:t>Con người vẫn thiết yếu, nhưng vai trò của họ sẽ thay đổi.</w:t>
      </w:r>
      <w:r>
        <w:rPr>
          <w:b w:val="0"/>
          <w:i w:val="0"/>
        </w:rPr>
        <w:t xml:space="preserve"> AI tác tử (agentic AI) không thay thế con người; nó thay đổi những gì con người làm. Khi các tác tử đảm nhận công việc thường ngày, con người sẽ dịch chuyển lên cao hơn trong chuỗi giá trị, giám sát quy trình làm việc, xử lý các trường hợp ngoại lệ, quản lý dữ liệu và thiết kế các giao diện người-máy tốt hơn. Mục tiêu không phải là ít con người hơn, mà là sự cộng tác thông minh hơn giữa người và tác tử. Những tổ chức chiến thắng sẽ là những tổ chức chủ động thiết kế lại vai trò và quy trình để con người và tác tử khuếch đại lẫn nhau, chứ không tranh giành quyền kiểm soát.</w:t>
      </w:r>
    </w:p>
    <w:p>
      <w:pPr>
        <w:pStyle w:val="Heading2"/>
      </w:pPr>
      <w:r>
        <w:rPr>
          <w:rFonts w:ascii="Calibri" w:hAnsi="Calibri"/>
          <w:b/>
          <w:i w:val="0"/>
          <w:sz w:val="32"/>
        </w:rPr>
        <w:t>Các loại đánh giá ("eval")</w:t>
      </w:r>
    </w:p>
    <w:p>
      <w:pPr>
        <w:spacing w:after="80"/>
      </w:pPr>
      <w:r>
        <w:rPr>
          <w:b w:val="0"/>
          <w:i w:val="0"/>
        </w:rPr>
        <w:t>Dưới đây là một số đánh giá điển hình được dùng để đánh giá hiệu suất của tác tử:</w:t>
      </w:r>
    </w:p>
    <w:p>
      <w:pPr>
        <w:spacing w:after="80"/>
        <w:ind w:left="360"/>
      </w:pPr>
      <w:r>
        <w:t xml:space="preserve">• </w:t>
      </w:r>
      <w:r>
        <w:rPr>
          <w:b/>
          <w:i w:val="0"/>
        </w:rPr>
        <w:t>Tỷ lệ thành công của nhiệm vụ.</w:t>
      </w:r>
      <w:r>
        <w:rPr>
          <w:b w:val="0"/>
          <w:i w:val="0"/>
        </w:rPr>
        <w:t xml:space="preserve"> Tỷ lệ thành công của nhiệm vụ đo lường phần trăm các quy trình làm việc được hoàn thành chính xác trong môi trường thực tế mà không cần chuyển cấp hay can thiệp của con người.</w:t>
      </w:r>
    </w:p>
    <w:p>
      <w:pPr>
        <w:spacing w:after="80"/>
        <w:ind w:left="360"/>
      </w:pPr>
      <w:r>
        <w:t xml:space="preserve">• </w:t>
      </w:r>
      <w:r>
        <w:rPr>
          <w:b/>
          <w:i w:val="0"/>
        </w:rPr>
        <w:t>Điểm F1/độ chính xác và độ phủ.</w:t>
      </w:r>
      <w:r>
        <w:rPr>
          <w:b w:val="0"/>
          <w:i w:val="0"/>
        </w:rPr>
        <w:t xml:space="preserve"> Chỉ số này đo lường mức độ chính xác mà hệ thống đưa ra các quyết định có/không. Nó cân bằng hai yếu tố: a) độ chính xác (precision), tức tần suất các câu trả lời "có" của hệ thống là đúng; và b) độ phủ (recall), tức hệ thống thực sự tìm ra được bao nhiêu trong số các trường hợp "có" thực sự. Điểm F1 kết hợp cả hai thành một con số để dễ so sánh hơn.</w:t>
      </w:r>
    </w:p>
    <w:p>
      <w:pPr>
        <w:spacing w:after="80"/>
        <w:ind w:left="360"/>
      </w:pPr>
      <w:r>
        <w:t xml:space="preserve">• </w:t>
      </w:r>
      <w:r>
        <w:rPr>
          <w:b/>
          <w:i w:val="0"/>
        </w:rPr>
        <w:t>Độ chính xác truy xuất.</w:t>
      </w:r>
      <w:r>
        <w:rPr>
          <w:b w:val="0"/>
          <w:i w:val="0"/>
        </w:rPr>
        <w:t xml:space="preserve"> Chỉ số này đo lường có bao nhiêu tài liệu, sự kiện hoặc bằng chứng mà hệ thống tìm được thực sự đúng, so với các câu trả lời "đúng" đã biết. Đánh giá này quan trọng đối với các hệ thống tìm kiếm hoặc truy xuất thông tin.</w:t>
      </w:r>
    </w:p>
    <w:p>
      <w:pPr>
        <w:spacing w:after="80"/>
        <w:ind w:left="360"/>
      </w:pPr>
      <w:r>
        <w:t xml:space="preserve">• </w:t>
      </w:r>
      <w:r>
        <w:rPr>
          <w:b/>
          <w:i w:val="0"/>
        </w:rPr>
        <w:t>Độ tương đồng ngữ nghĩa.</w:t>
      </w:r>
      <w:r>
        <w:rPr>
          <w:b w:val="0"/>
          <w:i w:val="0"/>
        </w:rPr>
        <w:t xml:space="preserve"> Đánh giá này sử dụng các so sánh dựa trên toán học để kiểm tra xem ý nghĩa câu trả lời của hệ thống tương đồng đến mức nào với một câu trả lời đúng hoặc tham chiếu, ngay cả khi từ ngữ chính xác khác nhau.</w:t>
      </w:r>
    </w:p>
    <w:p>
      <w:pPr>
        <w:spacing w:after="80"/>
        <w:ind w:left="360"/>
      </w:pPr>
      <w:r>
        <w:t xml:space="preserve">• </w:t>
      </w:r>
      <w:r>
        <w:rPr>
          <w:b/>
          <w:i w:val="0"/>
        </w:rPr>
        <w:t>LLM làm giám khảo.</w:t>
      </w:r>
      <w:r>
        <w:rPr>
          <w:b w:val="0"/>
          <w:i w:val="0"/>
        </w:rPr>
        <w:t xml:space="preserve"> Điều này có nghĩa là dùng một mô hình AI khác để chấm điểm hoặc so sánh câu trả lời của hệ thống với các tiêu chuẩn vàng hoặc câu trả lời được con người ưa thích. Nó hữu ích để đánh giá độ rõ ràng, tính hữu ích hoặc chất lượng lập luận, đặc biệt khi không có một câu trả lời đúng duy nhất.</w:t>
      </w:r>
    </w:p>
    <w:p>
      <w:pPr>
        <w:spacing w:after="80"/>
        <w:ind w:left="360"/>
      </w:pPr>
      <w:r>
        <w:t xml:space="preserve">• </w:t>
      </w:r>
      <w:r>
        <w:rPr>
          <w:b/>
          <w:i w:val="0"/>
        </w:rPr>
        <w:t>Phát hiện thiên kiến.</w:t>
      </w:r>
      <w:r>
        <w:rPr>
          <w:b w:val="0"/>
          <w:i w:val="0"/>
        </w:rPr>
        <w:t xml:space="preserve"> Chỉ số này đo lường những khác biệt mang tính hệ thống trong kết quả giữa các nhóm người dùng để làm nổi bật nơi thiên kiến xuất hiện (ví dụ, các trường hợp âm tính giả ảnh hưởng không cân xứng đến một nhóm).</w:t>
      </w:r>
    </w:p>
    <w:p>
      <w:pPr>
        <w:spacing w:after="80"/>
        <w:ind w:left="360"/>
      </w:pPr>
      <w:r>
        <w:t xml:space="preserve">• </w:t>
      </w:r>
      <w:r>
        <w:rPr>
          <w:b/>
          <w:i w:val="0"/>
        </w:rPr>
        <w:t>Tỷ lệ ảo giác.</w:t>
      </w:r>
      <w:r>
        <w:rPr>
          <w:b w:val="0"/>
          <w:i w:val="0"/>
        </w:rPr>
        <w:t xml:space="preserve"> Chỉ số này theo dõi tần suất các tuyên bố sai sự thật hoặc không có cơ sở, và giúp đảm bảo độ tin cậy của các đầu ra từ tác tử.</w:t>
      </w:r>
    </w:p>
    <w:p>
      <w:pPr>
        <w:spacing w:after="80"/>
        <w:ind w:left="360"/>
      </w:pPr>
      <w:r>
        <w:t xml:space="preserve">• </w:t>
      </w:r>
      <w:r>
        <w:rPr>
          <w:b/>
          <w:i w:val="0"/>
        </w:rPr>
        <w:t>Sai số hiệu chuẩn (độ tự tin so với độ chính xác).</w:t>
      </w:r>
      <w:r>
        <w:rPr>
          <w:b w:val="0"/>
          <w:i w:val="0"/>
        </w:rPr>
        <w:t xml:space="preserve"> Chỉ số này kiểm tra xem độ tự tin của hệ thống vào câu trả lời của nó có khớp với mức độ đúng thực tế của những câu trả lời đó hay không. Điều này đặc biệt quan trọng trong các tình huống nhạy cảm hoặc rủi ro cao.</w:t>
      </w:r>
    </w:p>
    <w:p>
      <w:pPr>
        <w:jc w:val="center"/>
      </w:pPr>
      <w:r>
        <w:drawing>
          <wp:inline xmlns:a="http://schemas.openxmlformats.org/drawingml/2006/main" xmlns:pic="http://schemas.openxmlformats.org/drawingml/2006/picture">
            <wp:extent cx="457200" cy="447675"/>
            <wp:docPr id="40" name="Picture 40"/>
            <wp:cNvGraphicFramePr>
              <a:graphicFrameLocks noChangeAspect="1"/>
            </wp:cNvGraphicFramePr>
            <a:graphic>
              <a:graphicData uri="http://schemas.openxmlformats.org/drawingml/2006/picture">
                <pic:pic>
                  <pic:nvPicPr>
                    <pic:cNvPr id="0" name="IN_THEIR_WORDS_darkblue.png"/>
                    <pic:cNvPicPr/>
                  </pic:nvPicPr>
                  <pic:blipFill>
                    <a:blip r:embed="rId3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CỦA HỌ</w:t>
      </w:r>
    </w:p>
    <w:p>
      <w:pPr>
        <w:pStyle w:val="Heading3"/>
      </w:pPr>
      <w:r>
        <w:rPr>
          <w:rFonts w:ascii="Calibri" w:hAnsi="Calibri"/>
          <w:b/>
          <w:i w:val="0"/>
          <w:sz w:val="26"/>
        </w:rPr>
        <w:t>Năm yếu tố để thành công với GenAI</w:t>
      </w:r>
    </w:p>
    <w:p>
      <w:pPr>
        <w:spacing w:after="80"/>
      </w:pPr>
      <w:r>
        <w:rPr>
          <w:b w:val="0"/>
          <w:i w:val="0"/>
        </w:rPr>
        <w:t>"Đầu tiên, và có lẽ quan trọng nhất, chúng tôi bám sát năm lĩnh vực trọng tâm mà chúng tôi đã xác định trong giai đoạn thử nghiệm. Rất dễ để ôm đồm quá nhiều, đặc biệt trong trường hợp này, bởi vì công nghệ đang tiến bộ và phát triển nhanh đến vậy.</w:t>
      </w:r>
    </w:p>
    <w:p>
      <w:pPr>
        <w:spacing w:after="80"/>
      </w:pPr>
      <w:r>
        <w:rPr>
          <w:b w:val="0"/>
          <w:i w:val="0"/>
        </w:rPr>
        <w:t>Thứ hai, chúng tôi cam kết giải phóng đúng người để làm việc. Điều đó có nghĩa là bạn phải gỡ bỏ những việc khác khỏi đĩa của những người đó, và điều này có thể cảm thấy khó thực hiện. Nhưng nếu bạn không làm vậy, bạn không thể tiến nhanh đủ.</w:t>
      </w:r>
    </w:p>
    <w:p>
      <w:pPr>
        <w:spacing w:after="80"/>
      </w:pPr>
      <w:r>
        <w:rPr>
          <w:b w:val="0"/>
          <w:i w:val="0"/>
        </w:rPr>
        <w:t>Thứ ba, bộ phận kinh doanh đã phối hợp cùng các đồng nghiệp về AI và công nghệ của chúng tôi để xác định phạm vi các giải pháp [và để] định nghĩa các cột mốc bàn giao và tiêu chí thành công.</w:t>
      </w:r>
    </w:p>
    <w:p>
      <w:pPr>
        <w:spacing w:after="80"/>
      </w:pPr>
      <w:r>
        <w:rPr>
          <w:b w:val="0"/>
          <w:i w:val="0"/>
        </w:rPr>
        <w:t>Thứ tư, chúng tôi đưa vào sự hỗ trợ từ bên ngoài khi cần. Với GenAI, công nghệ đang phát triển nhanh đến mức bạn thực sự cần sự hỗ trợ từ các chuyên gia để triển khai thành công và nhanh chóng.</w:t>
      </w:r>
    </w:p>
    <w:p>
      <w:pPr>
        <w:spacing w:after="80"/>
      </w:pPr>
      <w:r>
        <w:rPr>
          <w:b w:val="0"/>
          <w:i w:val="0"/>
        </w:rPr>
        <w:t>Và cuối cùng, chúng tôi đơn giản hóa các đánh giá rủi ro ở cấp độ cao hơn. Quy trình đánh giá rủi ro của chúng tôi chưa sẵn sàng cho GenAI. Thay vì điều chỉnh quy trình hiện tại, chúng tôi tạo ra một quy trình rủi ro AI "đường cao tốc" mới do các đồng nghiệp cấp cao hơn dẫn dắt để cho phép ra quyết định nhanh chóng về thiết kế giải pháp AI và các rào chắn rủi ro cần thiết.</w:t>
      </w:r>
    </w:p>
    <w:p>
      <w:pPr>
        <w:spacing w:after="80"/>
      </w:pPr>
      <w:r>
        <w:rPr>
          <w:b w:val="0"/>
          <w:i w:val="0"/>
        </w:rPr>
        <w:t>Chúng tôi đã có chủ đích chọn những trường hợp sử dụng có rủi ro thấp hơn để có thể tiến nhanh và cảm thấy tự tin rằng mọi sai sót đều có thể khắc phục được. Chúng tôi chọn những trường hợp sử dụng mà ở đó chúng tôi vẫn có thể quyết định cách đạt được chất lượng phù hợp, và nếu có điều gì đó sai, nó vẫn có thể sửa chữa được. Điều đó cho phép chúng tôi tăng tốc hết mức trong những lĩnh vực đó."</w:t>
      </w:r>
    </w:p>
    <w:p>
      <w:pPr>
        <w:spacing w:after="80"/>
      </w:pPr>
      <w:r>
        <w:rPr>
          <w:b/>
          <w:i/>
        </w:rPr>
        <w:t>— Marnix van Stiphout, Giám đốc Vận hành kiêm Giám đốc Chuyển đổi, ING</w:t>
      </w:r>
    </w:p>
    <w:p>
      <w:pPr>
        <w:jc w:val="center"/>
      </w:pPr>
      <w:r>
        <w:drawing>
          <wp:inline xmlns:a="http://schemas.openxmlformats.org/drawingml/2006/main" xmlns:pic="http://schemas.openxmlformats.org/drawingml/2006/picture">
            <wp:extent cx="1905000" cy="104775"/>
            <wp:docPr id="41" name="Picture 41"/>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Như Rama Ramakrishnan của MIT nói, "Suy cho cùng, 'hào' [cạnh tranh] sẽ không đến từ các công cụ AI nền tảng. Nó có thể sẽ đến từ dữ liệu độc quyền (được đưa vào các công cụ AI), chuyên môn ngành, và logic kinh doanh chuyên sâu, đặc thù theo lĩnh vực."</w:t>
      </w:r>
    </w:p>
    <w:p>
      <w:pPr>
        <w:spacing w:after="80"/>
      </w:pPr>
      <w:r>
        <w:rPr>
          <w:b w:val="0"/>
          <w:i w:val="0"/>
        </w:rPr>
        <w:t>Câu nói này là một lời nhắc mạnh mẽ rằng suy cho cùng, các năng lực tổ chức sẽ là nguồn tạo ra sự khác biệt cạnh tranh và giá trị trong thời đại tác nhân (agentic) của chúng ta.</w:t>
      </w:r>
    </w:p>
    <w:p>
      <w:pPr>
        <w:pStyle w:val="Heading2"/>
      </w:pPr>
      <w:r>
        <w:rPr>
          <w:rFonts w:ascii="Calibri" w:hAnsi="Calibri"/>
          <w:b/>
          <w:i w:val="0"/>
          <w:sz w:val="32"/>
        </w:rPr>
        <w:t>Ghi chú</w:t>
      </w:r>
    </w:p>
    <w:p>
      <w:pPr>
        <w:spacing w:after="80"/>
        <w:ind w:left="360"/>
      </w:pPr>
      <w:r>
        <w:t xml:space="preserve">1. </w:t>
      </w:r>
      <w:r>
        <w:rPr>
          <w:b w:val="0"/>
          <w:i w:val="0"/>
        </w:rPr>
        <w:t>1   E.ON Next thuộc sở hữu và được hậu thuẫn bởi Tập đoàn E.ON, một công ty năng lượng đa quốc gia hàng đầu của Đức.</w:t>
      </w:r>
    </w:p>
    <w:p>
      <w:pPr>
        <w:spacing w:after="80"/>
        <w:ind w:left="360"/>
      </w:pPr>
      <w:r>
        <w:t xml:space="preserve">2. </w:t>
      </w:r>
      <w:r>
        <w:rPr>
          <w:b w:val="0"/>
          <w:i w:val="0"/>
        </w:rPr>
        <w:t>2   "Security and AI's potential to protect," McKinsey, ngày 28 tháng 10 năm 2025.</w:t>
      </w:r>
    </w:p>
    <w:p>
      <w:pPr>
        <w:spacing w:after="80"/>
        <w:ind w:left="360"/>
      </w:pPr>
      <w:r>
        <w:t xml:space="preserve">3. </w:t>
      </w:r>
      <w:r>
        <w:rPr>
          <w:b w:val="0"/>
          <w:i w:val="0"/>
        </w:rPr>
        <w:t>3   Lareina Yee, Anu Madgavkar, Sven Smit, Alexis Krivkovich, Michael Chui, María Jesús Ramírez, và Diego Castresana, "Agents, robots, and us: Skill partnerships in the age of AI," McKinsey, ngày 25 tháng 11 năm 2025.</w:t>
      </w:r>
    </w:p>
    <w:p>
      <w:pPr>
        <w:spacing w:after="80"/>
        <w:ind w:left="360"/>
      </w:pPr>
      <w:r>
        <w:t xml:space="preserve">4. </w:t>
      </w:r>
      <w:r>
        <w:rPr>
          <w:b w:val="0"/>
          <w:i w:val="0"/>
        </w:rPr>
        <w:t xml:space="preserve">4   Rama Ramakrishnan, "A practical guide to gaining value from LLMs," </w:t>
      </w:r>
      <w:r>
        <w:rPr>
          <w:b w:val="0"/>
          <w:i/>
        </w:rPr>
        <w:t>MIT Sloan Management Review</w:t>
      </w:r>
      <w:r>
        <w:rPr>
          <w:b w:val="0"/>
          <w:i w:val="0"/>
        </w:rPr>
        <w:t>, ngày 4 tháng 11 năm 2024.</w:t>
      </w:r>
    </w:p>
    <w:p>
      <w:pPr>
        <w:spacing w:after="80"/>
        <w:ind w:left="360"/>
      </w:pPr>
      <w:r>
        <w:t xml:space="preserve">5. </w:t>
      </w:r>
      <w:r>
        <w:rPr>
          <w:b w:val="0"/>
          <w:i w:val="0"/>
        </w:rPr>
        <w:t>5   Lareina Yee, Michael Chui, Roger Roberts, và Stephen Xu, "One year of agentic AI: Six lessons from the people doing the work," McKinsey, ngày 12 tháng 9 năm 2025.</w:t>
      </w:r>
    </w:p>
    <w:p>
      <w:pPr>
        <w:pStyle w:val="Heading2"/>
      </w:pPr>
      <w:r>
        <w:rPr>
          <w:rFonts w:ascii="Calibri" w:hAnsi="Calibri"/>
          <w:b/>
          <w:i/>
          <w:sz w:val="32"/>
        </w:rPr>
        <w:t>"Bạn không thể trốn tránh trách nhiệm của ngày mai bằng cách lảng tránh hôm nay."</w:t>
      </w:r>
    </w:p>
    <w:p>
      <w:pPr>
        <w:spacing w:after="80"/>
      </w:pPr>
      <w:r>
        <w:rPr>
          <w:b/>
          <w:i w:val="0"/>
        </w:rPr>
        <w:t>— Abraham Lincoln</w:t>
      </w:r>
    </w:p>
    <w:p>
      <w:pPr>
        <w:pStyle w:val="Heading1"/>
      </w:pPr>
      <w:r>
        <w:rPr>
          <w:rFonts w:ascii="Calibri" w:hAnsi="Calibri"/>
          <w:b/>
          <w:i w:val="0"/>
          <w:sz w:val="40"/>
        </w:rPr>
        <w:t>CHƯƠNG 6</w:t>
      </w:r>
      <w:r>
        <w:rPr>
          <w:rFonts w:ascii="Calibri" w:hAnsi="Calibri"/>
          <w:b/>
          <w:i w:val="0"/>
          <w:sz w:val="40"/>
        </w:rPr>
      </w:r>
      <w:r>
        <w:rPr>
          <w:rFonts w:ascii="Calibri" w:hAnsi="Calibri"/>
          <w:b/>
          <w:i w:val="0"/>
          <w:sz w:val="40"/>
        </w:rPr>
        <w:t>Bạn chỉ giỏi bằng những năng lực mà bạn xây dựng</w:t>
      </w:r>
    </w:p>
    <w:p>
      <w:pPr>
        <w:spacing w:after="80"/>
      </w:pPr>
      <w:r>
        <w:rPr>
          <w:b w:val="0"/>
          <w:i w:val="0"/>
        </w:rPr>
        <w:t>Pilot Company là một nhà cung cấp năng lượng và trải nghiệm hàng đầu, tập trung vào các tài xế chuyên nghiệp đường dài và khách lái xe bốn bánh. Đây là nhà cung cấp dịch vụ hàng đầu ở Bắc Mỹ, nhưng có thể không phải là công ty đầu tiên bạn nghĩ đến khi nghe đến "AI".</w:t>
      </w:r>
    </w:p>
    <w:p>
      <w:pPr>
        <w:spacing w:after="80"/>
      </w:pPr>
      <w:r>
        <w:rPr>
          <w:b w:val="0"/>
          <w:i w:val="0"/>
        </w:rPr>
        <w:t>Tuy nhiên, Pilot đã phát triển những giải pháp dựa trên AI mang tính đột phá. Ví dụ, họ có khả năng tự động định giá các loại nhiên liệu khác nhau mỗi giờ tại từng trong số hơn 900 trạm của mình trên khắp nước Mỹ. Họ cũng đã tạo ra một dịch vụ đa kênh được cá nhân hóa, tích hợp trải nghiệm trực tuyến và tại cửa hàng cho các tài xế chuyên nghiệp và khách hàng, giúp tăng tiện lợi, thưởng cho lòng trung thành và thúc đẩy doanh số.</w:t>
      </w:r>
    </w:p>
    <w:p>
      <w:pPr>
        <w:spacing w:after="80"/>
      </w:pPr>
      <w:r>
        <w:rPr>
          <w:b w:val="0"/>
          <w:i w:val="0"/>
        </w:rPr>
        <w:t>Để cung cấp loạt dịch vụ này, Pilot đã xây dựng một đội ngũ tài năng về dữ liệu và AI đáng nể, cùng với các nhà lãnh đạo kinh doanh am hiểu công nghệ, kết hợp với các năng lực tổ chức (bao gồm cách làm việc linh hoạt, quyền sở hữu sản phẩm, phương pháp thử và học hỏi) vận hành hài hòa với nhau. Những đội ngũ này đã xây dựng các năng lực then chốt như nền tảng công nghệ và dữ liệu, để kích hoạt các giải pháp dựa trên AI của họ trong định giá, trưng bày hàng hóa, bán hàng B2B và trải nghiệm khách hàng, cùng vô số thứ khác.</w:t>
      </w:r>
    </w:p>
    <w:p>
      <w:pPr>
        <w:spacing w:after="80"/>
      </w:pPr>
      <w:r>
        <w:rPr>
          <w:b w:val="0"/>
          <w:i w:val="0"/>
        </w:rPr>
        <w:t>Vì đây không phải là nỗ lực làm một lần rồi xong, Pilot liên tục cải thiện hiệu suất các giải pháp dựa trên AI của mình (giờ đây bao gồm cả việc sử dụng GenAI và agentic AI) để có thể không ngừng gia tăng giá trị kinh doanh và cho nhân viên thấy rằng chính họ là quan trọng.</w:t>
      </w:r>
    </w:p>
    <w:p>
      <w:pPr>
        <w:spacing w:after="80"/>
      </w:pPr>
      <w:r>
        <w:rPr>
          <w:b w:val="0"/>
          <w:i w:val="0"/>
        </w:rPr>
        <w:t>Pilot thể hiện một khái niệm cốt lõi của cuốn sách này: sự khác biệt cạnh tranh đến từ các năng lực tổ chức.</w:t>
      </w:r>
    </w:p>
    <w:p>
      <w:pPr>
        <w:spacing w:after="80"/>
      </w:pPr>
      <w:r>
        <w:rPr>
          <w:b/>
          <w:i/>
        </w:rPr>
        <w:t>Chúng ta đang trong một cuộc chạy đua vũ trang về Công nghệ &amp; AI, và những công ty đang thắng là những công ty có năng lực thúc đẩy đổi mới kinh doanh nhanh hơn. Họ luôn đi trước đối thủ trong việc làm hài lòng khách hàng và giảm chi phí đơn vị</w:t>
      </w:r>
      <w:r>
        <w:rPr>
          <w:b/>
          <w:i w:val="0"/>
        </w:rPr>
        <w:t>.</w:t>
      </w:r>
    </w:p>
    <w:p>
      <w:pPr>
        <w:spacing w:after="80"/>
      </w:pPr>
      <w:r>
        <w:rPr>
          <w:b w:val="0"/>
          <w:i w:val="0"/>
        </w:rPr>
        <w:t>Nhiệm vụ của chúng ta trong chương này là giúp bạn xác định mình cần những năng lực nào, và cách phát triển chúng. Cụ thể, chúng ta sẽ giải quyết bốn câu hỏi trọng tâm:</w:t>
      </w:r>
    </w:p>
    <w:p>
      <w:pPr>
        <w:spacing w:after="80"/>
        <w:ind w:left="360"/>
      </w:pPr>
      <w:r>
        <w:t xml:space="preserve">• </w:t>
      </w:r>
      <w:r>
        <w:rPr>
          <w:b w:val="0"/>
          <w:i w:val="0"/>
        </w:rPr>
        <w:t>Những năng lực cụ thể nào cần được xây dựng để cạnh tranh vượt trội trong kỷ nguyên AI?</w:t>
      </w:r>
    </w:p>
    <w:p>
      <w:pPr>
        <w:spacing w:after="80"/>
        <w:ind w:left="360"/>
      </w:pPr>
      <w:r>
        <w:t xml:space="preserve">• </w:t>
      </w:r>
      <w:r>
        <w:rPr>
          <w:b w:val="0"/>
          <w:i w:val="0"/>
        </w:rPr>
        <w:t>Tài năng nào nên làm nội bộ so với thuê ngoài?</w:t>
      </w:r>
    </w:p>
    <w:p>
      <w:pPr>
        <w:spacing w:after="80"/>
        <w:ind w:left="360"/>
      </w:pPr>
      <w:r>
        <w:t xml:space="preserve">• </w:t>
      </w:r>
      <w:r>
        <w:rPr>
          <w:b w:val="0"/>
          <w:i w:val="0"/>
        </w:rPr>
        <w:t>Công nghệ nào nên tự xây dựng so với mua lại?</w:t>
      </w:r>
    </w:p>
    <w:p>
      <w:pPr>
        <w:spacing w:after="80"/>
        <w:ind w:left="360"/>
      </w:pPr>
      <w:r>
        <w:t xml:space="preserve">• </w:t>
      </w:r>
      <w:r>
        <w:rPr>
          <w:b w:val="0"/>
          <w:i w:val="0"/>
        </w:rPr>
        <w:t>Những kiểu hợp tác nào có thể giúp tăng tốc việc xây dựng các năng lực này?</w:t>
      </w:r>
    </w:p>
    <w:p>
      <w:pPr>
        <w:pStyle w:val="Heading2"/>
      </w:pPr>
      <w:r>
        <w:rPr>
          <w:rFonts w:ascii="Calibri" w:hAnsi="Calibri"/>
          <w:b/>
          <w:i w:val="0"/>
          <w:sz w:val="32"/>
        </w:rPr>
        <w:t>Các năng lực cần xây dựng</w:t>
      </w:r>
    </w:p>
    <w:p>
      <w:pPr>
        <w:spacing w:after="80"/>
      </w:pPr>
      <w:r>
        <w:rPr>
          <w:b w:val="0"/>
          <w:i w:val="0"/>
        </w:rPr>
        <w:t>Như chúng tôi đã giải thích trong phần giới thiệu của cuốn sách này, các công ty cần sáu năng lực cốt lõi để tạo ra giá trị từ Công nghệ &amp; AI một cách hiệu quả. Bạn không được chọn xem mình muốn giỏi ở năng lực nào vì mỗi năng lực đều quan trọng. Trong nghiên cứu liên tục của chúng tôi về tình hình AI, chúng tôi nhận thấy rằng các công ty có những năng lực này luôn đạt được lợi nhuận lớn nhất từ AI.</w:t>
      </w:r>
    </w:p>
    <w:p>
      <w:pPr>
        <w:spacing w:after="80"/>
      </w:pPr>
      <w:r>
        <w:rPr>
          <w:b/>
          <w:i/>
        </w:rPr>
        <w:t>Bạn cần cả sáu năng lực được tái cấu trúc để công thức chuyển đổi Công nghệ &amp; AI phát huy tác dụng</w:t>
      </w:r>
      <w:r>
        <w:rPr>
          <w:b/>
          <w:i w:val="0"/>
        </w:rPr>
        <w:t>.</w:t>
      </w:r>
    </w:p>
    <w:p>
      <w:pPr>
        <w:spacing w:after="80"/>
      </w:pPr>
      <w:r>
        <w:rPr>
          <w:b w:val="0"/>
          <w:i w:val="0"/>
        </w:rPr>
        <w:t>Hãy bắt đầu từ trên xuống. Sơ đồ 6.1 định nghĩa từng năng lực này cùng với các dấu hiệu mức độ trưởng thành tương ứng ở cấp cao. Hãy dành chút thời gian đọc qua chúng và xác định xem công ty bạn đang ở đâu.</w:t>
      </w:r>
    </w:p>
    <w:p>
      <w:pPr>
        <w:spacing w:after="80"/>
      </w:pPr>
      <w:r>
        <w:rPr>
          <w:b w:val="0"/>
          <w:i w:val="0"/>
        </w:rPr>
        <w:t>Nhìn chung, qua quá trình đánh giá chuẩn (benchmarking) của mình, chúng tôi thường thấy rằng 50–70% công ty còn ở mức mới bắt đầu, 30–40% ở mức khá, và khoảng 5% là những công ty dẫn đầu trong ngành của họ.</w:t>
      </w:r>
    </w:p>
    <w:p>
      <w:pPr>
        <w:jc w:val="center"/>
      </w:pPr>
      <w:r>
        <w:drawing>
          <wp:inline xmlns:a="http://schemas.openxmlformats.org/drawingml/2006/main" xmlns:pic="http://schemas.openxmlformats.org/drawingml/2006/picture">
            <wp:extent cx="5486400" cy="6673755"/>
            <wp:docPr id="42" name="Picture 42"/>
            <wp:cNvGraphicFramePr>
              <a:graphicFrameLocks noChangeAspect="1"/>
            </wp:cNvGraphicFramePr>
            <a:graphic>
              <a:graphicData uri="http://schemas.openxmlformats.org/drawingml/2006/picture">
                <pic:pic>
                  <pic:nvPicPr>
                    <pic:cNvPr id="0" name="c06ex001.png"/>
                    <pic:cNvPicPr/>
                  </pic:nvPicPr>
                  <pic:blipFill>
                    <a:blip r:embed="rId39"/>
                    <a:stretch>
                      <a:fillRect/>
                    </a:stretch>
                  </pic:blipFill>
                  <pic:spPr>
                    <a:xfrm>
                      <a:off x="0" y="0"/>
                      <a:ext cx="5486400" cy="6673755"/>
                    </a:xfrm>
                    <a:prstGeom prst="rect"/>
                  </pic:spPr>
                </pic:pic>
              </a:graphicData>
            </a:graphic>
          </wp:inline>
        </w:drawing>
      </w:r>
    </w:p>
    <w:p>
      <w:pPr>
        <w:spacing w:after="160"/>
        <w:jc w:val="center"/>
      </w:pPr>
      <w:r>
        <w:rPr>
          <w:rFonts w:ascii="Calibri" w:hAnsi="Calibri"/>
          <w:b w:val="0"/>
          <w:i/>
          <w:sz w:val="19"/>
        </w:rPr>
        <w:t>TRIỂN LÃM 6.1</w:t>
      </w:r>
    </w:p>
    <w:p>
      <w:pPr>
        <w:spacing w:after="80"/>
      </w:pPr>
      <w:r>
        <w:rPr>
          <w:b w:val="0"/>
          <w:i w:val="0"/>
        </w:rPr>
        <w:t>Sáu năng lực này phát huy hiệu quả nhất khi chúng củng cố lẫn nhau. Sẽ chẳng ích gì nếu bạn cố đẩy một năng lực đơn lẻ lên mức dẫn đầu ngành trong khi các năng lực khác vẫn còn ở mức mới bắt đầu. Lấy ví dụ về quần vợt, sẽ chẳng giúp ích gì nếu bạn có kỹ thuật di chuyển chân hàng đầu nếu bạn không thể vung vợt.</w:t>
      </w:r>
    </w:p>
    <w:p>
      <w:pPr>
        <w:jc w:val="center"/>
      </w:pPr>
      <w:r>
        <w:drawing>
          <wp:inline xmlns:a="http://schemas.openxmlformats.org/drawingml/2006/main" xmlns:pic="http://schemas.openxmlformats.org/drawingml/2006/picture">
            <wp:extent cx="457200" cy="447675"/>
            <wp:docPr id="43" name="Picture 43"/>
            <wp:cNvGraphicFramePr>
              <a:graphicFrameLocks noChangeAspect="1"/>
            </wp:cNvGraphicFramePr>
            <a:graphic>
              <a:graphicData uri="http://schemas.openxmlformats.org/drawingml/2006/picture">
                <pic:pic>
                  <pic:nvPicPr>
                    <pic:cNvPr id="0" name="MANAGEMENT_TIP_darkblue.png"/>
                    <pic:cNvPicPr/>
                  </pic:nvPicPr>
                  <pic:blipFill>
                    <a:blip r:embed="rId3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Công cụ tự đánh giá</w:t>
      </w:r>
    </w:p>
    <w:p>
      <w:pPr>
        <w:jc w:val="center"/>
      </w:pPr>
      <w:r>
        <w:drawing>
          <wp:inline xmlns:a="http://schemas.openxmlformats.org/drawingml/2006/main" xmlns:pic="http://schemas.openxmlformats.org/drawingml/2006/picture">
            <wp:extent cx="1695450" cy="1704975"/>
            <wp:docPr id="44" name="Picture 44"/>
            <wp:cNvGraphicFramePr>
              <a:graphicFrameLocks noChangeAspect="1"/>
            </wp:cNvGraphicFramePr>
            <a:graphic>
              <a:graphicData uri="http://schemas.openxmlformats.org/drawingml/2006/picture">
                <pic:pic>
                  <pic:nvPicPr>
                    <pic:cNvPr id="0" name="c06qr001.png"/>
                    <pic:cNvPicPr/>
                  </pic:nvPicPr>
                  <pic:blipFill>
                    <a:blip r:embed="rId40"/>
                    <a:stretch>
                      <a:fillRect/>
                    </a:stretch>
                  </pic:blipFill>
                  <pic:spPr>
                    <a:xfrm>
                      <a:off x="0" y="0"/>
                      <a:ext cx="1695450" cy="1704975"/>
                    </a:xfrm>
                    <a:prstGeom prst="rect"/>
                  </pic:spPr>
                </pic:pic>
              </a:graphicData>
            </a:graphic>
          </wp:inline>
        </w:drawing>
      </w:r>
    </w:p>
    <w:p>
      <w:pPr>
        <w:spacing w:after="80"/>
      </w:pPr>
      <w:r>
        <w:rPr>
          <w:b w:val="0"/>
          <w:i w:val="0"/>
        </w:rPr>
        <w:t>Chúng tôi có một công cụ tự đánh giá trực tuyến giúp bạn hiểu mình đang ở đâu trên hành trình xây dựng năng lực (</w:t>
      </w:r>
      <w:r>
        <w:rPr>
          <w:b/>
          <w:i w:val="0"/>
        </w:rPr>
        <w:t>McKinsey.com/RewiredAssessment</w:t>
      </w:r>
      <w:r>
        <w:rPr>
          <w:b w:val="0"/>
          <w:i w:val="0"/>
        </w:rPr>
        <w:t>). Công cụ này sẽ cung cấp cho bạn một điểm chuẩn so với các đối thủ cùng ngành và so với các công ty dẫn đầu ngành trên nhiều lĩnh vực.</w:t>
      </w:r>
    </w:p>
    <w:p>
      <w:pPr>
        <w:spacing w:after="80"/>
      </w:pPr>
      <w:r>
        <w:rPr>
          <w:b w:val="0"/>
          <w:i w:val="0"/>
        </w:rPr>
        <w:t>Những năng lực bạn xây dựng cần phải phù hợp với nhu cầu trong lộ trình chuyển đổi lĩnh vực của bạn, nhưng chúng cũng cần được xây dựng để có thể mở rộng quy mô. Ví dụ, một data lake đơn giản có thể đủ để hỗ trợ vài mô hình AI, nhưng nó sẽ không mở rộng được nếu bạn có hàng trăm trường hợp sử dụng đang vận hành thực tế. Để làm được điều đó, bạn sẽ cần một nền tảng dữ liệu hiện đại.</w:t>
      </w:r>
    </w:p>
    <w:p>
      <w:pPr>
        <w:spacing w:after="80"/>
      </w:pPr>
      <w:r>
        <w:rPr>
          <w:b/>
          <w:i/>
        </w:rPr>
        <w:t>Hãy xây dựng những năng lực phù hợp với nhu cầu trước mắt của bạn nhưng phát triển chúng theo hướng có thể mở rộng quy mô</w:t>
      </w:r>
      <w:r>
        <w:rPr>
          <w:b/>
          <w:i w:val="0"/>
        </w:rPr>
        <w:t>.</w:t>
      </w:r>
    </w:p>
    <w:p>
      <w:pPr>
        <w:spacing w:after="80"/>
      </w:pPr>
      <w:r>
        <w:rPr>
          <w:b w:val="0"/>
          <w:i w:val="0"/>
        </w:rPr>
        <w:t>Một điều cần nhấn mạnh ở đây: điều quan trọng là phải cân nhắc các phương pháp áp dụng và mở rộng quy mô ngay từ đầu quá trình, khi các quyết định còn ít tốn kém và dễ thực hiện hơn. Và khi cân nhắc những phương pháp đó, ý chúng tôi là phải có cái nhìn thấu đáo về việc xây dựng chúng đồng bộ qua từng giai đoạn (chúng tôi đi sâu chi tiết hơn nhiều về vấn đề này trong Mục Sáu).</w:t>
      </w:r>
    </w:p>
    <w:p>
      <w:pPr>
        <w:spacing w:after="80"/>
      </w:pPr>
      <w:r>
        <w:rPr>
          <w:b w:val="0"/>
          <w:i w:val="0"/>
        </w:rPr>
        <w:t>Triển lãm 6.2 cung cấp cái nhìn tổng quan về việc tiến triển qua các cấp độ của phương pháp xây dựng năng lực sẽ trông như thế nào. Các hoạt động được nêu dưới đây chỉ mang tính minh họa; điều quan trọng cần rút ra là các hoạt động trong mỗi lĩnh vực năng lực cần được phối hợp với nhau.</w:t>
      </w:r>
    </w:p>
    <w:p>
      <w:pPr>
        <w:jc w:val="center"/>
      </w:pPr>
      <w:r>
        <w:drawing>
          <wp:inline xmlns:a="http://schemas.openxmlformats.org/drawingml/2006/main" xmlns:pic="http://schemas.openxmlformats.org/drawingml/2006/picture">
            <wp:extent cx="5486400" cy="6697639"/>
            <wp:docPr id="45" name="Picture 45"/>
            <wp:cNvGraphicFramePr>
              <a:graphicFrameLocks noChangeAspect="1"/>
            </wp:cNvGraphicFramePr>
            <a:graphic>
              <a:graphicData uri="http://schemas.openxmlformats.org/drawingml/2006/picture">
                <pic:pic>
                  <pic:nvPicPr>
                    <pic:cNvPr id="0" name="c06ex002.png"/>
                    <pic:cNvPicPr/>
                  </pic:nvPicPr>
                  <pic:blipFill>
                    <a:blip r:embed="rId41"/>
                    <a:stretch>
                      <a:fillRect/>
                    </a:stretch>
                  </pic:blipFill>
                  <pic:spPr>
                    <a:xfrm>
                      <a:off x="0" y="0"/>
                      <a:ext cx="5486400" cy="6697639"/>
                    </a:xfrm>
                    <a:prstGeom prst="rect"/>
                  </pic:spPr>
                </pic:pic>
              </a:graphicData>
            </a:graphic>
          </wp:inline>
        </w:drawing>
      </w:r>
    </w:p>
    <w:p>
      <w:pPr>
        <w:spacing w:after="160"/>
        <w:jc w:val="center"/>
      </w:pPr>
      <w:r>
        <w:rPr>
          <w:rFonts w:ascii="Calibri" w:hAnsi="Calibri"/>
          <w:b w:val="0"/>
          <w:i/>
          <w:sz w:val="19"/>
        </w:rPr>
        <w:t>TRIỂN LÃM 6.2</w:t>
      </w:r>
    </w:p>
    <w:p>
      <w:pPr>
        <w:jc w:val="center"/>
      </w:pPr>
      <w:r>
        <w:drawing>
          <wp:inline xmlns:a="http://schemas.openxmlformats.org/drawingml/2006/main" xmlns:pic="http://schemas.openxmlformats.org/drawingml/2006/picture">
            <wp:extent cx="571500" cy="561975"/>
            <wp:docPr id="46" name="Picture 46"/>
            <wp:cNvGraphicFramePr>
              <a:graphicFrameLocks noChangeAspect="1"/>
            </wp:cNvGraphicFramePr>
            <a:graphic>
              <a:graphicData uri="http://schemas.openxmlformats.org/drawingml/2006/picture">
                <pic:pic>
                  <pic:nvPicPr>
                    <pic:cNvPr id="0" name="RULE_OF_THUMB_darkblue.png"/>
                    <pic:cNvPicPr/>
                  </pic:nvPicPr>
                  <pic:blipFill>
                    <a:blip r:embed="rId18"/>
                    <a:stretch>
                      <a:fillRect/>
                    </a:stretch>
                  </pic:blipFill>
                  <pic:spPr>
                    <a:xfrm>
                      <a:off x="0" y="0"/>
                      <a:ext cx="571500" cy="561975"/>
                    </a:xfrm>
                    <a:prstGeom prst="rect"/>
                  </pic:spPr>
                </pic:pic>
              </a:graphicData>
            </a:graphic>
          </wp:inline>
        </w:drawing>
      </w:r>
    </w:p>
    <w:p>
      <w:pPr>
        <w:pStyle w:val="Heading2"/>
      </w:pPr>
      <w:r>
        <w:rPr>
          <w:rFonts w:ascii="Calibri" w:hAnsi="Calibri"/>
          <w:b/>
          <w:i w:val="0"/>
          <w:sz w:val="32"/>
        </w:rPr>
        <w:t>QUY TẮC KINH NGHIỆM</w:t>
      </w:r>
    </w:p>
    <w:p>
      <w:pPr>
        <w:pStyle w:val="Heading3"/>
      </w:pPr>
      <w:r>
        <w:rPr>
          <w:rFonts w:ascii="Calibri" w:hAnsi="Calibri"/>
          <w:b/>
          <w:i w:val="0"/>
          <w:sz w:val="26"/>
        </w:rPr>
        <w:t>Mất bao lâu để xây dựng năng lực</w:t>
      </w:r>
    </w:p>
    <w:p>
      <w:pPr>
        <w:spacing w:after="80"/>
      </w:pPr>
      <w:r>
        <w:rPr>
          <w:b w:val="0"/>
          <w:i w:val="0"/>
        </w:rPr>
        <w:t>Nói chung, phải mất hai đến ba năm để nâng một năng lực từ cấp độ này lên cấp độ tiếp theo.</w:t>
      </w:r>
    </w:p>
    <w:p>
      <w:pPr>
        <w:spacing w:after="80"/>
      </w:pPr>
      <w:r>
        <w:rPr>
          <w:b w:val="0"/>
          <w:i w:val="0"/>
        </w:rPr>
        <w:t>Khi các nhà lãnh đạo cân nhắc cách phát triển năng lực, hai câu hỏi lớn ngay lập tức hiện ra: Chúng ta nên tìm nguồn nhân tài như thế nào, và chúng ta nên tìm nguồn công nghệ như thế nào?</w:t>
      </w:r>
    </w:p>
    <w:p>
      <w:pPr>
        <w:pStyle w:val="Heading2"/>
      </w:pPr>
      <w:r>
        <w:rPr>
          <w:rFonts w:ascii="Calibri" w:hAnsi="Calibri"/>
          <w:b/>
          <w:i w:val="0"/>
          <w:sz w:val="32"/>
        </w:rPr>
        <w:t>Nhân tài: Nội bộ hay thuê ngoài</w:t>
      </w:r>
    </w:p>
    <w:p>
      <w:pPr>
        <w:spacing w:after="80"/>
      </w:pPr>
      <w:r>
        <w:rPr>
          <w:b w:val="0"/>
          <w:i w:val="0"/>
        </w:rPr>
        <w:t xml:space="preserve">Mọi công ty đều đối mặt với cùng một câu hỏi: </w:t>
      </w:r>
      <w:r>
        <w:rPr>
          <w:b w:val="0"/>
          <w:i/>
        </w:rPr>
        <w:t>“Liệu chúng ta có cần phải có đội ngũ nhân tài số hoặc AI của riêng mình không?”</w:t>
      </w:r>
      <w:r>
        <w:rPr>
          <w:b w:val="0"/>
          <w:i w:val="0"/>
        </w:rPr>
        <w:t xml:space="preserve"> Các lãnh đạo doanh nghiệp sẽ lập luận rằng công nghệ không phải là hoạt động kinh doanh cốt lõi của họ, mà việc cung cấp các khoản vay thế chấp hay khai thác tài nguyên mới là. Họ cũng có thể lập luận rằng trước đây họ đã thuê ngoài phần lớn mảng IT, vậy tại sao với AI lại phải khác đi?</w:t>
      </w:r>
    </w:p>
    <w:p>
      <w:pPr>
        <w:spacing w:after="80"/>
      </w:pPr>
      <w:r>
        <w:rPr>
          <w:b/>
          <w:i/>
        </w:rPr>
        <w:t>Bài học này rất rõ ràng: Chúng ta vẫn chưa thấy một công ty nào đạt được sự xuất sắc về Công nghệ &amp; AI bằng con đường thuê ngoài. Phân tích của chúng tôi về các công ty dẫn đầu về Công nghệ &amp; AI cho thấy họ có phần lớn nhân tài công nghệ của mình làm việc nội bộ</w:t>
      </w:r>
      <w:r>
        <w:rPr>
          <w:b/>
          <w:i w:val="0"/>
        </w:rPr>
        <w:t>.</w:t>
      </w:r>
    </w:p>
    <w:p>
      <w:pPr>
        <w:spacing w:after="80"/>
      </w:pPr>
      <w:r>
        <w:rPr>
          <w:b w:val="0"/>
          <w:i w:val="0"/>
        </w:rPr>
        <w:t>Nếu một công ty muốn dùng Công nghệ &amp; AI để vượt lên trên đối thủ, thì đến một lúc nào đó họ cần phải có nhân tài của riêng mình để phát triển và cải tiến những giải pháp vốn là cốt lõi tạo nên sự khác biệt cạnh tranh.</w:t>
      </w:r>
    </w:p>
    <w:p>
      <w:pPr>
        <w:spacing w:after="80"/>
      </w:pPr>
      <w:r>
        <w:rPr>
          <w:b w:val="0"/>
          <w:i w:val="0"/>
        </w:rPr>
        <w:t>Để giúp định hướng sự chuyển dịch nhân tài đó, các công ty hàng đầu nhận diện ba loại hệ thống phần mềm riêng biệt, mỗi loại được xác định bởi vai trò của nó trong việc tạo dựng lợi thế cạnh tranh (Hình 6.3):</w:t>
      </w:r>
    </w:p>
    <w:p>
      <w:pPr>
        <w:spacing w:after="80"/>
        <w:ind w:left="360"/>
      </w:pPr>
      <w:r>
        <w:t xml:space="preserve">• </w:t>
      </w:r>
      <w:r>
        <w:rPr>
          <w:b/>
          <w:i w:val="0"/>
        </w:rPr>
        <w:t>Hệ thống tạo khác biệt</w:t>
      </w:r>
      <w:r>
        <w:rPr>
          <w:b w:val="0"/>
          <w:i w:val="0"/>
        </w:rPr>
        <w:t xml:space="preserve"> tạo nên hào bảo vệ cạnh tranh của công ty. Chúng thể hiện những gì mà doanh nghiệp làm tốt hơn người khác một cách độc đáo.</w:t>
      </w:r>
    </w:p>
    <w:p>
      <w:pPr>
        <w:spacing w:after="80"/>
        <w:ind w:left="360"/>
      </w:pPr>
      <w:r>
        <w:t xml:space="preserve">• </w:t>
      </w:r>
      <w:r>
        <w:rPr>
          <w:b/>
          <w:i w:val="0"/>
        </w:rPr>
        <w:t>Hệ thống tốc độ cao</w:t>
      </w:r>
      <w:r>
        <w:rPr>
          <w:b w:val="0"/>
          <w:i w:val="0"/>
        </w:rPr>
        <w:t xml:space="preserve"> thúc đẩy sự khác biệt thông qua tốc độ phát triển và tốc độ lặp lại, chứ không phải thông qua tính độc đáo của ý tưởng.</w:t>
      </w:r>
    </w:p>
    <w:p>
      <w:pPr>
        <w:spacing w:after="80"/>
        <w:ind w:left="360"/>
      </w:pPr>
      <w:r>
        <w:t xml:space="preserve">• </w:t>
      </w:r>
      <w:r>
        <w:rPr>
          <w:b/>
          <w:i w:val="0"/>
        </w:rPr>
        <w:t>Hệ thống tiện ích.</w:t>
      </w:r>
      <w:r>
        <w:rPr>
          <w:b w:val="0"/>
          <w:i w:val="0"/>
        </w:rPr>
        <w:t xml:space="preserve"> Đây thường là (nhưng không phải lúc nào cũng vậy) những hệ thống mang tính hỗ trợ nhưng không tạo khác biệt, chẳng hạn như cổng thông tin nhân sự, hệ thống tài chính, tự động hóa hạ tầng, và các bảng điều khiển báo cáo. Mục tiêu là độ tin cậy và hiệu quả chi phí, chứ không phải tính độc đáo hay tốc độ.</w:t>
      </w:r>
    </w:p>
    <w:p>
      <w:pPr>
        <w:spacing w:after="80"/>
      </w:pPr>
      <w:r>
        <w:rPr>
          <w:b/>
          <w:i/>
        </w:rPr>
        <w:t>Việc xác định ý định chiến lược cho từng hệ thống giờ đây là một trong những quyết định quan trọng nhất mà các nhà lãnh đạo doanh nghiệp đưa ra. Điều này đương nhiên khiến họ tập trung nguồn lực và nguồn lực nội bộ vào những nơi mà sự khác biệt và tốc độ quan trọng nhất. Phần còn lại có thể được đơn giản hóa hoặc thuê ngoài</w:t>
      </w:r>
      <w:r>
        <w:rPr>
          <w:b/>
          <w:i w:val="0"/>
        </w:rPr>
        <w:t>.</w:t>
      </w:r>
    </w:p>
    <w:p>
      <w:pPr>
        <w:spacing w:after="80"/>
      </w:pPr>
      <w:r>
        <w:rPr>
          <w:b w:val="0"/>
          <w:i w:val="0"/>
        </w:rPr>
        <w:t>Đó là lý do tại sao, ngay cả khi việc thuê ngoài công nghệ và quy trình kinh doanh vẫn tiếp tục tăng trưởng nhanh chóng trên toàn cầu, các công ty dẫn đầu về Công nghệ &amp; AI lại đang đưa nhân tài công nghệ trở về nội bộ. Lý do của sự chuyển dịch này là nó giúp các công ty kiểm soát tốt hơn chất lượng và hiệu suất của các đội ngũ làm việc cho những ưu tiên hàng đầu của công ty. Điều này đặc biệt đúng trong bối cảnh cuộc cách mạng phát triển phần mềm do AI tác tử (agentic AI) dẫn dắt, nơi những đội ngũ nhỏ nhưng hiểu biết làm việc nhanh hơn nhiều so với trước đây.</w:t>
      </w:r>
    </w:p>
    <w:p>
      <w:pPr>
        <w:spacing w:after="80"/>
      </w:pPr>
      <w:r>
        <w:rPr>
          <w:b w:val="0"/>
          <w:i w:val="0"/>
        </w:rPr>
        <w:t>Khi các chuyên gia công nghệ làm việc chặt chẽ với các đồng nghiệp ở mảng kinh doanh và vận hành, những điều tốt đẹp sẽ xảy ra, chẳng hạn như phát triển giải pháp nhanh hơn. Một nhà khoa học dữ liệu làm việc cho một nhà bán lẻ sẽ làm việc hiệu quả hơn nhiều trong việc phát triển một giải pháp quản lý doanh thu nếu họ hiểu được động lực định giá của người tiêu dùng, định vị thương hiệu, và môi trường dữ liệu của công ty. Hiểu được bối cảnh là điều cực kỳ quan trọng đối với năng suất kỹ thuật.</w:t>
      </w:r>
    </w:p>
    <w:p>
      <w:pPr>
        <w:spacing w:after="80"/>
      </w:pPr>
      <w:r>
        <w:rPr>
          <w:b w:val="0"/>
          <w:i w:val="0"/>
        </w:rPr>
        <w:t>Có những lý do chính đáng để thuê ngoài nhân tài công nghệ, chẳng hạn như có được sự linh hoạt về nhân sự, tiếp cận nhân tài có kỹ năng tốt hơn hoặc những kỹ năng mà bạn có thể không có trong nội bộ, và giảm chi phí. Đây đều là những lý do tốt, nhưng hãy hiểu điều này: không có bữa trưa nào miễn phí cả.</w:t>
      </w:r>
    </w:p>
    <w:p>
      <w:pPr>
        <w:jc w:val="center"/>
      </w:pPr>
      <w:r>
        <w:drawing>
          <wp:inline xmlns:a="http://schemas.openxmlformats.org/drawingml/2006/main" xmlns:pic="http://schemas.openxmlformats.org/drawingml/2006/picture">
            <wp:extent cx="5486400" cy="6412103"/>
            <wp:docPr id="47" name="Picture 47"/>
            <wp:cNvGraphicFramePr>
              <a:graphicFrameLocks noChangeAspect="1"/>
            </wp:cNvGraphicFramePr>
            <a:graphic>
              <a:graphicData uri="http://schemas.openxmlformats.org/drawingml/2006/picture">
                <pic:pic>
                  <pic:nvPicPr>
                    <pic:cNvPr id="0" name="c06ex003.png"/>
                    <pic:cNvPicPr/>
                  </pic:nvPicPr>
                  <pic:blipFill>
                    <a:blip r:embed="rId42"/>
                    <a:stretch>
                      <a:fillRect/>
                    </a:stretch>
                  </pic:blipFill>
                  <pic:spPr>
                    <a:xfrm>
                      <a:off x="0" y="0"/>
                      <a:ext cx="5486400" cy="6412103"/>
                    </a:xfrm>
                    <a:prstGeom prst="rect"/>
                  </pic:spPr>
                </pic:pic>
              </a:graphicData>
            </a:graphic>
          </wp:inline>
        </w:drawing>
      </w:r>
    </w:p>
    <w:p>
      <w:pPr>
        <w:spacing w:after="160"/>
        <w:jc w:val="center"/>
      </w:pPr>
      <w:r>
        <w:rPr>
          <w:rFonts w:ascii="Calibri" w:hAnsi="Calibri"/>
          <w:b w:val="0"/>
          <w:i/>
          <w:sz w:val="19"/>
        </w:rPr>
        <w:t>HÌNH 6.3</w:t>
      </w:r>
    </w:p>
    <w:p>
      <w:pPr>
        <w:spacing w:after="80"/>
      </w:pPr>
      <w:r>
        <w:rPr>
          <w:b/>
          <w:i/>
        </w:rPr>
        <w:t>Về lâu dài, nhân tài thuê ngoài sẽ không làm việc hiệu quả bằng nguồn lực nội bộ vì họ không hiểu doanh nghiệp của bạn rõ như vậy và cũng không gắn bó, đầu tư nhiều như vậy</w:t>
      </w:r>
      <w:r>
        <w:rPr>
          <w:b/>
          <w:i w:val="0"/>
        </w:rPr>
        <w:t>.</w:t>
      </w:r>
    </w:p>
    <w:p>
      <w:pPr>
        <w:pStyle w:val="Heading2"/>
      </w:pPr>
      <w:r>
        <w:rPr>
          <w:rFonts w:ascii="Calibri" w:hAnsi="Calibri"/>
          <w:b/>
          <w:i w:val="0"/>
          <w:sz w:val="32"/>
        </w:rPr>
        <w:t>Công nghệ: Tự xây dựng hay mua</w:t>
      </w:r>
    </w:p>
    <w:p>
      <w:pPr>
        <w:spacing w:after="80"/>
      </w:pPr>
      <w:r>
        <w:rPr>
          <w:b w:val="0"/>
          <w:i w:val="0"/>
        </w:rPr>
        <w:t>Logic tạo khác biệt cạnh tranh tương tự cũng áp dụng cho việc tự xây dựng hay mua công nghệ. Hãy mua công nghệ trừ khi bạn tin rằng bằng cách tự xây dựng, bạn có thể vượt trội hơn các đối thủ cùng ngành.</w:t>
      </w:r>
    </w:p>
    <w:p>
      <w:pPr>
        <w:pStyle w:val="Heading2"/>
      </w:pPr>
      <w:r>
        <w:rPr>
          <w:rFonts w:ascii="Calibri" w:hAnsi="Calibri"/>
          <w:b/>
          <w:i w:val="0"/>
          <w:sz w:val="32"/>
        </w:rPr>
        <w:t>Người mua hãy cẩn thận</w:t>
      </w:r>
    </w:p>
    <w:p>
      <w:pPr>
        <w:spacing w:after="80"/>
      </w:pPr>
      <w:r>
        <w:rPr>
          <w:b w:val="0"/>
          <w:i w:val="0"/>
        </w:rPr>
        <w:t>Khi mua, hãy nhớ câu nói xưa: caveat emptor (“người mua hãy cẩn thận”). Điều này đặc biệt đúng với mọi nhà cung cấp ở mọi tầng của hệ thống khi họ bán các sản phẩm và dịch vụ GenAI. Hãy hiểu rõ bạn đang mua gì và bạn sẽ nhận được gì, bởi vì các công cụ và sản phẩm GenAI thường đòi hỏi phải tùy chỉnh đáng kể, đi kèm với nhiều mức chi phí khác nhau, và có thể khó tái sử dụng.</w:t>
      </w:r>
    </w:p>
    <w:p>
      <w:pPr>
        <w:spacing w:after="80"/>
      </w:pPr>
      <w:r>
        <w:rPr>
          <w:b w:val="0"/>
          <w:i w:val="0"/>
        </w:rPr>
        <w:t>Hãy lấy ví dụ về Air Canada được trình bày trong Chương 4. Công ty đã có một giải pháp quản lý doanh thu của bên thứ ba cho mảng kinh doanh vận tải hàng hóa, nhưng họ nhìn thấy cơ hội xây dựng một giải pháp bằng AI có thể mang lại lợi nhuận bổ sung đáng kể. Họ quyết định xây dựng giải pháp AI và chạy một loạt thử nghiệm A/B, kết quả cho thấy rõ ràng nó vượt trội so với giải pháp hiện có, khiến Air Canada cuối cùng phải loại bỏ giải pháp cũ.</w:t>
      </w:r>
    </w:p>
    <w:p>
      <w:pPr>
        <w:spacing w:after="80"/>
      </w:pPr>
      <w:r>
        <w:rPr>
          <w:b w:val="0"/>
          <w:i w:val="0"/>
        </w:rPr>
        <w:t>Air Canada có xây dựng mọi thứ từ đầu không? Không. Ngược lại, phần lớn các khối công nghệ nền tảng—điện toán, lưu trữ, nền tảng dữ liệu, thuật toán ML, và công cụ DevOps—đều là mã nguồn mở hoặc được mua dưới dạng dịch vụ. Những gì họ xây dựng là các đường ống dữ liệu (data pipeline) để khai thác triệt để sự phong phú của dữ liệu, bộ tối ưu hóa quản lý doanh thu dựa trên AI, và giao diện quy trình làm việc số cho tổ chức bán hàng. Công ty đã mua hoặc dùng mã nguồn mở mọi khối công nghệ nền tảng, ngoại trừ những khối tạo ra sự khác biệt cạnh tranh.</w:t>
      </w:r>
    </w:p>
    <w:p>
      <w:pPr>
        <w:spacing w:after="80"/>
      </w:pPr>
      <w:r>
        <w:rPr>
          <w:b/>
          <w:i/>
        </w:rPr>
        <w:t>Khi thị trường công nghệ tiếp tục đổi mới nhanh chóng, ranh giới giữa xây dựng và mua luôn dịch chuyển không ngừng. Các lãnh đạo cấp cao cần liên tục xem xét những đổi mới mới và tự hỏi: Liệu chúng ta có thể xây dựng và duy trì một giải pháp độc quyền vượt trội so với thị trường với chi phí hợp lý, hay tốt hơn là nên mua nó?</w:t>
      </w:r>
    </w:p>
    <w:p>
      <w:pPr>
        <w:pStyle w:val="Heading2"/>
      </w:pPr>
      <w:r>
        <w:rPr>
          <w:rFonts w:ascii="Calibri" w:hAnsi="Calibri"/>
          <w:b/>
          <w:i w:val="0"/>
          <w:sz w:val="32"/>
        </w:rPr>
        <w:t>Hợp tác để tăng tốc xây dựng năng lực</w:t>
      </w:r>
    </w:p>
    <w:p>
      <w:pPr>
        <w:spacing w:after="80"/>
      </w:pPr>
      <w:r>
        <w:rPr>
          <w:b w:val="0"/>
          <w:i w:val="0"/>
        </w:rPr>
        <w:t>Các nhà cung cấp công nghệ, đơn vị tích hợp hệ thống, và công ty tư vấn đang gõ cửa nhà bạn để trở thành đối tác của bạn trên hành trình này. Và từ “hợp tác” được dùng trong mọi câu để thuyết phục bạn đồng ý.</w:t>
      </w:r>
    </w:p>
    <w:p>
      <w:pPr>
        <w:spacing w:after="80"/>
      </w:pPr>
      <w:r>
        <w:rPr>
          <w:b w:val="0"/>
          <w:i w:val="0"/>
        </w:rPr>
        <w:t>Chúng tôi đã thấy năm kiểu hợp tác có thể hiệu quả trong việc xây dựng các năng lực Công nghệ &amp; AI cốt lõi của bạn:</w:t>
      </w:r>
    </w:p>
    <w:p>
      <w:pPr>
        <w:spacing w:after="80"/>
        <w:ind w:left="360"/>
      </w:pPr>
      <w:r>
        <w:t xml:space="preserve">1. </w:t>
      </w:r>
      <w:r>
        <w:rPr>
          <w:b/>
          <w:i w:val="0"/>
        </w:rPr>
        <w:t>Đối tác chiến lược.</w:t>
      </w:r>
      <w:r>
        <w:rPr>
          <w:b w:val="0"/>
          <w:i w:val="0"/>
        </w:rPr>
        <w:t xml:space="preserve"> Đối tác này hỗ trợ quá trình chuyển đổi đầu-cuối của bạn, bắt đầu từ việc phát triển lộ trình giá trị, lập kế hoạch chi tiết và thực thi quá trình chuyển đổi, thường cung cấp nhân tài chủ chốt, và giúp bạn thẩm định và tổ chức các nhà cung cấp nhân tài, công nghệ, và dữ liệu khác.</w:t>
        <w:br/>
        <w:t>Tốt nhất là làm việc với một đối tác bao trùm duy nhất để tránh sự lệch pha và phức tạp trong phối hợp. Hãy tạo động lực cho đối tác này dựa trên tác động kinh doanh lợi nhuận cuối cùng và trên việc xây dựng năng lực cho bạn để bạn có thể tự chủ.</w:t>
      </w:r>
    </w:p>
    <w:p>
      <w:pPr>
        <w:spacing w:after="80"/>
        <w:ind w:left="360"/>
      </w:pPr>
      <w:r>
        <w:t xml:space="preserve">2. </w:t>
      </w:r>
      <w:r>
        <w:rPr>
          <w:b/>
          <w:i w:val="0"/>
        </w:rPr>
        <w:t>Đối tác cung cấp nhân tài.</w:t>
      </w:r>
      <w:r>
        <w:rPr>
          <w:b w:val="0"/>
          <w:i w:val="0"/>
        </w:rPr>
        <w:t xml:space="preserve"> Những đối tác này cung cấp dịch vụ bổ sung nhân sự có thể tăng tốc độ và tính linh hoạt. Họ cũng có thể trở thành một chiếc nạng và đôi khi là một vấn đề chất lượng nghiêm trọng nếu không được quản lý tốt. Những đối tác này có thể triển khai một đội ngũ chuyên gia số có kỹ năng đến doanh nghiệp của bạn trong vài ngày và rời đi khi không còn cần thiết. Họ cũng có thể cung cấp dịch vụ nâng cao kỹ năng và đào tạo.</w:t>
        <w:br/>
        <w:t>Những mối quan hệ hợp tác như vậy có thể cần thiết lúc đầu nhưng nên được thiết kế để giảm dần theo thời gian khi bạn xây dựng năng lực của riêng mình và/hoặc nên tập trung vào công việc phi chiến lược. Hãy tạo động lực cho đối tác này dựa trên chất lượng nhân tài được cung cấp.</w:t>
      </w:r>
    </w:p>
    <w:p>
      <w:pPr>
        <w:spacing w:after="80"/>
        <w:ind w:left="360"/>
      </w:pPr>
      <w:r>
        <w:t xml:space="preserve">3. </w:t>
      </w:r>
      <w:r>
        <w:rPr>
          <w:b/>
          <w:i w:val="0"/>
        </w:rPr>
        <w:t>Đối tác kỹ thuật số.</w:t>
      </w:r>
      <w:r>
        <w:rPr>
          <w:b w:val="0"/>
          <w:i w:val="0"/>
        </w:rPr>
        <w:t xml:space="preserve"> Những công ty này thiết kế, phát triển, và duy trì các hệ thống và sản phẩm Công nghệ &amp; AI phức tạp. Những đối tác này đã trở nên phổ biến vì họ mang lại sự tăng tốc tức thì cho nỗ lực phát triển Công nghệ &amp; AI, và họ có thể giải quyết thách thức duy trì giải pháp theo thời gian.</w:t>
        <w:br/>
        <w:t>Những thách thức chính là mất đi chuyên môn nội bộ, rò rỉ sở hữu trí tuệ (IP), vấn đề chất lượng, và chi phí ẩn (như các lệnh thay đổi). Những mối quan hệ hợp tác này tốt nhất nên được cấu trúc như nguồn lực phát triển bổ sung cho các đội của bạn hoặc như các đội phát triển đầy đủ sở hữu một mô-đun cốt lõi và được trả dựa trên kết quả.</w:t>
      </w:r>
    </w:p>
    <w:p>
      <w:pPr>
        <w:spacing w:after="80"/>
        <w:ind w:left="360"/>
      </w:pPr>
      <w:r>
        <w:t xml:space="preserve">4. </w:t>
      </w:r>
      <w:r>
        <w:rPr>
          <w:b/>
          <w:i w:val="0"/>
        </w:rPr>
        <w:t>Đối tác công nghệ.</w:t>
      </w:r>
      <w:r>
        <w:rPr>
          <w:b w:val="0"/>
          <w:i w:val="0"/>
        </w:rPr>
        <w:t xml:space="preserve"> Hầu hết các công ty đều có mối quan hệ với một hoặc hai nhà cung cấp dịch vụ đám mây (CSP). Các CSP cung cấp một loạt dịch vụ và năng lực ngày càng tăng (và hệ sinh thái tương ứng của các nhà cung cấp dịch vụ), đặc biệt là xung quanh dữ liệu và AI. Các công ty cần cân nhắc đánh đổi giữa “khóa chặt” (lock-in) và sự đơn giản của việc chỉ dùng một nhà cung cấp khi chọn CSP.</w:t>
        <w:br/>
        <w:t>Về các nhà cung cấp LLM, nhiều tổ chức chọn một nhà cung cấp chính (đôi khi là một nhà cung cấp đám mây lớn hoặc nền tảng LLM lớn) cho mục đích đa dụng, truy cập rộng khắp doanh nghiệp; rồi bổ sung bằng các mô hình thích hợp hoặc chuyên biệt (theo ngành, tinh chỉnh, tại chỗ, mã nguồn mở) cho một số ứng dụng có giá trị cao.</w:t>
        <w:br/>
        <w:t>Các nhà cung cấp phần mềm khác có thể sẽ cần thiết tùy thuộc vào các giải pháp bạn xây dựng (ví dụ, các công nghệ trong ngăn xếp công nghệ tiếp thị cho tiếp thị số). Những cân nhắc tương tự cũng áp dụng cho những nhà cung cấp đó.</w:t>
      </w:r>
    </w:p>
    <w:p>
      <w:pPr>
        <w:spacing w:after="80"/>
        <w:ind w:left="360"/>
      </w:pPr>
      <w:r>
        <w:t xml:space="preserve">5. </w:t>
      </w:r>
      <w:r>
        <w:rPr>
          <w:b/>
          <w:i w:val="0"/>
        </w:rPr>
        <w:t>Đối tác dữ liệu.</w:t>
      </w:r>
      <w:r>
        <w:rPr>
          <w:b w:val="0"/>
          <w:i w:val="0"/>
        </w:rPr>
        <w:t xml:space="preserve"> Các công ty nên coi quan hệ hợp tác dữ liệu như một năng lực chiến lược nhằm thu thập dữ liệu bên ngoài chất lượng cao, khác biệt để nâng cao phân tích, mô hình AI, và hiểu biết kinh doanh. Thành công đòi hỏi một chiến lược tìm nguồn rõ ràng, các đội liên chức năng chuyên trách, quy trình ký kết và tiếp nhận được chuẩn hóa, và quản trị mạnh mẽ xung quanh quyền riêng tư, tuân thủ, và quyền dữ liệu.</w:t>
      </w:r>
    </w:p>
    <w:p>
      <w:pPr>
        <w:spacing w:after="80"/>
      </w:pPr>
      <w:r>
        <w:rPr>
          <w:b w:val="0"/>
          <w:i w:val="0"/>
        </w:rPr>
        <w:t>Các công ty hàng đầu liên tục đo lường giá trị được tạo ra bởi mỗi mối quan hệ hợp tác, phát triển danh mục của họ khi nhu cầu thay đổi, và thường đồng phát triển các sản phẩm dữ liệu mới với đối tác để duy trì lợi thế cạnh tranh.</w:t>
      </w:r>
    </w:p>
    <w:p>
      <w:pPr>
        <w:spacing w:after="80"/>
      </w:pPr>
      <w:r>
        <w:rPr>
          <w:b w:val="0"/>
          <w:i w:val="0"/>
        </w:rPr>
        <w:t>Các mối quan hệ hợp tác có thể đóng một vai trò quan trọng nếu chúng được cấu trúc đúng đắn với mục tiêu phát triển năng lực nội bộ của bạn.</w:t>
      </w:r>
    </w:p>
    <w:p>
      <w:pPr>
        <w:jc w:val="center"/>
      </w:pPr>
      <w:r>
        <w:drawing>
          <wp:inline xmlns:a="http://schemas.openxmlformats.org/drawingml/2006/main" xmlns:pic="http://schemas.openxmlformats.org/drawingml/2006/picture">
            <wp:extent cx="1905000" cy="104775"/>
            <wp:docPr id="48" name="Picture 48"/>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Các công ty thành công dựa trên khả năng cạnh tranh và thực thi tốt hơn đối thủ. Đó là lý do tại sao việc xây dựng đúng các năng lực lại quan trọng đến vậy. Thật dễ để sao chép một ý tưởng; nhưng rất khó để sao chép năng lực.</w:t>
      </w:r>
    </w:p>
    <w:p>
      <w:pPr>
        <w:pStyle w:val="Heading2"/>
      </w:pPr>
      <w:r>
        <w:rPr>
          <w:rFonts w:ascii="Calibri" w:hAnsi="Calibri"/>
          <w:b/>
          <w:i w:val="0"/>
          <w:sz w:val="32"/>
        </w:rPr>
        <w:t>Ghi chú</w:t>
      </w:r>
    </w:p>
    <w:p>
      <w:pPr>
        <w:spacing w:after="80"/>
        <w:ind w:left="360"/>
      </w:pPr>
      <w:r>
        <w:t xml:space="preserve">1. </w:t>
      </w:r>
      <w:r>
        <w:rPr>
          <w:b w:val="0"/>
          <w:i w:val="0"/>
        </w:rPr>
        <w:t>1   Alex Singla, Alexander Sukharevsky, Bryce Hall, Lareina Yee, Michael Chui, và Tara Balakrishnan, “The state of AI in 2025: Agents, innovation, and transformation,” McKinsey, ngày 5 tháng 11 năm 2025.</w:t>
      </w:r>
    </w:p>
    <w:p>
      <w:pPr>
        <w:spacing w:after="80"/>
        <w:ind w:left="360"/>
      </w:pPr>
      <w:r>
        <w:t xml:space="preserve">2. </w:t>
      </w:r>
      <w:r>
        <w:rPr>
          <w:b w:val="0"/>
          <w:i w:val="0"/>
        </w:rPr>
        <w:t>2   “IT Outsourcing – Worldwide,” Statista.</w:t>
      </w:r>
    </w:p>
    <w:p>
      <w:pPr>
        <w:pStyle w:val="Heading2"/>
      </w:pPr>
      <w:r>
        <w:rPr>
          <w:rFonts w:ascii="Calibri" w:hAnsi="Calibri"/>
          <w:b/>
          <w:i/>
          <w:sz w:val="32"/>
        </w:rPr>
        <w:t>“Không ai có thể huýt sáo một bản giao hưởng. Phải cần cả một dàn nhạc để chơi nó.”</w:t>
      </w:r>
    </w:p>
    <w:p>
      <w:pPr>
        <w:spacing w:after="80"/>
      </w:pPr>
      <w:r>
        <w:rPr>
          <w:b/>
          <w:i w:val="0"/>
        </w:rPr>
        <w:t>— Halford E. Luccock</w:t>
      </w:r>
    </w:p>
    <w:p>
      <w:pPr>
        <w:pStyle w:val="Heading1"/>
      </w:pPr>
      <w:r>
        <w:rPr>
          <w:rFonts w:ascii="Calibri" w:hAnsi="Calibri"/>
          <w:b/>
          <w:i w:val="0"/>
          <w:sz w:val="40"/>
        </w:rPr>
        <w:t>CHƯƠNG 7</w:t>
      </w:r>
      <w:r>
        <w:rPr>
          <w:rFonts w:ascii="Calibri" w:hAnsi="Calibri"/>
          <w:b/>
          <w:i w:val="0"/>
          <w:sz w:val="40"/>
        </w:rPr>
      </w:r>
      <w:r>
        <w:rPr>
          <w:rFonts w:ascii="Calibri" w:hAnsi="Calibri"/>
          <w:b/>
          <w:i w:val="0"/>
          <w:sz w:val="40"/>
        </w:rPr>
        <w:t>Môn thể thao đồng đội tối thượng của doanh nghiệp</w:t>
      </w:r>
    </w:p>
    <w:p>
      <w:pPr>
        <w:spacing w:after="80"/>
      </w:pPr>
      <w:r>
        <w:rPr>
          <w:b w:val="0"/>
          <w:i w:val="0"/>
        </w:rPr>
        <w:t>Vai trò lãnh đạo là then chốt trong bất kỳ cuộc chuyển đổi nào, nhưng tính chất liên chức năng, khốc liệt của một cuộc chuyển đổi Tech &amp; AI đòi hỏi mức độ cộng tác cao hơn nhiều giữa toàn bộ ban điều hành C-suite. Không có điều đó, cuộc chuyển đổi chắc chắn thất bại.</w:t>
      </w:r>
    </w:p>
    <w:p>
      <w:pPr>
        <w:spacing w:after="80"/>
      </w:pPr>
      <w:r>
        <w:rPr>
          <w:b w:val="0"/>
          <w:i w:val="0"/>
        </w:rPr>
        <w:t>Chúng tôi không hề nói quá ở đây. Nhu cầu cộng tác thể hiện rõ ở bước cuối cùng của quy trình hoạch định chiến lược, khi tất cả những mảnh ghép chúng ta đã bàn trong phần này — vai trò lãnh đạo, tái tưởng tượng lĩnh vực, và năng lực — hội tụ lại thành một lộ trình triển khai cùng kế hoạch tài chính đi kèm.</w:t>
      </w:r>
    </w:p>
    <w:p>
      <w:pPr>
        <w:spacing w:after="80"/>
      </w:pPr>
      <w:r>
        <w:rPr>
          <w:b w:val="0"/>
          <w:i w:val="0"/>
        </w:rPr>
        <w:t>Hình 7.1 cho thấy một ví dụ thực tế của kế hoạch như vậy. Hãy lưu ý những điểm sau:</w:t>
      </w:r>
    </w:p>
    <w:p>
      <w:pPr>
        <w:spacing w:after="80"/>
        <w:ind w:left="360"/>
      </w:pPr>
      <w:r>
        <w:t xml:space="preserve">• </w:t>
      </w:r>
      <w:r>
        <w:rPr>
          <w:b/>
          <w:i w:val="0"/>
        </w:rPr>
        <w:t>Các lĩnh vực</w:t>
      </w:r>
      <w:r>
        <w:rPr>
          <w:b w:val="0"/>
          <w:i w:val="0"/>
        </w:rPr>
        <w:t xml:space="preserve"> và những trường hợp sử dụng cấu thành chúng được sắp xếp theo trình tự để tạo ra giá trị tài chính ý nghĩa trong ngắn hạn.</w:t>
      </w:r>
    </w:p>
    <w:p>
      <w:pPr>
        <w:spacing w:after="80"/>
        <w:ind w:left="360"/>
      </w:pPr>
      <w:r>
        <w:t xml:space="preserve">• </w:t>
      </w:r>
      <w:r>
        <w:rPr>
          <w:b/>
          <w:i w:val="0"/>
        </w:rPr>
        <w:t>Các lãnh đạo cấp cao,</w:t>
      </w:r>
      <w:r>
        <w:rPr>
          <w:b w:val="0"/>
          <w:i w:val="0"/>
        </w:rPr>
        <w:t xml:space="preserve"> thường thuộc ban điều hành C-suite, đỡ đầu cho các lĩnh vực hoặc năng lực mới khác nhau tùy theo kỹ năng hay trách nhiệm tổ chức của họ.</w:t>
      </w:r>
    </w:p>
    <w:p>
      <w:pPr>
        <w:spacing w:after="80"/>
        <w:ind w:left="360"/>
      </w:pPr>
      <w:r>
        <w:t xml:space="preserve">• </w:t>
      </w:r>
      <w:r>
        <w:rPr>
          <w:b/>
          <w:i w:val="0"/>
        </w:rPr>
        <w:t>Các năng lực nền tảng</w:t>
      </w:r>
      <w:r>
        <w:rPr>
          <w:b w:val="0"/>
          <w:i w:val="0"/>
        </w:rPr>
        <w:t xml:space="preserve"> được xây dựng song hành với giá trị mà chúng mở ra trong các lĩnh vực. Làm đúng điều này là tối quan trọng để có thể triển khai lộ trình một cách hiệu quả. Các lãnh đạo chức năng chủ chốt thường dẫn dắt những phần này.</w:t>
      </w:r>
    </w:p>
    <w:p>
      <w:pPr>
        <w:spacing w:after="80"/>
        <w:ind w:left="360"/>
      </w:pPr>
      <w:r>
        <w:t xml:space="preserve">• </w:t>
      </w:r>
      <w:r>
        <w:rPr>
          <w:b/>
          <w:i w:val="0"/>
        </w:rPr>
        <w:t>Quản lý thay đổi</w:t>
      </w:r>
      <w:r>
        <w:rPr>
          <w:b w:val="0"/>
          <w:i w:val="0"/>
        </w:rPr>
        <w:t xml:space="preserve"> (chẳng hạn như truyền thông và theo dõi giá trị) cũng được đưa vào.</w:t>
      </w:r>
    </w:p>
    <w:p>
      <w:pPr>
        <w:spacing w:after="80"/>
        <w:ind w:left="360"/>
      </w:pPr>
      <w:r>
        <w:t xml:space="preserve">• </w:t>
      </w:r>
      <w:r>
        <w:rPr>
          <w:b/>
          <w:i w:val="0"/>
        </w:rPr>
        <w:t>Khung thời gian chuyển đổi</w:t>
      </w:r>
      <w:r>
        <w:rPr>
          <w:b w:val="0"/>
          <w:i w:val="0"/>
        </w:rPr>
        <w:t xml:space="preserve"> kéo dài từ hai đến ba năm. Hoạch định xa hơn không hữu ích vì mọi thứ chắc chắn sẽ thay đổi và bạn sẽ học được rất nhiều trong năm đầu tiên.</w:t>
      </w:r>
    </w:p>
    <w:p>
      <w:pPr>
        <w:jc w:val="center"/>
      </w:pPr>
      <w:r>
        <w:drawing>
          <wp:inline xmlns:a="http://schemas.openxmlformats.org/drawingml/2006/main" xmlns:pic="http://schemas.openxmlformats.org/drawingml/2006/picture">
            <wp:extent cx="5486400" cy="6538770"/>
            <wp:docPr id="49" name="Picture 49"/>
            <wp:cNvGraphicFramePr>
              <a:graphicFrameLocks noChangeAspect="1"/>
            </wp:cNvGraphicFramePr>
            <a:graphic>
              <a:graphicData uri="http://schemas.openxmlformats.org/drawingml/2006/picture">
                <pic:pic>
                  <pic:nvPicPr>
                    <pic:cNvPr id="0" name="c07ex001.png"/>
                    <pic:cNvPicPr/>
                  </pic:nvPicPr>
                  <pic:blipFill>
                    <a:blip r:embed="rId43"/>
                    <a:stretch>
                      <a:fillRect/>
                    </a:stretch>
                  </pic:blipFill>
                  <pic:spPr>
                    <a:xfrm>
                      <a:off x="0" y="0"/>
                      <a:ext cx="5486400" cy="6538770"/>
                    </a:xfrm>
                    <a:prstGeom prst="rect"/>
                  </pic:spPr>
                </pic:pic>
              </a:graphicData>
            </a:graphic>
          </wp:inline>
        </w:drawing>
      </w:r>
    </w:p>
    <w:p>
      <w:pPr>
        <w:spacing w:after="160"/>
        <w:jc w:val="center"/>
      </w:pPr>
      <w:r>
        <w:rPr>
          <w:rFonts w:ascii="Calibri" w:hAnsi="Calibri"/>
          <w:b w:val="0"/>
          <w:i/>
          <w:sz w:val="19"/>
        </w:rPr>
        <w:t>HÌNH 7.1</w:t>
      </w:r>
    </w:p>
    <w:p>
      <w:pPr>
        <w:spacing w:after="80"/>
      </w:pPr>
      <w:r>
        <w:rPr>
          <w:b w:val="0"/>
          <w:i w:val="0"/>
        </w:rPr>
        <w:t>Kế hoạch này là thời điểm để ban lãnh đạo “chung tay.” Đây là cẩm nang hướng dẫn quá trình triển khai tiếp theo và là một bản cam kết trong đó mỗi thành viên ban điều hành C-suite chịu trách nhiệm làm phần việc của mình để đạt được thành công chung. Khoảnh khắc này nhấn mạnh tầm quan trọng của vai trò từng lãnh đạo trong việc thực hiện cuộc chuyển đổi.</w:t>
      </w:r>
    </w:p>
    <w:p>
      <w:pPr>
        <w:spacing w:after="80"/>
      </w:pPr>
      <w:r>
        <w:rPr>
          <w:b w:val="0"/>
          <w:i w:val="0"/>
        </w:rPr>
        <w:t>Hãy cùng xem xét các vai trò cụ thể:</w:t>
      </w:r>
    </w:p>
    <w:p>
      <w:pPr>
        <w:pStyle w:val="Heading2"/>
      </w:pPr>
      <w:r>
        <w:rPr>
          <w:rFonts w:ascii="Calibri" w:hAnsi="Calibri"/>
          <w:b/>
          <w:i w:val="0"/>
          <w:sz w:val="32"/>
        </w:rPr>
        <w:t>Vị CEO</w:t>
      </w:r>
    </w:p>
    <w:p>
      <w:pPr>
        <w:spacing w:after="80"/>
      </w:pPr>
      <w:r>
        <w:rPr>
          <w:b w:val="0"/>
          <w:i w:val="0"/>
        </w:rPr>
        <w:t>Bởi vì các cuộc chuyển đổi Công nghệ &amp; AI đòi hỏi sự cộng tác liên chức năng mạnh mẽ và việc phát triển các năng lực chung của doanh nghiệp, nên CEO (hoặc lãnh đạo bộ phận, trong trường hợp các tập đoàn đa ngành) đóng một vai trò thiết yếu trong việc truyền cảm hứng và gắn kết đội ngũ lãnh đạo cấp cao.</w:t>
      </w:r>
    </w:p>
    <w:p>
      <w:pPr>
        <w:spacing w:after="80"/>
      </w:pPr>
      <w:r>
        <w:rPr>
          <w:b w:val="0"/>
          <w:i w:val="0"/>
        </w:rPr>
        <w:t>Cuộc chuyển đổi sẽ có những tác động lan tỏa sâu rộng đến các quy trình kinh doanh đầu-cuối mà chỉ CEO mới có thể giải quyết. Những ví dụ điển hình là xung đột kênh phân phối, các ưu đãi không nhất quán, và việc tái cân bằng năng lực phục vụ khách hàng.</w:t>
      </w:r>
    </w:p>
    <w:p>
      <w:pPr>
        <w:spacing w:after="80"/>
      </w:pPr>
      <w:r>
        <w:rPr>
          <w:b w:val="0"/>
          <w:i w:val="0"/>
        </w:rPr>
        <w:t>CEO có vai trò quan trọng trong việc buộc mọi người phải chịu trách nhiệm về kết quả chuyển đổi, với sự tập trung thường xuyên vào các chỉ số tiến độ then chốt và sự gắn kết chặt chẽ của các ưu đãi quản lý. CEO cũng đóng vai trò trung tâm trong việc triệu tập và tập hợp tổ chức xung quanh nhu cầu cũng như những khả năng mà cuộc chuyển đổi mang lại. Theo nguyên tắc chung, CEO sẽ dành hai đến bốn ngày mỗi tháng để đảm bảo sự thành công của cuộc chuyển đổi, và nhiều hơn một chút vào giai đoạn đầu.</w:t>
      </w:r>
    </w:p>
    <w:p>
      <w:pPr>
        <w:spacing w:after="80"/>
      </w:pPr>
      <w:r>
        <w:rPr>
          <w:b w:val="0"/>
          <w:i w:val="0"/>
        </w:rPr>
        <w:t>“Đã có nhiều sáng kiến và ứng dụng số đang được triển khai trong doanh nghiệp, nhưng chúng còn phân tán và ăn quá sâu vào tổ chức. Bằng cách bảo trợ cho cuộc chuyển đổi số, tôi có thể nâng tầm số hóa và tập trung nó vào việc phục vụ khách hàng tốt nhất thông qua việc tạo ra một nền tảng duy nhất tích hợp tất cả các dịch vụ của chúng tôi.”</w:t>
      </w:r>
    </w:p>
    <w:p>
      <w:pPr>
        <w:spacing w:after="80"/>
      </w:pPr>
      <w:r>
        <w:rPr>
          <w:b/>
          <w:i/>
        </w:rPr>
        <w:t>— Chuck Magro, CEO, Corteva; cựu CEO, Nutrien</w:t>
      </w:r>
    </w:p>
    <w:p>
      <w:pPr>
        <w:pStyle w:val="Heading2"/>
      </w:pPr>
      <w:r>
        <w:rPr>
          <w:rFonts w:ascii="Calibri" w:hAnsi="Calibri"/>
          <w:b/>
          <w:i w:val="0"/>
          <w:sz w:val="32"/>
        </w:rPr>
        <w:t>Giám đốc chuyển đổi (chief transformation officer)</w:t>
      </w:r>
    </w:p>
    <w:p>
      <w:pPr>
        <w:spacing w:after="80"/>
      </w:pPr>
      <w:r>
        <w:rPr>
          <w:b w:val="0"/>
          <w:i w:val="0"/>
        </w:rPr>
        <w:t>Trong khi CEO tham gia và chịu trách nhiệm về cuộc chuyển đổi, thì một nhà lãnh đạo chuyên trách thường chịu trách nhiệm về công việc thường nhật trong việc thúc đẩy cuộc chuyển đổi. Vị giám đốc chuyển đổi này lý tưởng nhất là xuất thân từ mảng kinh doanh (hoặc ít nhất có hiểu biết xuất sắc về hoạt động kinh doanh) và báo cáo trực tiếp cho tổng giám đốc điều hành trong suốt thời gian chuyển đổi. Vai trò này thường kéo dài từ hai đến ba năm cho đến khi cuộc chuyển đổi chuyển từ một sáng kiến đặc biệt thành một phần được tích hợp vào công việc quản lý thường nhật.</w:t>
      </w:r>
    </w:p>
    <w:p>
      <w:pPr>
        <w:spacing w:after="80"/>
      </w:pPr>
      <w:r>
        <w:rPr>
          <w:b w:val="0"/>
          <w:i w:val="0"/>
        </w:rPr>
        <w:t>Nhà lãnh đạo này cần có khả năng thúc đẩy một tầm nhìn hấp dẫn, có hiểu biết đầu-cuối về cách công ty vận hành, xử lý được những phức tạp của việc thực thi để biến kế hoạch thành hành động (và thúc đẩy chúng tiến lên), và có cảm nhận mạnh mẽ về nơi Công nghệ &amp; AI có thể chuyển đổi hoạt động kinh doanh. Người này là một lãnh đạo được kính trọng, có khả năng gây ảnh hưởng đến ban điều hành cấp cao và thực thi kỷ luật quản lý chương trình mạnh mẽ. Vì lý do này, nhà lãnh đạo chuyển đổi thường là người được tuyển từ nội bộ.</w:t>
      </w:r>
    </w:p>
    <w:p>
      <w:pPr>
        <w:pStyle w:val="Heading2"/>
      </w:pPr>
      <w:r>
        <w:rPr>
          <w:rFonts w:ascii="Calibri" w:hAnsi="Calibri"/>
          <w:b/>
          <w:i w:val="0"/>
          <w:sz w:val="32"/>
        </w:rPr>
        <w:t>Lãnh đạo các mảng kinh doanh và các chức năng kinh doanh</w:t>
      </w:r>
    </w:p>
    <w:p>
      <w:pPr>
        <w:spacing w:after="80"/>
      </w:pPr>
      <w:r>
        <w:rPr>
          <w:b w:val="0"/>
          <w:i w:val="0"/>
        </w:rPr>
        <w:t>Lãnh đạo các mảng kinh doanh và các chức năng (như vận hành, marketing, bán hàng, mua hàng, chuỗi cung ứng, và R&amp;D) có nhiệm vụ then chốt là tái tưởng tượng các lĩnh vực kinh doanh và giám sát quá trình chuyển đổi thực tế của chúng. Ví dụ, các giám đốc marketing (chief marketing officer) sẽ phụ trách việc tái tưởng tượng marketing cá nhân hóa, trong khi trưởng bộ phận R&amp;D sẽ phụ trách việc tạo ra những cải tiến đột phá về năng suất nghiên cứu nhờ công nghệ.</w:t>
      </w:r>
    </w:p>
    <w:p>
      <w:pPr>
        <w:spacing w:after="80"/>
      </w:pPr>
      <w:r>
        <w:rPr>
          <w:b w:val="0"/>
          <w:i w:val="0"/>
        </w:rPr>
        <w:t xml:space="preserve">Những nhà lãnh đạo này chủ động bảo trợ cho việc tái tưởng tượng lĩnh vực của họ. Họ </w:t>
      </w:r>
      <w:r>
        <w:rPr>
          <w:b w:val="0"/>
          <w:i/>
        </w:rPr>
        <w:t>không</w:t>
      </w:r>
      <w:r>
        <w:rPr>
          <w:b w:val="0"/>
          <w:i w:val="0"/>
        </w:rPr>
        <w:t xml:space="preserve"> phải là những nhà lãnh đạo phục tùng. Họ tự mình tìm hiểu nghệ thuật của những điều khả thi. Họ táo bạo trong việc định hình tầm nhìn chuyển đổi. Và họ phụ trách việc triển khai, cộng tác với các đồng nghiệp công nghệ.</w:t>
      </w:r>
    </w:p>
    <w:p>
      <w:pPr>
        <w:pStyle w:val="Heading2"/>
      </w:pPr>
      <w:r>
        <w:rPr>
          <w:rFonts w:ascii="Calibri" w:hAnsi="Calibri"/>
          <w:b/>
          <w:i w:val="0"/>
          <w:sz w:val="32"/>
        </w:rPr>
        <w:t>Giám đốc thông tin (CIO), Giám đốc công nghệ (CTO), và Giám đốc dữ liệu (CDO)</w:t>
      </w:r>
    </w:p>
    <w:p>
      <w:pPr>
        <w:spacing w:after="80"/>
      </w:pPr>
      <w:r>
        <w:rPr>
          <w:b w:val="0"/>
          <w:i w:val="0"/>
        </w:rPr>
        <w:t>Ba vai trò liên quan đến công nghệ này có thể có hoặc không tồn tại trong tổ chức của bạn. Một số công ty có cả ba. Những công ty khác có thể gộp hai hoặc cả ba vào một vai trò duy nhất. Điều này thay đổi tùy trường hợp và thường phụ thuộc vào bộ kỹ năng của từng cá nhân.</w:t>
      </w:r>
    </w:p>
    <w:p>
      <w:pPr>
        <w:spacing w:after="80"/>
        <w:ind w:left="360"/>
      </w:pPr>
      <w:r>
        <w:t xml:space="preserve">• </w:t>
      </w:r>
      <w:r>
        <w:rPr>
          <w:b/>
          <w:i w:val="0"/>
        </w:rPr>
        <w:t>Giám đốc thông tin (chief information officer - CIO)</w:t>
      </w:r>
      <w:r>
        <w:rPr>
          <w:b w:val="0"/>
          <w:i w:val="0"/>
        </w:rPr>
        <w:t xml:space="preserve"> thường tập trung vào việc cải thiện hoạt động nội bộ của công ty bằng công nghệ. Họ giám sát các hệ thống cốt lõi và hạ tầng công nghệ của công ty. CIO đưa ra hướng dẫn kiến trúc quan trọng và đóng vai trò lãnh đạo trong việc định hình/phát triển các hệ thống cốt lõi và kiến trúc đám mây. Một số CIO truyền thống đã tự nâng cao kỹ năng để hiểu về ngăn xếp công nghệ hiện đại và nắm vững các công nghệ dữ liệu mới, nhưng không phải tất cả.</w:t>
      </w:r>
    </w:p>
    <w:p>
      <w:pPr>
        <w:spacing w:after="80"/>
        <w:ind w:left="360"/>
      </w:pPr>
      <w:r>
        <w:t xml:space="preserve">• </w:t>
      </w:r>
      <w:r>
        <w:rPr>
          <w:b/>
          <w:i w:val="0"/>
        </w:rPr>
        <w:t>Giám đốc công nghệ (chief technology officer - CTO)</w:t>
      </w:r>
      <w:r>
        <w:rPr>
          <w:b w:val="0"/>
          <w:i w:val="0"/>
        </w:rPr>
        <w:t xml:space="preserve"> thường làm việc để cải thiện các sản phẩm/dịch vụ dành cho khách hàng bằng công nghệ. Họ giám sát các ứng dụng tiếp xúc trực tiếp với khách hàng như máy ATM ngân hàng hay các ứng dụng phần mềm trong xe hơi. Nếu vai trò của CTO thiên nặng về sản phẩm, họ sẽ tự nhiên tập trung vào việc phát triển hoặc phát triển tiếp lộ trình sản phẩm và xây dựng năng lực cho tổ chức phát triển phần mềm của mình.</w:t>
      </w:r>
    </w:p>
    <w:p>
      <w:pPr>
        <w:spacing w:after="80"/>
        <w:ind w:left="360"/>
      </w:pPr>
      <w:r>
        <w:t xml:space="preserve">• </w:t>
      </w:r>
      <w:r>
        <w:rPr>
          <w:b/>
          <w:i w:val="0"/>
        </w:rPr>
        <w:t>Giám đốc kỹ thuật số (CDO)</w:t>
      </w:r>
      <w:r>
        <w:rPr>
          <w:b w:val="0"/>
          <w:i w:val="0"/>
        </w:rPr>
        <w:t xml:space="preserve"> trong một số trường hợp đóng vai trò đồng lãnh đạo của quá trình chuyển đổi và thường tạo ra các trải nghiệm kỹ thuật số mới cùng các giải pháp được hỗ trợ bởi AI. CDO giữ vai trò trung tâm trong việc xác định kiến trúc của các giải pháp được hình dung, xác định phạm vi yêu cầu nguồn lực và giám sát việc triển khai giải pháp. Họ cần có chiều sâu thực sự về phát triển phần mềm và hiểu biết về cách xây dựng các hệ thống công nghệ đạt chuẩn sản xuất.</w:t>
      </w:r>
    </w:p>
    <w:p>
      <w:pPr>
        <w:spacing w:after="80"/>
      </w:pPr>
      <w:r>
        <w:rPr>
          <w:b w:val="0"/>
          <w:i w:val="0"/>
        </w:rPr>
        <w:t>Bạn sẽ nhận thấy có sự chồng lấn giữa vai trò của CDO với vai trò của CIO và CTO. Điểm khác biệt chính là CDO mang đến một bộ kỹ năng mới mà CIO hoặc CTO có thể chưa có. Họ thành thạo về phát triển phần mềm hiện đại cũng như các phương pháp AI và dữ liệu. Họ có thể xác định phạm vi triển khai một giải pháp kỹ thuật số phức tạp và hiểu cách một ngăn xếp công nghệ hiện đại được lắp ghép lại với nhau.</w:t>
      </w:r>
    </w:p>
    <w:p>
      <w:pPr>
        <w:spacing w:after="80"/>
      </w:pPr>
      <w:r>
        <w:rPr>
          <w:b w:val="0"/>
          <w:i w:val="0"/>
        </w:rPr>
        <w:t>Sự thật là các vai trò này ngày càng hòa trộn vào nhau khi CIO và CTO ngày càng am hiểu về các công nghệ kỹ thuật số hiện đại và phát triển phần mềm.</w:t>
      </w:r>
    </w:p>
    <w:p>
      <w:pPr>
        <w:pStyle w:val="Heading2"/>
      </w:pPr>
      <w:r>
        <w:rPr>
          <w:rFonts w:ascii="Calibri" w:hAnsi="Calibri"/>
          <w:b/>
          <w:i w:val="0"/>
          <w:sz w:val="32"/>
        </w:rPr>
        <w:t>Còn giám đốc AI thì sao?</w:t>
      </w:r>
    </w:p>
    <w:p>
      <w:pPr>
        <w:spacing w:after="80"/>
      </w:pPr>
      <w:r>
        <w:rPr>
          <w:b w:val="0"/>
          <w:i w:val="0"/>
        </w:rPr>
        <w:t>Không có gì ngạc nhiên khi có một xu hướng mới trong các tổ chức là chỉ định một giám đốc AI. Trong nhiều trường hợp, vai trò giám đốc phân tích giờ đây đang biến đổi để bao quát cả AI. Một số công ty cũng đang nâng tầm vai trò này để báo cáo trực tiếp cho CEO nhằm thể hiện tầm quan trọng của AI. Có những lợi thế và những điều cần lưu ý.</w:t>
      </w:r>
    </w:p>
    <w:p>
      <w:pPr>
        <w:spacing w:after="80"/>
      </w:pPr>
      <w:r>
        <w:rPr>
          <w:b w:val="0"/>
          <w:i w:val="0"/>
        </w:rPr>
        <w:t>Các lợi thế nằm ở việc cung cấp chuyên môn quý giá cho ban điều hành cấp cao để sàng lọc lĩnh vực AI phức tạp và mang lại sự tập trung nhiều hơn vào AI ở cấp cao nhất của tổ chức. Lợi thế khác nằm ở việc dẫn dắt phát triển nền tảng AI và quản lý các rủi ro liên quan đến AI.</w:t>
      </w:r>
    </w:p>
    <w:p>
      <w:pPr>
        <w:spacing w:after="80"/>
      </w:pPr>
      <w:r>
        <w:rPr>
          <w:b w:val="0"/>
          <w:i w:val="0"/>
        </w:rPr>
        <w:t>Những điều cần lưu ý, đặc biệt khi vai trò này không được cấu hình tốt, là việc tước đi trách nhiệm giải trình của các nhà lãnh đạo kinh doanh đối với quá trình chuyển đổi kinh doanh bằng AI của họ và việc coi nhân tài kỹ thuật AI như một năng lực riêng biệt thay vì được phân bổ về các nhóm đa chức năng. Cuối cùng, đôi khi nó có thể trở thành một vai trò chỉ để đánh dấu cho có đối với các CEO muốn thể hiện rằng họ đang làm gì đó về AI.</w:t>
      </w:r>
    </w:p>
    <w:p>
      <w:pPr>
        <w:spacing w:after="80"/>
      </w:pPr>
      <w:r>
        <w:rPr>
          <w:b w:val="0"/>
          <w:i w:val="0"/>
        </w:rPr>
        <w:t>Các vai trò giám đốc dữ liệu và giám đốc AI/phân tích thường được kết hợp, ngoại trừ trong các tổ chức rất lớn. Có những hiệu ứng cộng hưởng rõ ràng khi giữ chúng cùng nhau, nhưng chúng đòi hỏi những bộ kỹ năng khác nhau: không phải tất cả CDO đều có thể đảm nhận hiệu quả vai trò CAIO và ngược lại.</w:t>
      </w:r>
    </w:p>
    <w:p>
      <w:pPr>
        <w:pStyle w:val="Heading2"/>
      </w:pPr>
      <w:r>
        <w:rPr>
          <w:rFonts w:ascii="Calibri" w:hAnsi="Calibri"/>
          <w:b/>
          <w:i w:val="0"/>
          <w:sz w:val="32"/>
        </w:rPr>
        <w:t>Giám đốc dữ liệu</w:t>
      </w:r>
    </w:p>
    <w:p>
      <w:pPr>
        <w:spacing w:after="80"/>
      </w:pPr>
      <w:r>
        <w:rPr>
          <w:b w:val="0"/>
          <w:i w:val="0"/>
        </w:rPr>
        <w:t>Các công ty lớn cần giám đốc dữ liệu để mang lại nhiều cấu trúc hơn cho cách họ quản lý và khai thác tài sản dữ liệu của mình. Đây đã trở thành một lĩnh vực phức tạp cả về mặt công nghệ lẫn quản trị. (Mục Năm của cuốn sách đề cập chi tiết hơn về điều này.) Họ đóng vai trò quan trọng ngay từ đầu trong việc kết nối các lộ trình của lĩnh vực với nhu cầu dữ liệu nền tảng, và họ rất then chốt trong việc giúp dữ liệu dễ được tiêu thụ bởi các ứng dụng đòi hỏi nhiều AI. Vai trò của họ trong việc thiết kế và vận hành quản trị dữ liệu cũng mang tính trung tâm.</w:t>
      </w:r>
    </w:p>
    <w:p>
      <w:pPr>
        <w:pStyle w:val="Heading2"/>
      </w:pPr>
      <w:r>
        <w:rPr>
          <w:rFonts w:ascii="Calibri" w:hAnsi="Calibri"/>
          <w:b/>
          <w:i w:val="0"/>
          <w:sz w:val="32"/>
        </w:rPr>
        <w:t>CHRO</w:t>
      </w:r>
    </w:p>
    <w:p>
      <w:pPr>
        <w:spacing w:after="80"/>
      </w:pPr>
      <w:r>
        <w:rPr>
          <w:b w:val="0"/>
          <w:i w:val="0"/>
        </w:rPr>
        <w:t>Chúng tôi thường tham gia các cuộc họp cấp C về Công nghệ &amp; AI mà giám đốc nhân sự (CHRO) lại vắng mặt một cách đáng chú ý. Đó là một tín hiệu đèn đỏ nhấp nháy.</w:t>
      </w:r>
    </w:p>
    <w:p>
      <w:pPr>
        <w:spacing w:after="80"/>
      </w:pPr>
      <w:r>
        <w:rPr>
          <w:b w:val="0"/>
          <w:i w:val="0"/>
        </w:rPr>
        <w:t>CHRO có một trong những công việc lớn nhất trong các quá trình chuyển đổi này. Họ đóng vai trò then chốt ngay từ sớm trong việc cung cấp đào tạo nâng cao kỹ năng cho ban lãnh đạo cấp cao, thu hút các chuyên gia công nghệ hàng đầu và các kỹ sư AI, cũng như thiết lập các thực hành quản lý nhân tài giúp phát triển và giữ chân nhân tài này. Về sau, CHRO sẽ tập trung vào việc phát triển đội ngũ dự bị gồm các giám đốc am hiểu AI, đồng thời hỗ trợ CIO/CTO trong việc nâng cao kỹ năng và nâng cấp tổ chức công nghệ của họ. Các CHRO thành công thường tận dụng quá trình chuyển đổi như một cơ hội để làm mới và hiện đại hóa chức năng nhân sự.</w:t>
      </w:r>
    </w:p>
    <w:p>
      <w:pPr>
        <w:spacing w:after="80"/>
      </w:pPr>
      <w:r>
        <w:rPr>
          <w:b w:val="0"/>
          <w:i w:val="0"/>
        </w:rPr>
        <w:t>Mức độ thay đổi cần thiết trong nhân sự để trở nên hiệu quả trong việc hỗ trợ quá trình chuyển đổi (ví dụ, xác định phạm vi các công việc mới, cải thiện quy trình tuyển dụng, tạo ra các lộ trình sự nghiệp và chuyển sang đánh giá dựa trên kỹ năng) thường bị đánh giá thấp. Thách thức lớn nhất của CHRO là chuyển từ việc tạo ngoại lệ để tuyển dụng và đãi ngộ nhân tài kỹ thuật số, sang việc thấm nhuần các thực hành nuôi dưỡng nhân tài tốt nhất như một điều bình thường mới cho chức năng này. Điều đó bao gồm việc thiết lập các chương trình xây dựng năng lực được thiết kế riêng cũng như hỗ trợ các thay đổi đối với hệ thống quản lý hiệu suất (đọc thêm về điều này trong Chương 10).</w:t>
      </w:r>
    </w:p>
    <w:p>
      <w:pPr>
        <w:pStyle w:val="Heading2"/>
      </w:pPr>
      <w:r>
        <w:rPr>
          <w:rFonts w:ascii="Calibri" w:hAnsi="Calibri"/>
          <w:b/>
          <w:i w:val="0"/>
          <w:sz w:val="32"/>
        </w:rPr>
        <w:t>CFO</w:t>
      </w:r>
    </w:p>
    <w:p>
      <w:pPr>
        <w:spacing w:after="80"/>
      </w:pPr>
      <w:r>
        <w:rPr>
          <w:b w:val="0"/>
          <w:i w:val="0"/>
        </w:rPr>
        <w:t>Giám đốc tài chính (CFO) giám sát việc phát triển luận chứng kinh doanh của quá trình chuyển đổi, bao gồm theo dõi việc hiện thực hóa giá trị. Họ mang đến lăng kính giá trị thường thấy của mình cho việc này, nhưng cũng có khả năng nhìn thấy cách các lợi ích có thể lan tỏa qua các lĩnh vực khác của doanh nghiệp. Về sau, họ sẽ giữ vai trò trung tâm trong việc suy nghĩ lại các phương pháp lập kế hoạch và cấp vốn của công ty để làm cho chúng linh hoạt hơn.</w:t>
      </w:r>
    </w:p>
    <w:p>
      <w:pPr>
        <w:spacing w:after="80"/>
      </w:pPr>
      <w:r>
        <w:rPr>
          <w:b w:val="0"/>
          <w:i w:val="0"/>
        </w:rPr>
        <w:t>Vì những lý do này, các CFO thường dẫn dắt việc thiết kế và vận hành mô hình hoạt động mới, đòi hỏi sự thay đổi căn bản đối với các quy trình cốt lõi của doanh nghiệp như lập kế hoạch, lập ngân sách và quản lý hiệu suất.</w:t>
      </w:r>
    </w:p>
    <w:p>
      <w:pPr>
        <w:spacing w:after="80"/>
      </w:pPr>
      <w:r>
        <w:rPr>
          <w:b w:val="0"/>
          <w:i w:val="0"/>
        </w:rPr>
        <w:t>Điều này sẽ đòi hỏi một sự chuyển biến thực sự trong tư duy, chứ không chỉ là thực hiện các thay đổi quy trình. Ví dụ, việc cấp vốn, thường diễn ra mỗi năm một lần, sẽ trở nên linh hoạt hơn nhiều, với việc đánh giá hiệu suất và phân bổ lại nguồn lực diễn ra mỗi quý. Chúng tôi sẽ đề cập kỹ hơn về vấn đề này trong Mục Ba.</w:t>
      </w:r>
    </w:p>
    <w:p>
      <w:pPr>
        <w:pStyle w:val="Heading2"/>
      </w:pPr>
      <w:r>
        <w:rPr>
          <w:rFonts w:ascii="Calibri" w:hAnsi="Calibri"/>
          <w:b/>
          <w:i w:val="0"/>
          <w:sz w:val="32"/>
        </w:rPr>
        <w:t>CRO</w:t>
      </w:r>
    </w:p>
    <w:p>
      <w:pPr>
        <w:spacing w:after="80"/>
      </w:pPr>
      <w:r>
        <w:rPr>
          <w:b w:val="0"/>
          <w:i w:val="0"/>
        </w:rPr>
        <w:t>Giám đốc rủi ro (CRO - chief risk officer) chịu trách nhiệm thiết kế cách các quy trình quản lý rủi ro cần phải phát triển để hỗ trợ một mô hình đổi mới phân tán hơn, đồng thời tuân thủ các chính sách rủi ro của tổ chức. Đây là một công việc phức tạp, và càng trở nên thách thức hơn với sự xuất hiện của GenAI.</w:t>
      </w:r>
    </w:p>
    <w:p>
      <w:pPr>
        <w:spacing w:after="80"/>
      </w:pPr>
      <w:r>
        <w:rPr>
          <w:b w:val="0"/>
          <w:i w:val="0"/>
        </w:rPr>
        <w:t>Chúng tôi sẽ đề cập vấn đề này trong Mục Ba và Mục Sáu.</w:t>
      </w:r>
    </w:p>
    <w:p>
      <w:pPr>
        <w:pStyle w:val="Heading2"/>
      </w:pPr>
      <w:r>
        <w:rPr>
          <w:rFonts w:ascii="Calibri" w:hAnsi="Calibri"/>
          <w:b/>
          <w:i w:val="0"/>
          <w:sz w:val="32"/>
        </w:rPr>
        <w:t>Ban giám đốc</w:t>
      </w:r>
    </w:p>
    <w:p>
      <w:pPr>
        <w:spacing w:after="80"/>
      </w:pPr>
      <w:r>
        <w:rPr>
          <w:b w:val="0"/>
          <w:i w:val="0"/>
        </w:rPr>
        <w:t>Để hỗ trợ sự tập trung vào AI ở cấp lãnh đạo điều hành, điều quan trọng là phải có hai hoặc ba thành viên ban giám đốc có kinh nghiệm thực tế về Công nghệ &amp; AI để chuyển đổi doanh nghiệp. Nghiên cứu tại Trung tâm Nghiên cứu Hệ thống Thông tin của MIT đã chỉ ra rằng các công ty có từ ba thành viên ban giám đốc trở lên am hiểu kỹ thuật số và AI hoạt động vượt trội so với ngành của họ. Việc có những thành viên ban giám đốc với kiến thức này sẽ thay đổi các cuộc thảo luận tại ban giám đốc và tạo ra sự hỗ trợ cùng định hướng cần thiết.</w:t>
      </w:r>
    </w:p>
    <w:p>
      <w:pPr>
        <w:jc w:val="center"/>
      </w:pPr>
      <w:r>
        <w:drawing>
          <wp:inline xmlns:a="http://schemas.openxmlformats.org/drawingml/2006/main" xmlns:pic="http://schemas.openxmlformats.org/drawingml/2006/picture">
            <wp:extent cx="1905000" cy="104775"/>
            <wp:docPr id="50" name="Picture 50"/>
            <wp:cNvGraphicFramePr>
              <a:graphicFrameLocks noChangeAspect="1"/>
            </wp:cNvGraphicFramePr>
            <a:graphic>
              <a:graphicData uri="http://schemas.openxmlformats.org/drawingml/2006/picture">
                <pic:pic>
                  <pic:nvPicPr>
                    <pic:cNvPr id="0" name="CHAPTEREND_RULE_darkblue.png"/>
                    <pic:cNvPicPr/>
                  </pic:nvPicPr>
                  <pic:blipFill>
                    <a:blip r:embed="rId15"/>
                    <a:stretch>
                      <a:fillRect/>
                    </a:stretch>
                  </pic:blipFill>
                  <pic:spPr>
                    <a:xfrm>
                      <a:off x="0" y="0"/>
                      <a:ext cx="1905000" cy="104775"/>
                    </a:xfrm>
                    <a:prstGeom prst="rect"/>
                  </pic:spPr>
                </pic:pic>
              </a:graphicData>
            </a:graphic>
          </wp:inline>
        </w:drawing>
      </w:r>
    </w:p>
    <w:p>
      <w:pPr>
        <w:spacing w:after="80"/>
      </w:pPr>
      <w:r>
        <w:rPr>
          <w:b w:val="0"/>
          <w:i w:val="0"/>
        </w:rPr>
        <w:t>Khi bạn lập kế hoạch cho chặng đường phía trước, điều quan trọng là mỗi nhà lãnh đạo cấp cao hiểu rõ vai trò của mình trong quá trình chuyển đổi. Điều này có thể cần nhiều cuộc trò chuyện, bao gồm cả việc học hỏi từ các lãnh đạo khác đã từng trải qua hành trình này. Chuyến hành trình khám phá này thường được thực hiện tốt nhất khi cùng nhau, để mỗi người có thể hiểu được sự phụ thuộc lẫn nhau và nhận ra đây là một môn thể thao đồng đội lớn đến mức nào.</w:t>
      </w:r>
    </w:p>
    <w:p>
      <w:pPr>
        <w:pStyle w:val="Heading2"/>
      </w:pPr>
      <w:r>
        <w:rPr>
          <w:rFonts w:ascii="Calibri" w:hAnsi="Calibri"/>
          <w:b/>
          <w:i w:val="0"/>
          <w:sz w:val="32"/>
        </w:rPr>
        <w:t>THỜI GIAN ĐỂ SUY NGẪM</w:t>
      </w:r>
    </w:p>
    <w:p>
      <w:pPr>
        <w:pStyle w:val="Heading2"/>
      </w:pPr>
      <w:r>
        <w:rPr>
          <w:rFonts w:ascii="Calibri" w:hAnsi="Calibri"/>
          <w:b/>
          <w:i w:val="0"/>
          <w:sz w:val="32"/>
        </w:rPr>
        <w:t>Những điểm chính</w:t>
      </w:r>
    </w:p>
    <w:p>
      <w:pPr>
        <w:spacing w:after="80"/>
      </w:pPr>
      <w:r>
        <w:rPr>
          <w:b w:val="0"/>
          <w:i w:val="0"/>
        </w:rPr>
        <w:t>Hãy dành một chút thời gian để nhắc nhở bản thân về những điểm quan trọng nhất từ mục này, và đánh giá xem bạn đang ở đâu trên hành trình.</w:t>
      </w:r>
    </w:p>
    <w:p>
      <w:pPr>
        <w:spacing w:after="80"/>
      </w:pPr>
      <w:r>
        <w:rPr>
          <w:b/>
          <w:i w:val="0"/>
        </w:rPr>
        <w:t>Lãnh đạo phải am hiểu công nghệ và thực hành trực tiếp.</w:t>
      </w:r>
      <w:r>
        <w:rPr>
          <w:b w:val="0"/>
          <w:i w:val="0"/>
        </w:rPr>
        <w:t xml:space="preserve"> Chuyển đổi Công nghệ &amp; AI không phải là một nhiệm vụ để giao phó. Các CEO và lãnh đạo doanh nghiệp cần dẫn dắt và tham gia tích cực. Điều đó có nghĩa là phải đắm mình vào công nghệ—không phải để trở thành lập trình viên, mà để phát triển khả năng nhận diện mô hình và niềm tin cần thiết để dẫn dắt hiệu quả.</w:t>
      </w:r>
    </w:p>
    <w:p>
      <w:pPr>
        <w:spacing w:after="80"/>
      </w:pPr>
      <w:r>
        <w:rPr>
          <w:b/>
          <w:i w:val="0"/>
        </w:rPr>
        <w:t>Tập trung vào các lĩnh vực là liều thuốc giải độc duy nhất cho “cái chết vì quá nhiều use case.”</w:t>
      </w:r>
      <w:r>
        <w:rPr>
          <w:b w:val="0"/>
          <w:i w:val="0"/>
        </w:rPr>
        <w:t xml:space="preserve"> Mặc dù việc tập trung vào từng use case riêng lẻ rất hấp dẫn, nhưng giá trị thực sự đến từ việc chuyển đổi toàn bộ các lĩnh vực kinh doanh từ đầu đến cuối. Bằng cách giải quyết các phụ thuộc và tạo ra các tài sản có thể tái sử dụng, các công ty mở ra những lợi ích theo cấp số nhân thay vì những cải thiện phân mảnh, khó nắm bắt.</w:t>
      </w:r>
    </w:p>
    <w:p>
      <w:pPr>
        <w:spacing w:after="80"/>
      </w:pPr>
      <w:r>
        <w:rPr>
          <w:b/>
          <w:i w:val="0"/>
        </w:rPr>
        <w:t>Lợi nhuận lớn đòi hỏi phải tái tưởng tượng và đầu tư đúng mức.</w:t>
      </w:r>
      <w:r>
        <w:rPr>
          <w:b w:val="0"/>
          <w:i w:val="0"/>
        </w:rPr>
        <w:t xml:space="preserve"> Các công ty thành công hướng tới những kết quả mang tính chuyển đổi—như cải thiện EBITDA hơn 20% trong vòng ba năm. Họ đầu tư thời gian nghiêm túc của lãnh đạo cấp cao ngay từ đầu để tái tưởng tượng một trạng thái tương lai đầy tham vọng, và cam kết ngân sách đầy đủ. Họ thiết kế lộ trình của mình để mang lại những thắng lợi sớm tạo đà và tài trợ cho tiến bộ tiếp theo.</w:t>
      </w:r>
    </w:p>
    <w:p>
      <w:pPr>
        <w:spacing w:after="80"/>
      </w:pPr>
      <w:r>
        <w:rPr>
          <w:b/>
          <w:i w:val="0"/>
        </w:rPr>
        <w:t>AI tác tử (Agentic AI)—tiềm năng rất lớn nhưng cũng có những thách thức triển khai thực tế.</w:t>
      </w:r>
      <w:r>
        <w:rPr>
          <w:b w:val="0"/>
          <w:i w:val="0"/>
        </w:rPr>
        <w:t xml:space="preserve"> AI tác tử vẫn còn trong giai đoạn đầu. Công nghệ này có tiềm năng to lớn nhưng cho đến nay đã chứng minh là khó xây dựng các quy trình tác tử hoàn chỉnh mang lại kết quả kinh doanh thực sự có ý nghĩa. Hãy đẩy nhanh việc học hỏi để tìm ra điểm ngọt (sweet spot) cho AI tác tử trong tổ chức của bạn và xây dựng năng lực phát triển các hệ thống như vậy.</w:t>
      </w:r>
    </w:p>
    <w:p>
      <w:pPr>
        <w:spacing w:after="80"/>
      </w:pPr>
      <w:r>
        <w:rPr>
          <w:b/>
          <w:i w:val="0"/>
        </w:rPr>
        <w:t>Các khái niệm có thể bị sao chép; năng lực thì khó hơn nhiều.</w:t>
      </w:r>
      <w:r>
        <w:rPr>
          <w:b w:val="0"/>
          <w:i w:val="0"/>
        </w:rPr>
        <w:t xml:space="preserve"> “Cái gì” quan trọng nhưng “cách làm” còn quan trọng hơn. Việc xây dựng các giải pháp độc quyền tạo ra giá trị thực sự để vượt trội so với thị trường chỉ có thể xảy ra khi bạn có năng lực của riêng mình.</w:t>
      </w:r>
    </w:p>
    <w:p>
      <w:pPr>
        <w:spacing w:after="80"/>
      </w:pPr>
      <w:r>
        <w:rPr>
          <w:b/>
          <w:i w:val="0"/>
        </w:rPr>
        <w:t>Chuyển đổi không bao giờ kết thúc—và đó là một điều tốt.</w:t>
      </w:r>
      <w:r>
        <w:rPr>
          <w:b w:val="0"/>
          <w:i w:val="0"/>
        </w:rPr>
        <w:t xml:space="preserve"> Những công ty thành công nhất coi chuyển đổi Công nghệ &amp; AI không phải là những dự án có điểm dừng, mà là một quá trình tái tạo không ngừng. Những nhà lãnh đạo đón nhận tư duy này tập trung cả vào kết quả trước mắt </w:t>
      </w:r>
      <w:r>
        <w:rPr>
          <w:b w:val="0"/>
          <w:i/>
        </w:rPr>
        <w:t>và</w:t>
      </w:r>
      <w:r>
        <w:rPr>
          <w:b w:val="0"/>
          <w:i w:val="0"/>
        </w:rPr>
        <w:t xml:space="preserve"> vào việc xây dựng năng lực tổ chức để thích nghi và đổi mới liên tục.</w:t>
      </w:r>
    </w:p>
    <w:p>
      <w:pPr>
        <w:spacing w:after="80"/>
      </w:pPr>
      <w:r>
        <w:rPr>
          <w:b/>
          <w:i w:val="0"/>
        </w:rPr>
        <w:t>Hợp tác có thể tăng tốc, nhưng không thể thay thế việc xây dựng năng lực của chính bạn.</w:t>
      </w:r>
      <w:r>
        <w:rPr>
          <w:b w:val="0"/>
          <w:i w:val="0"/>
        </w:rPr>
        <w:t xml:space="preserve"> Các đối tác bên ngoài có thể mang lại tốc độ và chuyên môn, nhưng việc phụ thuộc quá mức vào họ sẽ làm suy yếu thành công lâu dài. Những công ty tốt nhất sử dụng hợp tác một cách chiến lược để lấp đầy khoảng trống, đồng thời xây dựng năng lực nội bộ của mình để duy trì lợi thế cạnh tranh.</w:t>
      </w:r>
    </w:p>
    <w:p>
      <w:pPr>
        <w:spacing w:after="80"/>
      </w:pPr>
      <w:r>
        <w:rPr>
          <w:b/>
          <w:i w:val="0"/>
        </w:rPr>
        <w:t>Sự hợp tác trong ban điều hành (C-suite) không phải là tùy chọn.</w:t>
      </w:r>
      <w:r>
        <w:rPr>
          <w:b w:val="0"/>
          <w:i w:val="0"/>
        </w:rPr>
        <w:t xml:space="preserve"> Chuyển đổi Công nghệ &amp; AI đòi hỏi sự hợp tác liên chức năng chưa từng có, với mỗi nhà lãnh đạo trong ban điều hành đều đóng vai trò tích cực.</w:t>
      </w:r>
    </w:p>
    <w:p>
      <w:pPr>
        <w:pStyle w:val="Heading2"/>
      </w:pPr>
      <w:r>
        <w:rPr>
          <w:rFonts w:ascii="Calibri" w:hAnsi="Calibri"/>
          <w:b/>
          <w:i w:val="0"/>
          <w:sz w:val="32"/>
        </w:rPr>
        <w:t>Bạn đang ở đâu trên hành trình này?</w:t>
      </w:r>
    </w:p>
    <w:p>
      <w:pPr>
        <w:spacing w:after="80"/>
      </w:pPr>
      <w:r>
        <w:rPr>
          <w:b w:val="0"/>
          <w:i w:val="0"/>
        </w:rPr>
        <w:t>Những câu hỏi sau đây có thể giúp làm rõ vị trí của bạn trên hành trình so với những đơn vị dẫn đầu. Quét mã QR ở cuối nếu bạn muốn làm bài đánh giá trực tuyến.</w:t>
      </w:r>
    </w:p>
    <w:p>
      <w:pPr>
        <w:spacing w:after="80"/>
      </w:pPr>
      <w:r>
        <w:rPr>
          <w:b/>
          <w:i w:val="0"/>
        </w:rPr>
        <w:t>Câu 1. Ban điều hành tại công ty bạn đã đầu tư đủ thời gian để am hiểu công nghệ và hiểu cách lãnh đạo hiệu quả trong thời đại AI này chưa?</w:t>
      </w:r>
    </w:p>
    <w:p>
      <w:pPr>
        <w:spacing w:after="80"/>
      </w:pPr>
      <w:r>
        <w:rPr>
          <w:b/>
          <w:i w:val="0"/>
        </w:rPr>
        <w:t>Dẫn đầu:</w:t>
      </w:r>
      <w:r>
        <w:rPr>
          <w:b w:val="0"/>
          <w:i w:val="0"/>
        </w:rPr>
        <w:t xml:space="preserve"> Các nhà lãnh đạo trong ban điều hành đã đầu tư thời gian đáng kể </w:t>
      </w:r>
      <w:r>
        <w:rPr>
          <w:b w:val="0"/>
          <w:i/>
        </w:rPr>
        <w:t>cùng nhau</w:t>
      </w:r>
      <w:r>
        <w:rPr>
          <w:b w:val="0"/>
          <w:i w:val="0"/>
        </w:rPr>
        <w:t xml:space="preserve"> để tìm hiểu về công nghệ và những gì cần thiết để triển khai thành công nhằm tạo ra sự khác biệt cạnh tranh. Ban điều hành đồng thuận và mỗi thành viên đều hiểu vai trò của mình trong việc thực hiện chuyển đổi.</w:t>
      </w:r>
    </w:p>
    <w:p>
      <w:pPr>
        <w:spacing w:after="80"/>
      </w:pPr>
      <w:r>
        <w:rPr>
          <w:b/>
          <w:i w:val="0"/>
        </w:rPr>
        <w:t>Câu 2. Công ty bạn đã xác định rõ ràng tầm nhìn về Công nghệ &amp; AI và ưu tiên hóa nó chưa?</w:t>
      </w:r>
    </w:p>
    <w:p>
      <w:pPr>
        <w:spacing w:after="80"/>
      </w:pPr>
      <w:r>
        <w:rPr>
          <w:b/>
          <w:i w:val="0"/>
        </w:rPr>
        <w:t>Dẫn đầu:</w:t>
      </w:r>
      <w:r>
        <w:rPr>
          <w:b w:val="0"/>
          <w:i w:val="0"/>
        </w:rPr>
        <w:t xml:space="preserve"> Chúng tôi đồng kiến tạo tầm nhìn chuyển đổi Công nghệ &amp; AI với các nhà lãnh đạo kinh doanh cấp cao trong toàn tổ chức. Nó bao gồm quan điểm của chúng tôi về các lĩnh vực ưu tiên và cách những công nghệ này sẽ thay đổi nền kinh tế của doanh nghiệp chúng tôi.</w:t>
      </w:r>
    </w:p>
    <w:p>
      <w:pPr>
        <w:spacing w:after="80"/>
      </w:pPr>
      <w:r>
        <w:rPr>
          <w:b/>
          <w:i w:val="0"/>
        </w:rPr>
        <w:t>Câu 3. Công ty bạn đã thực sự tái tưởng tượng lại các lĩnh vực ưu tiên, dẫn đến các lộ trình với những trường hợp sử dụng cụ thể chưa?</w:t>
      </w:r>
    </w:p>
    <w:p>
      <w:pPr>
        <w:spacing w:after="80"/>
      </w:pPr>
      <w:r>
        <w:rPr>
          <w:b/>
          <w:i w:val="0"/>
        </w:rPr>
        <w:t>Dẫn đầu:</w:t>
      </w:r>
      <w:r>
        <w:rPr>
          <w:b w:val="0"/>
          <w:i w:val="0"/>
        </w:rPr>
        <w:t xml:space="preserve"> Chúng tôi đã tái tưởng tượng từng lĩnh vực ưu tiên và xác định một tập hợp các trường hợp sử dụng để chuyển đổi chúng từ đầu đến cuối. Chúng tôi hiểu rõ những yếu tố thúc đẩy về nhân tài, dữ liệu và công nghệ nào sẽ cần thiết để khai mở giá trị. Chúng tôi có một hồ sơ kinh doanh theo từng giai đoạn với các KPI rõ ràng ở cấp lĩnh vực.</w:t>
      </w:r>
    </w:p>
    <w:p>
      <w:pPr>
        <w:spacing w:after="80"/>
      </w:pPr>
      <w:r>
        <w:rPr>
          <w:b/>
          <w:i w:val="0"/>
        </w:rPr>
        <w:t>Câu 4. Công ty bạn đã thiết lập quan điểm rõ ràng về những năng lực tổ chức mới mà mình sẽ cần để thúc đẩy hành trình đổi mới kinh doanh với Công nghệ &amp; AI chưa?</w:t>
      </w:r>
    </w:p>
    <w:p>
      <w:pPr>
        <w:spacing w:after="80"/>
      </w:pPr>
      <w:r>
        <w:rPr>
          <w:b/>
          <w:i w:val="0"/>
        </w:rPr>
        <w:t>Dẫn đầu:</w:t>
      </w:r>
      <w:r>
        <w:rPr>
          <w:b w:val="0"/>
          <w:i w:val="0"/>
        </w:rPr>
        <w:t xml:space="preserve"> Chúng tôi hiểu rõ những khoảng trống năng lực hiện tại của mình và đã trình bày rõ một kế hoạch đầu tư để xây dựng những năng lực này song hành với nhu cầu chuyển đổi của các lĩnh vực ưu tiên.</w:t>
      </w:r>
    </w:p>
    <w:p>
      <w:pPr>
        <w:jc w:val="center"/>
      </w:pPr>
      <w:r>
        <w:drawing>
          <wp:inline xmlns:a="http://schemas.openxmlformats.org/drawingml/2006/main" xmlns:pic="http://schemas.openxmlformats.org/drawingml/2006/picture">
            <wp:extent cx="1962150" cy="1952625"/>
            <wp:docPr id="51" name="Picture 51"/>
            <wp:cNvGraphicFramePr>
              <a:graphicFrameLocks noChangeAspect="1"/>
            </wp:cNvGraphicFramePr>
            <a:graphic>
              <a:graphicData uri="http://schemas.openxmlformats.org/drawingml/2006/picture">
                <pic:pic>
                  <pic:nvPicPr>
                    <pic:cNvPr id="0" name="c07qr001.png"/>
                    <pic:cNvPicPr/>
                  </pic:nvPicPr>
                  <pic:blipFill>
                    <a:blip r:embed="rId44"/>
                    <a:stretch>
                      <a:fillRect/>
                    </a:stretch>
                  </pic:blipFill>
                  <pic:spPr>
                    <a:xfrm>
                      <a:off x="0" y="0"/>
                      <a:ext cx="1962150" cy="1952625"/>
                    </a:xfrm>
                    <a:prstGeom prst="rect"/>
                  </pic:spPr>
                </pic:pic>
              </a:graphicData>
            </a:graphic>
          </wp:inline>
        </w:drawing>
      </w:r>
    </w:p>
    <w:p>
      <w:pPr>
        <w:spacing w:after="80"/>
      </w:pPr>
      <w:r>
        <w:rPr>
          <w:b/>
          <w:i w:val="0"/>
        </w:rPr>
        <w:t xml:space="preserve">Thực hiện bài đánh giá </w:t>
      </w:r>
      <w:r>
        <w:rPr>
          <w:b/>
          <w:i/>
        </w:rPr>
        <w:t>Rewired</w:t>
      </w:r>
    </w:p>
    <w:p>
      <w:pPr>
        <w:spacing w:after="80"/>
      </w:pPr>
      <w:r>
        <w:rPr>
          <w:b/>
          <w:i w:val="0"/>
        </w:rPr>
        <w:t>McKinsey.com/RewiredAssessment</w:t>
      </w:r>
    </w:p>
    <w:p>
      <w:pPr>
        <w:pStyle w:val="Heading2"/>
      </w:pPr>
      <w:r>
        <w:rPr>
          <w:rFonts w:ascii="Calibri" w:hAnsi="Calibri"/>
          <w:b/>
          <w:i w:val="0"/>
          <w:sz w:val="32"/>
        </w:rPr>
        <w:t>Lưu ý</w:t>
      </w:r>
    </w:p>
    <w:p>
      <w:pPr>
        <w:spacing w:after="80"/>
        <w:ind w:left="360"/>
      </w:pPr>
      <w:r>
        <w:t xml:space="preserve">1. </w:t>
      </w:r>
      <w:r>
        <w:rPr>
          <w:b w:val="0"/>
          <w:i w:val="0"/>
        </w:rPr>
        <w:t>1   Peter Weill và cộng sự, “Digitally savvy boards: An AI update,” MIT Center for Information Systems Research, 20 tháng 3, 2025.</w:t>
      </w:r>
    </w:p>
    <w:p>
      <w:pPr>
        <w:pStyle w:val="Heading1"/>
      </w:pPr>
      <w:r>
        <w:rPr>
          <w:rFonts w:ascii="Calibri" w:hAnsi="Calibri"/>
          <w:b/>
          <w:i w:val="0"/>
          <w:sz w:val="40"/>
        </w:rPr>
        <w:t>PHẦN HAI</w:t>
      </w:r>
      <w:r>
        <w:rPr>
          <w:rFonts w:ascii="Calibri" w:hAnsi="Calibri"/>
          <w:b/>
          <w:i w:val="0"/>
          <w:sz w:val="40"/>
        </w:rPr>
      </w:r>
      <w:r>
        <w:rPr>
          <w:rFonts w:ascii="Calibri" w:hAnsi="Calibri"/>
          <w:b/>
          <w:i w:val="0"/>
          <w:sz w:val="40"/>
        </w:rPr>
        <w:t>Xây dựng đội ngũ nhân tài của bạn</w:t>
      </w:r>
    </w:p>
    <w:p>
      <w:pPr>
        <w:jc w:val="center"/>
      </w:pPr>
      <w:r>
        <w:drawing>
          <wp:inline xmlns:a="http://schemas.openxmlformats.org/drawingml/2006/main" xmlns:pic="http://schemas.openxmlformats.org/drawingml/2006/picture">
            <wp:extent cx="5486400" cy="3404507"/>
            <wp:docPr id="52" name="Picture 52"/>
            <wp:cNvGraphicFramePr>
              <a:graphicFrameLocks noChangeAspect="1"/>
            </wp:cNvGraphicFramePr>
            <a:graphic>
              <a:graphicData uri="http://schemas.openxmlformats.org/drawingml/2006/picture">
                <pic:pic>
                  <pic:nvPicPr>
                    <pic:cNvPr id="0" name="p02f001.png"/>
                    <pic:cNvPicPr/>
                  </pic:nvPicPr>
                  <pic:blipFill>
                    <a:blip r:embed="rId45"/>
                    <a:stretch>
                      <a:fillRect/>
                    </a:stretch>
                  </pic:blipFill>
                  <pic:spPr>
                    <a:xfrm>
                      <a:off x="0" y="0"/>
                      <a:ext cx="5486400" cy="3404507"/>
                    </a:xfrm>
                    <a:prstGeom prst="rect"/>
                  </pic:spPr>
                </pic:pic>
              </a:graphicData>
            </a:graphic>
          </wp:inline>
        </w:drawing>
      </w:r>
    </w:p>
    <w:p>
      <w:pPr>
        <w:pStyle w:val="Heading2"/>
      </w:pPr>
      <w:r>
        <w:rPr>
          <w:rFonts w:ascii="Calibri" w:hAnsi="Calibri"/>
          <w:b/>
          <w:i w:val="0"/>
          <w:sz w:val="32"/>
        </w:rPr>
        <w:t>Trái tim của mọi chuyển đổi Công nghệ &amp; AI chính là chuyển đổi con người</w:t>
      </w:r>
    </w:p>
    <w:p>
      <w:pPr>
        <w:spacing w:after="80"/>
      </w:pPr>
      <w:r>
        <w:rPr>
          <w:b w:val="0"/>
          <w:i/>
        </w:rPr>
        <w:t>Hợp tác với Sandra Durth và Suman Thareja</w:t>
      </w:r>
    </w:p>
    <w:p>
      <w:pPr>
        <w:spacing w:after="80"/>
      </w:pPr>
      <w:r>
        <w:rPr>
          <w:b w:val="0"/>
          <w:i w:val="0"/>
        </w:rPr>
        <w:t>Một nhà bán lẻ hàng đầu Bắc Mỹ có rất nhiều điều để tự hào: Họ đã phát triển thành công kênh thương mại điện tử của mình và qua đó, chống đỡ hiệu quả các mối đe dọa cạnh tranh từ những đối thủ thuần trực tuyến. Nhìn sâu vào bên trong sẽ thấy nhiều điều nhà bán lẻ này đã làm đúng. Họ tạo ra trải nghiệm bán hàng trực tuyến chất lượng cao, xây dựng một tổ chức phát triển sản phẩm và phần mềm lớn mạnh và có năng lực, phát triển một nền tảng dữ liệu hiện đại, và xây dựng một ngăn xếp công nghệ thương mại điện tử mới, cùng nhiều thành tựu khác.</w:t>
      </w:r>
    </w:p>
    <w:p>
      <w:pPr>
        <w:spacing w:after="80"/>
      </w:pPr>
      <w:r>
        <w:rPr>
          <w:b w:val="0"/>
          <w:i w:val="0"/>
        </w:rPr>
        <w:t>Tuy nhiên, việc mở rộng các năng lực này ra ngoài phạm vi thương mại điện tử lại tỏ ra đầy thách thức đối với nhà bán lẻ này. Họ biết rằng có nhu cầu cấp thiết phải sử dụng công nghệ và AI để cải thiện hoạt động của cửa hàng và chuỗi cung ứng cũng như việc bày bán hàng hóa, nhưng tiến độ lại chậm một cách đáng chú ý. Nhiều vấn đề họ gặp phải đều quy về nhân tài.</w:t>
      </w:r>
    </w:p>
    <w:p>
      <w:pPr>
        <w:spacing w:after="80"/>
      </w:pPr>
      <w:r>
        <w:rPr>
          <w:b w:val="0"/>
          <w:i w:val="0"/>
        </w:rPr>
        <w:t>Cụ thể, các nhà lãnh đạo doanh nghiệp trong những lĩnh vực này chưa xây dựng đủ “cơ bắp công nghệ” để tái tưởng tượng doanh nghiệp của mình bằng công nghệ, và vì thế họ không thể dẫn dắt cuộc chuyển đổi cần thiết. Kết quả là, hiệu quả hoạt động của công ty ngày càng tụt lại so với các đối thủ cùng ngành.</w:t>
      </w:r>
    </w:p>
    <w:p>
      <w:pPr>
        <w:spacing w:after="80"/>
      </w:pPr>
      <w:r>
        <w:rPr>
          <w:b w:val="0"/>
          <w:i w:val="0"/>
        </w:rPr>
        <w:t>Một thách thức khác đối với việc mở rộng năng lực nằm ngay trong chính tổ chức IT. Công ty đã xây dựng được một đơn vị phát triển sản phẩm và phần mềm hiệu quả bằng cách nhanh chóng tuyển dụng nhân tài số xuất sắc thông qua các ngoại lệ so với những yêu cầu tuyển dụng thông thường của bộ phận nhân sự, vốn thường quá chậm hoặc thiếu linh hoạt. Nhưng đồng thời, phần còn lại của tổ chức IT vẫn tiếp tục tuyển dụng và vận hành theo mô hình dịch vụ IT truyền thống đã lỗi thời. Kết quả là, tổ chức IT gặp khó khăn trong việc cung cấp cho hoạt động kinh doanh cốt lõi những nhân tài kỹ thuật Công nghệ &amp; AI chất lượng cao.</w:t>
      </w:r>
    </w:p>
    <w:p>
      <w:pPr>
        <w:spacing w:after="80"/>
      </w:pPr>
      <w:r>
        <w:rPr>
          <w:b w:val="0"/>
          <w:i w:val="0"/>
        </w:rPr>
        <w:t>Một phiên bản của câu chuyện này tồn tại ở nhiều công ty, và nó là minh họa hoàn hảo cho lý do tại sao các vấn đề nhân tài dẫn đến những khó khăn lớn trong việc cải thiện trải nghiệm khách hàng và hiệu quả hoạt động đủ nhanh để duy trì khả năng cạnh tranh. Theo kinh nghiệm của chúng tôi, thực tế, các vấn đề nhân tài thường cản trở tiến độ chuyển đổi trước cả các vấn đề công nghệ.</w:t>
      </w:r>
    </w:p>
    <w:p>
      <w:pPr>
        <w:spacing w:after="80"/>
      </w:pPr>
      <w:r>
        <w:rPr>
          <w:b w:val="0"/>
          <w:i w:val="0"/>
        </w:rPr>
        <w:t xml:space="preserve">Ấn bản đầu tiên của </w:t>
      </w:r>
      <w:r>
        <w:rPr>
          <w:b w:val="0"/>
          <w:i/>
        </w:rPr>
        <w:t>Rewired</w:t>
      </w:r>
      <w:r>
        <w:rPr>
          <w:b w:val="0"/>
          <w:i w:val="0"/>
        </w:rPr>
        <w:t xml:space="preserve"> tập trung vào cách xây dựng một đội ngũ nhân tài số cần thiết để phát triển các giải pháp. Ấn bản thứ hai này tập trung nhiều hơn vào cách giải quyết các vấn đề nhân tài đang cản trở việc mở rộng tác động.</w:t>
      </w:r>
    </w:p>
    <w:p>
      <w:pPr>
        <w:spacing w:after="80"/>
      </w:pPr>
      <w:r>
        <w:rPr>
          <w:b/>
          <w:i w:val="0"/>
        </w:rPr>
        <w:t>Chương 8</w:t>
      </w:r>
      <w:r>
        <w:rPr>
          <w:b w:val="0"/>
          <w:i w:val="0"/>
        </w:rPr>
        <w:t xml:space="preserve"> </w:t>
      </w:r>
      <w:r>
        <w:rPr>
          <w:b/>
          <w:i w:val="0"/>
        </w:rPr>
        <w:t>. Xây dựng cơ bắp công nghệ cho các nhà lãnh đạo doanh nghiệp của bạn.</w:t>
      </w:r>
      <w:r>
        <w:rPr>
          <w:b w:val="0"/>
          <w:i w:val="0"/>
        </w:rPr>
        <w:t xml:space="preserve"> Giá trị mang tính đột phá đến từ việc tìm kiếm và phát triển các giám đốc cấp N-2 và N-3 trong tổ chức của bạn, những người có thể kết hợp chuyên môn lĩnh vực của mình với dữ liệu và công nghệ để tái tưởng tượng doanh nghiệp của họ. Điều này đòi hỏi phải xác định được những nhà lãnh đạo doanh nghiệp có những phẩm chất ưu tiên AI phù hợp và đầu tư nghiêm túc vào việc nâng cao kỹ năng cho họ.</w:t>
      </w:r>
    </w:p>
    <w:p>
      <w:pPr>
        <w:spacing w:after="80"/>
      </w:pPr>
      <w:r>
        <w:rPr>
          <w:b/>
          <w:i w:val="0"/>
        </w:rPr>
        <w:t>Chương 9</w:t>
      </w:r>
      <w:r>
        <w:rPr>
          <w:b w:val="0"/>
          <w:i w:val="0"/>
        </w:rPr>
        <w:t xml:space="preserve"> </w:t>
      </w:r>
      <w:r>
        <w:rPr>
          <w:b/>
          <w:i w:val="0"/>
        </w:rPr>
        <w:t>. “Ca phẫu thuật” nhân tài IT lớn.</w:t>
      </w:r>
      <w:r>
        <w:rPr>
          <w:b w:val="0"/>
          <w:i w:val="0"/>
        </w:rPr>
        <w:t xml:space="preserve"> Một trong những thách thức khó khăn nhất trong việc mở rộng các giải pháp công nghệ và AI trong doanh nghiệp là chuyển đổi nhân tài trong bộ phận IT. Bạn sẽ phải đi sâu vào tận ruột gan của tổ chức mình để thực hiện ba bước chuyển dịch nhân tài mang tính cấu trúc then chốt: 1) từ thuê ngoài sang nội bộ, 2) từ quản lý sang kỹ sư, và 3) từ người mới sang “người có năng lực” và chuyên gia.</w:t>
      </w:r>
    </w:p>
    <w:p>
      <w:pPr>
        <w:spacing w:after="80"/>
      </w:pPr>
      <w:r>
        <w:rPr>
          <w:b/>
          <w:i w:val="0"/>
        </w:rPr>
        <w:t>Chương 10</w:t>
      </w:r>
      <w:r>
        <w:rPr>
          <w:b w:val="0"/>
          <w:i w:val="0"/>
        </w:rPr>
        <w:t xml:space="preserve"> </w:t>
      </w:r>
      <w:r>
        <w:rPr>
          <w:b/>
          <w:i w:val="0"/>
        </w:rPr>
        <w:t>. Tạo ra một môi trường nơi nhân tài công nghệ phát triển.</w:t>
      </w:r>
      <w:r>
        <w:rPr>
          <w:b w:val="0"/>
          <w:i w:val="0"/>
        </w:rPr>
        <w:t xml:space="preserve"> Ngành công nghệ mang đến một hình mẫu tuyệt vời về cách đảm bảo các chuyên gia công nghệ của họ làm việc xuất sắc và phát triển. Nhiều công ty lâu đời đã áp dụng những thực hành nhân sự này để ghi nhận nhân tài hàng đầu và giúp họ xây dựng kỹ năng.</w:t>
      </w:r>
    </w:p>
    <w:p>
      <w:pPr>
        <w:spacing w:after="80"/>
      </w:pPr>
      <w:r>
        <w:rPr>
          <w:b/>
          <w:i w:val="0"/>
        </w:rPr>
        <w:t>Chương 11</w:t>
      </w:r>
      <w:r>
        <w:rPr>
          <w:b w:val="0"/>
          <w:i w:val="0"/>
        </w:rPr>
        <w:t xml:space="preserve"> </w:t>
      </w:r>
      <w:r>
        <w:rPr>
          <w:b/>
          <w:i w:val="0"/>
        </w:rPr>
        <w:t>. Suy nghĩ lại về mô hình nhân tài của bạn cho một thế giới tác tử.</w:t>
      </w:r>
      <w:r>
        <w:rPr>
          <w:b w:val="0"/>
          <w:i w:val="0"/>
        </w:rPr>
        <w:t xml:space="preserve"> Sự cộng tác giữa con người và tác tử đòi hỏi nhiều hơn việc dạy nhân viên làm việc với các công cụ AI. Bạn cần nâng cao kỹ năng cho mọi người để họ có khả năng thiết kế, vận hành và giám sát các luồng công việc tác tử ngày càng phức tạp.</w:t>
      </w:r>
    </w:p>
    <w:p>
      <w:pPr>
        <w:pStyle w:val="Heading2"/>
      </w:pPr>
      <w:r>
        <w:rPr>
          <w:rFonts w:ascii="Calibri" w:hAnsi="Calibri"/>
          <w:b/>
          <w:i w:val="0"/>
          <w:sz w:val="32"/>
        </w:rPr>
        <w:t>Ghi chú</w:t>
      </w:r>
    </w:p>
    <w:p>
      <w:pPr>
        <w:spacing w:after="80"/>
        <w:ind w:left="360"/>
      </w:pPr>
      <w:r>
        <w:t xml:space="preserve">1. </w:t>
      </w:r>
      <w:r>
        <w:rPr>
          <w:b w:val="0"/>
          <w:i w:val="0"/>
        </w:rPr>
        <w:t>1   Sandra Durth là partner tại văn phòng Cologne của McKinsey; Suman Thareja là partner tại văn phòng New Jersey.</w:t>
      </w:r>
    </w:p>
    <w:p>
      <w:pPr>
        <w:pStyle w:val="Heading2"/>
      </w:pPr>
      <w:r>
        <w:rPr>
          <w:rFonts w:ascii="Calibri" w:hAnsi="Calibri"/>
          <w:b/>
          <w:i/>
          <w:sz w:val="32"/>
        </w:rPr>
        <w:t>“Chúng ta phải theo đuổi những gì mình tin rằng mình hoàn toàn có thể làm được, chứ đừng giới hạn bản thân bởi những gì mình từng là trong quá khứ.”</w:t>
      </w:r>
    </w:p>
    <w:p>
      <w:pPr>
        <w:spacing w:after="80"/>
      </w:pPr>
      <w:r>
        <w:rPr>
          <w:b/>
          <w:i w:val="0"/>
        </w:rPr>
        <w:t>— Vivek Paul</w:t>
      </w:r>
    </w:p>
    <w:p>
      <w:pPr>
        <w:pStyle w:val="Heading1"/>
      </w:pPr>
      <w:r>
        <w:rPr>
          <w:rFonts w:ascii="Calibri" w:hAnsi="Calibri"/>
          <w:b/>
          <w:i w:val="0"/>
          <w:sz w:val="40"/>
        </w:rPr>
        <w:t>CHƯƠNG 8</w:t>
      </w:r>
      <w:r>
        <w:rPr>
          <w:rFonts w:ascii="Calibri" w:hAnsi="Calibri"/>
          <w:b/>
          <w:i w:val="0"/>
          <w:sz w:val="40"/>
        </w:rPr>
      </w:r>
      <w:r>
        <w:rPr>
          <w:rFonts w:ascii="Calibri" w:hAnsi="Calibri"/>
          <w:b/>
          <w:i w:val="0"/>
          <w:sz w:val="40"/>
        </w:rPr>
        <w:t>Xây dựng cơ bắp công nghệ cho các nhà lãnh đạo doanh nghiệp của bạn</w:t>
      </w:r>
    </w:p>
    <w:p>
      <w:pPr>
        <w:spacing w:after="80"/>
      </w:pPr>
      <w:r>
        <w:rPr>
          <w:b w:val="0"/>
          <w:i w:val="0"/>
        </w:rPr>
        <w:t>Gặp gỡ Adam Boyd. Anh ấy là một giám đốc điều hành cấp cao tại Citizens Bank. Vài năm trước, anh lãnh đạo một mảng kinh doanh có tên là cho vay vốn chủ sở hữu nhà (home equity lending). Adam có một tầm nhìn về việc tái định hình trải nghiệm khách hàng bằng công nghệ. Tầm nhìn của anh là cung cấp cho chủ nhà những hạn mức tín dụng được phê duyệt trước, một quy trình đăng ký được tinh gọn hơn nhiều, và các hoạt động hậu trường được tự động hóa để khách hàng có thể nhận tiền chỉ trong vài ngày, thay vì mức chuẩn của ngành lúc bấy giờ là từ hai đến sáu tuần.</w:t>
      </w:r>
    </w:p>
    <w:p>
      <w:pPr>
        <w:spacing w:after="80"/>
      </w:pPr>
      <w:r>
        <w:rPr>
          <w:b w:val="0"/>
          <w:i w:val="0"/>
        </w:rPr>
        <w:t>Để biến tầm nhìn này thành hiện thực, Adam phải làm việc sát cánh cùng các nhà lãnh đạo về công nghệ, tín dụng, rủi ro, tuân thủ, chiến lược và tài chính của ngân hàng để xây dựng một lộ trình gồm các tình huống sử dụng (use case) nhằm mang lại dịch vụ mới này. Các yếu tố then chốt bao gồm: sử dụng dữ liệu và AI để tự động hóa việc phân tích nền tảng tín dụng của khách hàng nhằm phê duyệt trước các đề nghị; tạo ra các chiến dịch tiếp thị kỹ thuật số được cá nhân hóa; tinh gọn ứng dụng kỹ thuật số xuống chỉ còn vài cú nhấp chuột; và triển khai tự động hóa quy trình để giảm thời gian chu kỳ ở hậu trường.</w:t>
      </w:r>
    </w:p>
    <w:p>
      <w:pPr>
        <w:spacing w:after="80"/>
      </w:pPr>
      <w:r>
        <w:rPr>
          <w:b w:val="0"/>
          <w:i w:val="0"/>
        </w:rPr>
        <w:t>Ban lãnh đạo ngân hàng rất hào hứng với kế hoạch của Adam và cấp cho anh bốn đội phát triển liên chức năng. Việc lãnh đạo các đội triển khai công nghệ là điều mới mẻ với Adam. Anh phải học về phát triển phần mềm theo phương pháp agile (linh hoạt) và các vai trò khác nhau trong một đội agile.</w:t>
      </w:r>
    </w:p>
    <w:p>
      <w:pPr>
        <w:spacing w:after="80"/>
      </w:pPr>
      <w:r>
        <w:rPr>
          <w:b w:val="0"/>
          <w:i w:val="0"/>
        </w:rPr>
        <w:t>Anh cũng tìm hiểu về kiến trúc dữ liệu và toàn bộ hệ thống công nghệ (technology stack) của ngân hàng để xây dựng dịch vụ mới này. Adam không chỉ giám sát các đội này; anh còn tham gia sát sao để giúp vượt qua các rào cản, điều chỉnh hướng phát triển khi cần thiết, và đảm bảo, thông qua việc kiểm thử lặp đi lặp lại, rằng công nghệ đang được xây dựng sẽ đáp ứng nhu cầu của khách hàng.</w:t>
      </w:r>
    </w:p>
    <w:p>
      <w:pPr>
        <w:spacing w:after="80"/>
      </w:pPr>
      <w:r>
        <w:rPr>
          <w:b w:val="0"/>
          <w:i w:val="0"/>
        </w:rPr>
        <w:t>Cuối cùng, Adam chịu trách nhiệm toàn bộ việc quản lý thay đổi từ đầu đến cuối: giải quyết xung đột giữa các kênh, sắp xếp lại trình tự các quy trình vận hành, và đào tạo đồng nghiệp ở các trung tâm liên hệ và chi nhánh. Điều này đòi hỏi phải phối hợp chặt chẽ với các đồng nghiệp cấp cao trong lĩnh vực phân phối, tiếp thị, quản lý rủi ro, công nghệ và vận hành.</w:t>
      </w:r>
    </w:p>
    <w:p>
      <w:pPr>
        <w:spacing w:after="80"/>
      </w:pPr>
      <w:r>
        <w:rPr>
          <w:b w:val="0"/>
          <w:i w:val="0"/>
        </w:rPr>
        <w:t>Quá trình chuyển đổi lĩnh vực này không phải lúc nào cũng thuận buồm xuôi gió. Ban điều hành cấp cao (C-suite) thường xuyên phải đưa ra những đánh đổi khó khăn giữa các chức năng, chẳng hạn như phân bổ lại chi tiêu tiếp thị sang các kênh kỹ thuật số và xem xét lại các chính sách tín dụng. Tuy nhiên, hai năm sau, Adam và các đồng nghiệp của anh đã mang lại một trải nghiệm khách hàng đột phá, vượt xa toàn ngành với chi phí bán hàng và phục vụ trên mỗi đơn vị thấp hơn (Adam kể từ đó đã được thăng chức lên EVP, Trưởng bộ phận Cho vay Tiêu dùng, tại Citizens Bank).</w:t>
      </w:r>
    </w:p>
    <w:p>
      <w:pPr>
        <w:spacing w:after="80"/>
      </w:pPr>
      <w:r>
        <w:rPr>
          <w:b w:val="0"/>
          <w:i w:val="0"/>
        </w:rPr>
        <w:t>Câu chuyện của Adam thì hiếm nhưng không phải là duy nhất. Các nhà lãnh đạo doanh nghiệp khác trong nhiều ngành đã nắm bắt cơ hội mà công nghệ mang lại để tái định hình doanh nghiệp của họ: Các nhà bán lẻ đang tái định hình giá cả và khuyến mãi bằng AI; các kỹ sư chất lượng đang thiết kế các hệ thống dự đoán lỗi mới dựa trên AI; các nhà lãnh đạo xử lý yêu cầu bồi thường bảo hiểm đang sử dụng AI để giảm các yêu cầu bồi thường gian lận và mang lại trải nghiệm khách hàng tốt hơn.</w:t>
      </w:r>
    </w:p>
    <w:p>
      <w:pPr>
        <w:spacing w:after="80"/>
      </w:pPr>
      <w:r>
        <w:rPr>
          <w:b w:val="0"/>
          <w:i w:val="0"/>
        </w:rPr>
        <w:t>Những nhà lãnh đạo này đã xây dựng một “cơ bắp công nghệ” giúp họ có khả năng:</w:t>
      </w:r>
    </w:p>
    <w:p>
      <w:pPr>
        <w:spacing w:after="80"/>
        <w:ind w:left="360"/>
      </w:pPr>
      <w:r>
        <w:t xml:space="preserve">1. </w:t>
      </w:r>
      <w:r>
        <w:rPr>
          <w:b/>
          <w:i w:val="0"/>
        </w:rPr>
        <w:t>Tạo ra những tầm nhìn mang tính chuyển đổi với khách hàng là trung tâm.</w:t>
      </w:r>
      <w:r>
        <w:rPr>
          <w:b w:val="0"/>
          <w:i w:val="0"/>
        </w:rPr>
        <w:t xml:space="preserve"> Họ hiểu những điểm đau và nhu cầu chưa được đáp ứng của khách hàng. Họ biết những nguồn lãng phí chính trong hoạt động của mình. Họ sử dụng sự sáng tạo và khả năng nhận diện mẫu để tái tưởng tượng doanh nghiệp với AI—chứ không chỉ tự động hóa một quy trình làm việc hiện có.</w:t>
      </w:r>
    </w:p>
    <w:p>
      <w:pPr>
        <w:spacing w:after="80"/>
        <w:ind w:left="360"/>
      </w:pPr>
      <w:r>
        <w:t xml:space="preserve">2. </w:t>
      </w:r>
      <w:r>
        <w:rPr>
          <w:b/>
          <w:i w:val="0"/>
        </w:rPr>
        <w:t>Phát triển các lộ trình chuyển đổi được hỗ trợ bởi công nghệ.</w:t>
      </w:r>
      <w:r>
        <w:rPr>
          <w:b w:val="0"/>
          <w:i w:val="0"/>
        </w:rPr>
        <w:t xml:space="preserve"> Họ biết cách làm việc với các chuyên gia lĩnh vực và chuyên gia chức năng để tái tưởng tượng các quy trình từ đầu đến cuối bằng Công nghệ &amp; AI. Họ biến những đầu vào đó thành một lộ trình toàn diện gồm các tình huống sử dụng có liên quan với nhau, cùng các KPI rõ ràng gắn với kết quả. Họ không giao phó công việc này cho bộ phận IT hay cho những người ở cấp thấp hơn trong tổ chức. Họ tự đảm nhận vì họ tin rằng đó là điều tối quan trọng.</w:t>
      </w:r>
    </w:p>
    <w:p>
      <w:pPr>
        <w:spacing w:after="80"/>
        <w:ind w:left="360"/>
      </w:pPr>
      <w:r>
        <w:t xml:space="preserve">3. </w:t>
      </w:r>
      <w:r>
        <w:rPr>
          <w:b/>
          <w:i w:val="0"/>
        </w:rPr>
        <w:t>Giám sát việc triển khai công nghệ.</w:t>
      </w:r>
      <w:r>
        <w:rPr>
          <w:b w:val="0"/>
          <w:i w:val="0"/>
        </w:rPr>
        <w:t xml:space="preserve"> Dù không phải là những chuyên gia công nghệ chuyên sâu, những nhà lãnh đạo này đã tích lũy đủ chiều sâu công nghệ để giám sát việc phát triển, giúp đội ngũ của họ ưu tiên công việc, giải quyết vấn đề để vượt qua rào cản, và thách thức họ một cách hiệu quả. Họ làm việc nhanh chóng và lặp đi lặp lại để xây dựng các giải pháp làm hài lòng khách hàng—và có thể mở rộng quy mô. Họ tận dụng lợi thế có các đội liên chức năng dưới quyền lãnh đạo của mình để thúc đẩy hiệu quả và tốc độ phát triển.</w:t>
      </w:r>
    </w:p>
    <w:p>
      <w:pPr>
        <w:spacing w:after="80"/>
        <w:ind w:left="360"/>
      </w:pPr>
      <w:r>
        <w:t xml:space="preserve">4. </w:t>
      </w:r>
      <w:r>
        <w:rPr>
          <w:b/>
          <w:i w:val="0"/>
        </w:rPr>
        <w:t>Lãnh đạo việc quản lý thay đổi từ đầu đến cuối.</w:t>
      </w:r>
      <w:r>
        <w:rPr>
          <w:b w:val="0"/>
          <w:i w:val="0"/>
        </w:rPr>
        <w:t xml:space="preserve"> Các nhà lãnh đạo doanh nghiệp có năng lực công nghệ không giao phó trách nhiệm triển khai các giải pháp AI của mình. Họ tự đảm nhận phần áp dụng và mở rộng quy mô của quá trình. Họ chịu trách nhiệm không chỉ phát triển các giải pháp mà còn đảm bảo rằng những giải pháp này tạo ra giá trị có ý nghĩa. Bởi vì họ có cái nhìn tổng thể tốt nhất về quy trình từ đầu đến cuối đang được chuyển đổi, họ là người phù hợp nhất để thiết kế và điều phối một nỗ lực quản lý thay đổi được tích hợp chặt chẽ.</w:t>
      </w:r>
    </w:p>
    <w:p>
      <w:pPr>
        <w:spacing w:after="80"/>
      </w:pPr>
      <w:r>
        <w:rPr>
          <w:b/>
          <w:i/>
        </w:rPr>
        <w:t>Một trong những rào cản quan trọng nhất để đạt được tác động ở quy mô lớn với AI là có đủ nguồn cung những “Adam” (và “Jane”)—những giám đốc điều hành cấp cao có kiến thức và kinh nghiệm để thúc đẩy một quá trình chuyển đổi từ đầu đến cuối của một lĩnh vực kinh doanh bằng công nghệ</w:t>
      </w:r>
      <w:r>
        <w:rPr>
          <w:b/>
          <w:i w:val="0"/>
        </w:rPr>
        <w:t>.</w:t>
      </w:r>
    </w:p>
    <w:p>
      <w:pPr>
        <w:spacing w:after="80"/>
      </w:pPr>
      <w:r>
        <w:rPr>
          <w:b w:val="0"/>
          <w:i w:val="0"/>
        </w:rPr>
        <w:t>Tầm quan trọng của vai trò này là lý do vì sao câu hỏi lớn nhất mà bất kỳ CEO, thành viên ban điều hành hay thành viên hội đồng quản trị nào cũng cần trả lời có thể là: Công ty chúng ta có bao nhiêu nhà lãnh đạo cấp cao có năng lực công nghệ?</w:t>
      </w:r>
    </w:p>
    <w:p>
      <w:pPr>
        <w:pStyle w:val="Heading2"/>
      </w:pPr>
      <w:r>
        <w:rPr>
          <w:rFonts w:ascii="Calibri" w:hAnsi="Calibri"/>
          <w:b/>
          <w:i w:val="0"/>
          <w:sz w:val="32"/>
        </w:rPr>
        <w:t>Cách bạn xây dựng cơ bắp công nghệ</w:t>
      </w:r>
    </w:p>
    <w:p>
      <w:pPr>
        <w:spacing w:after="80"/>
      </w:pPr>
      <w:r>
        <w:rPr>
          <w:b w:val="0"/>
          <w:i w:val="0"/>
        </w:rPr>
        <w:t>Xây dựng chỉ số am hiểu AI của bạn là một công việc liên tục. Đừng mong đợi một khóa huấn luyện công nghệ cấp tốc và vài cuộc gặp gỡ thỉnh thoảng với các start-up là đủ. Xây dựng cơ bắp thứ hai này—và giữ cho nó không bị teo đi—đòi hỏi sự chủ tâm, kỷ luật và tập trung lâu dài. Dưới đây là sáu cách để xây dựng cơ bắp công nghệ của bạn:</w:t>
      </w:r>
    </w:p>
    <w:p>
      <w:pPr>
        <w:spacing w:after="80"/>
      </w:pPr>
      <w:r>
        <w:rPr>
          <w:b/>
          <w:i w:val="0"/>
        </w:rPr>
        <w:t>Học như thể đó là sứ mệnh của bạn.</w:t>
      </w:r>
      <w:r>
        <w:rPr>
          <w:b w:val="0"/>
          <w:i w:val="0"/>
        </w:rPr>
        <w:t xml:space="preserve"> Những nhà lãnh đạo lĩnh vực giỏi nhất hiểu rằng họ làm chủ hành trình học tập của chính mình. Chúng tôi gọi họ là những “người học không sợ hãi” vì họ được thúc đẩy bởi sự tò mò và niềm đam mê mở rộng và đào sâu kiến thức của mình.</w:t>
      </w:r>
    </w:p>
    <w:p>
      <w:pPr>
        <w:spacing w:after="80"/>
      </w:pPr>
      <w:r>
        <w:rPr>
          <w:b w:val="0"/>
          <w:i w:val="0"/>
        </w:rPr>
        <w:t>Ngoài “công việc chính” của mình, Adam Boyd dành sáu đến mười giờ mỗi tuần để tìm hiểu về các vấn đề liên quan đến công nghệ. Việc học này diễn ra dưới nhiều hình thức: đọc về những phát triển mới nhất, trao đổi quan điểm với các nhà lãnh đạo công nghệ tại ngân hàng của anh ấy, gặp gỡ các nhà cung cấp công nghệ và tư vấn viên, tham dự các buổi đánh giá sprint, đi hội nghị, thăm các tổ chức tài chính khác đã làm những điều mới lạ, gặp gỡ các start-up fintech, tham gia các khóa học trực tuyến, v.v.</w:t>
      </w:r>
    </w:p>
    <w:p>
      <w:pPr>
        <w:spacing w:after="80"/>
      </w:pPr>
      <w:r>
        <w:rPr>
          <w:b/>
          <w:i w:val="0"/>
        </w:rPr>
        <w:t>Tập trung vào giá trị và tưởng tượng lại những gì cần để đạt được nó.</w:t>
      </w:r>
      <w:r>
        <w:rPr>
          <w:b w:val="0"/>
          <w:i w:val="0"/>
        </w:rPr>
        <w:t xml:space="preserve"> Những kẻ giả vờ làm AI chạy theo một bản thử nghiệm AI nhanh chóng (proof-of-concept) để đánh dấu một ô trong bản đánh giá hiệu suất của họ. Thay vào đó, những người có cơ bắp thứ hai này bắt đầu bằng cách hỏi những vấn đề lớn nhất là gì và sau đó họ tìm hiểu xem liệu một cách tiếp cận công nghệ có thể giải quyết chúng hay không. Họ theo đuổi những vấn đề kinh doanh đáng để bỏ công sức—nghĩa là, chúng có thể tạo ra cải thiện lợi nhuận ròng 20% hoặc hơn nếu được thực hiện thành công. Chúng ta đang thấy phiên bản mới nhất của tư duy này với các AI agent.</w:t>
      </w:r>
    </w:p>
    <w:p>
      <w:pPr>
        <w:spacing w:after="80"/>
      </w:pPr>
      <w:r>
        <w:rPr>
          <w:b/>
          <w:i/>
        </w:rPr>
        <w:t>Những nhà lãnh đạo thành công với agentic AI không chỉ tập trung vào việc tự động hóa các quy trình hiện có—họ tưởng tượng lại các quy trình công việc từ đầu đến cuối để tận dụng các khả năng của agentic</w:t>
      </w:r>
      <w:r>
        <w:rPr>
          <w:b/>
          <w:i w:val="0"/>
        </w:rPr>
        <w:t>.</w:t>
      </w:r>
    </w:p>
    <w:p>
      <w:pPr>
        <w:spacing w:after="80"/>
      </w:pPr>
      <w:r>
        <w:rPr>
          <w:b/>
          <w:i w:val="0"/>
        </w:rPr>
        <w:t>Hiểu rằng nó không bao giờ chỉ là về công nghệ.</w:t>
      </w:r>
      <w:r>
        <w:rPr>
          <w:b w:val="0"/>
          <w:i w:val="0"/>
        </w:rPr>
        <w:t xml:space="preserve"> Những người làm chủ lĩnh vực hiểu rằng để đảm bảo công nghệ phát huy hết tiềm năng của nó đòi hỏi phải tích hợp các hệ thống, cả về mặt kỹ thuật lẫn tổ chức. Họ thường xuyên tương tác với các nhà lãnh đạo ở nhiều chức năng khác nhau, dù đó là đưa chuyên môn về rủi ro vào sớm trong quá trình phát triển giải pháp hay làm việc với các đội tuyến đầu để đảm bảo các giải pháp được áp dụng. Họ hiểu kiến trúc nền tảng công nghệ của mình giống như cách hầu hết các nhà lãnh đạo cấp cao hiểu bảng lãi lỗ (P&amp;L) hay sơ đồ tổ chức của họ.</w:t>
      </w:r>
    </w:p>
    <w:p>
      <w:pPr>
        <w:spacing w:after="80"/>
      </w:pPr>
      <w:r>
        <w:rPr>
          <w:b w:val="0"/>
          <w:i w:val="0"/>
        </w:rPr>
        <w:t>Điều đó quan trọng vì các nền tảng đã trở thành trung tâm của khả năng cạnh tranh kinh doanh.</w:t>
      </w:r>
    </w:p>
    <w:p>
      <w:pPr>
        <w:spacing w:after="80"/>
      </w:pPr>
      <w:r>
        <w:rPr>
          <w:b/>
          <w:i w:val="0"/>
        </w:rPr>
        <w:t>Tự mình xắn tay áo vào làm.</w:t>
      </w:r>
      <w:r>
        <w:rPr>
          <w:b w:val="0"/>
          <w:i w:val="0"/>
        </w:rPr>
        <w:t xml:space="preserve"> Không có gì thay thế được việc học qua công việc khi nói đến việc xây dựng cơ bắp công nghệ của bạn. Rõ ràng, các nhà lãnh đạo kinh doanh cần dựa vào các chuyên gia công nghệ và kỹ sư lành nghề để giải quyết vấn đề. Nhưng điều đó không có nghĩa là chỉ đơn thuần giao phó công việc cho họ. Những nhà lãnh đạo am hiểu công nghệ lăn xả vào chi tiết cùng với các đội để phát triển giải pháp. Có sự hiểu biết thực tế đó giúp họ hiệu chỉnh tiến độ và thách thức một cách hiệu quả các đội phát triển của mình.</w:t>
      </w:r>
    </w:p>
    <w:p>
      <w:pPr>
        <w:spacing w:after="80"/>
      </w:pPr>
      <w:r>
        <w:rPr>
          <w:b/>
          <w:i w:val="0"/>
        </w:rPr>
        <w:t>Phát triển khứu giác nhạy bén với nhân tài công nghệ.</w:t>
      </w:r>
      <w:r>
        <w:rPr>
          <w:b w:val="0"/>
          <w:i w:val="0"/>
        </w:rPr>
        <w:t xml:space="preserve"> Có nhân tài công nghệ chất lượng cao thực sự rất quan trọng. Một kỹ sư hay kiến trúc sư hàng đầu có thể tạo ra giá trị nhiều hơn một cách không cân xứng so với một người trung bình. Những người làm chủ lĩnh vực thành công dành thời gian với các chủ sở hữu sản phẩm, kỹ sư dữ liệu, nhà khoa học dữ liệu, kiến trúc sư giải pháp và chuyên gia AI để đánh giá cao điều gì làm nên sự khác biệt của những người giỏi nhất trong số họ, và giúp họ hòa nhập vào tổ chức. Họ có thể giải thích kiến trúc giải pháp và lý do cho những lựa chọn đã đưa ra không? Họ có thể lường trước các lỗ hổng không? Họ có thể mô tả dữ liệu sẽ chảy như thế nào không?</w:t>
      </w:r>
    </w:p>
    <w:p>
      <w:pPr>
        <w:spacing w:after="80"/>
      </w:pPr>
      <w:r>
        <w:rPr>
          <w:b/>
          <w:i w:val="0"/>
        </w:rPr>
        <w:t>Thoải mái với sự mơ hồ và chia nhỏ nỗ lực của bạn theo từng giai đoạn.</w:t>
      </w:r>
      <w:r>
        <w:rPr>
          <w:b w:val="0"/>
          <w:i w:val="0"/>
        </w:rPr>
        <w:t xml:space="preserve"> Đây là một trong những điều khó nhất đối với các nhà lãnh đạo kinh doanh cấp cao, những người được đánh giá dựa trên việc đạt được các mục tiêu kinh doanh hàng quý của họ. Nếu bạn thoát ra khỏi lối tư duy tăng dần và thực sự tưởng tượng lại cách doanh nghiệp của bạn có thể vận hành khác đi, điều này sẽ ngụ ý một mức độ mơ hồ và rủi ro nhất định trên con đường phía trước.</w:t>
      </w:r>
    </w:p>
    <w:p>
      <w:pPr>
        <w:spacing w:after="80"/>
      </w:pPr>
      <w:r>
        <w:rPr>
          <w:b w:val="0"/>
          <w:i w:val="0"/>
        </w:rPr>
        <w:t>Những nhà lãnh đạo kinh doanh có năng lực công nghệ làm chủ nghệ thuật chia nhỏ nỗ lực của họ theo từng giai đoạn, đạt được một số lợi ích kinh tế với mỗi đợt đầu tư, và liên tục xoay chuyển nỗ lực của họ khi gặp phải rào cản.</w:t>
      </w:r>
    </w:p>
    <w:p>
      <w:pPr>
        <w:spacing w:after="80"/>
      </w:pPr>
      <w:r>
        <w:rPr>
          <w:b/>
          <w:i/>
        </w:rPr>
        <w:t>Hiểu công nghệ tự thân không nên là mục tiêu của các giám đốc điều hành doanh nghiệp; hiểu cách làm việc với công nghệ để tạo ra giá trị mới là mục tiêu</w:t>
      </w:r>
      <w:r>
        <w:rPr>
          <w:b/>
          <w:i w:val="0"/>
        </w:rPr>
        <w:t>.</w:t>
      </w:r>
    </w:p>
    <w:p>
      <w:pPr>
        <w:spacing w:after="80"/>
      </w:pPr>
      <w:r>
        <w:rPr>
          <w:b w:val="0"/>
          <w:i w:val="0"/>
        </w:rPr>
        <w:t>Điều này thoạt nghe có vẻ khó khăn nhưng rất khả thi. Đường cong học tập của Boyd rất dốc nhưng sau sáu tháng, anh ấy bắt đầu cảm thấy tự tin hơn vào hiệu quả của mình để dẫn dắt một cuộc chuyển đổi kinh doanh thâm dụng công nghệ.</w:t>
      </w:r>
    </w:p>
    <w:p>
      <w:pPr>
        <w:jc w:val="center"/>
      </w:pPr>
      <w:r>
        <w:drawing>
          <wp:inline xmlns:a="http://schemas.openxmlformats.org/drawingml/2006/main" xmlns:pic="http://schemas.openxmlformats.org/drawingml/2006/picture">
            <wp:extent cx="457200" cy="447675"/>
            <wp:docPr id="53" name="Picture 53"/>
            <wp:cNvGraphicFramePr>
              <a:graphicFrameLocks noChangeAspect="1"/>
            </wp:cNvGraphicFramePr>
            <a:graphic>
              <a:graphicData uri="http://schemas.openxmlformats.org/drawingml/2006/picture">
                <pic:pic>
                  <pic:nvPicPr>
                    <pic:cNvPr id="0" name="IN_THEIR_WORDS_violet.png"/>
                    <pic:cNvPicPr/>
                  </pic:nvPicPr>
                  <pic:blipFill>
                    <a:blip r:embed="rId46"/>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CỦA HỌ</w:t>
      </w:r>
    </w:p>
    <w:p>
      <w:pPr>
        <w:pStyle w:val="Heading3"/>
      </w:pPr>
      <w:r>
        <w:rPr>
          <w:rFonts w:ascii="Calibri" w:hAnsi="Calibri"/>
          <w:b/>
          <w:i w:val="0"/>
          <w:sz w:val="26"/>
        </w:rPr>
        <w:t>Trở thành một nhà lãnh đạo am hiểu công nghệ</w:t>
      </w:r>
    </w:p>
    <w:p>
      <w:pPr>
        <w:spacing w:after="80"/>
      </w:pPr>
      <w:r>
        <w:rPr>
          <w:b w:val="0"/>
          <w:i w:val="0"/>
        </w:rPr>
        <w:t>“Tôi thực sự có chủ đích trong việc sử dụng AI trong đời sống cá nhân, bởi vì bạn không thể biết nó có thể làm được gì cho đến khi bạn bắt đầu dùng nó và hiểu cách nó có thể được ứng dụng. Rồi sau đó bạn bắt đầu thấy được cách mình có thể dùng nó cho đủ loại bài toán kinh doanh.</w:t>
      </w:r>
    </w:p>
    <w:p>
      <w:pPr>
        <w:spacing w:after="80"/>
      </w:pPr>
      <w:r>
        <w:rPr>
          <w:b w:val="0"/>
          <w:i w:val="0"/>
        </w:rPr>
        <w:t>Sau đó, việc tìm kiếm cơ hội để đào sâu hiểu biết của mình cũng rất quan trọng. Ví dụ, tôi tham gia hội đồng quản trị của một công ty chăm sóc sức khỏe lớn và là thành viên của National Association of Corporate Directors. Khi tôi đang cân nhắc các chủ đề để tích lũy tín chỉ giáo dục thường xuyên, tôi quyết định tham gia một khóa học 30 giờ về an ninh mạng. Dù lĩnh vực này không mới với tôi, tôi cảm thấy đây là cơ hội tuyệt vời để hiểu sâu hơn về nó.</w:t>
      </w:r>
    </w:p>
    <w:p>
      <w:pPr>
        <w:spacing w:after="80"/>
      </w:pPr>
      <w:r>
        <w:rPr>
          <w:b w:val="0"/>
          <w:i w:val="0"/>
        </w:rPr>
        <w:t>Một thói quen quan trọng khác là đừng ngại đặt câu hỏi và học hỏi từ người khác. Một số nhà lãnh đạo, đặc biệt là những người đã đi xa hơn trên con đường sự nghiệp, lại sợ thừa nhận những gì mình không biết. Nhưng bạn sẽ không thể học được gì nếu không đặt câu hỏi.</w:t>
      </w:r>
    </w:p>
    <w:p>
      <w:pPr>
        <w:spacing w:after="80"/>
      </w:pPr>
      <w:r>
        <w:rPr>
          <w:b w:val="0"/>
          <w:i w:val="0"/>
        </w:rPr>
        <w:t>Có lẽ thói quen quan trọng nhất là có kỷ luật để đi vào chi tiết của công nghệ. Có một khác biệt quan trọng giữa hiểu biết khái niệm và hiểu biết thực tiễn, nên tôi luôn bám sát các dự án và sáng kiến. Tôi đảm bảo mình dành thời gian cho các cuộc gọi của ban chỉ đạo khi họ bàn về tình hình các sprint của đội nhóm. Tất nhiên, tôi không thể làm điều đó mọi lúc, nên tôi phải chọn lọc nơi mình lao vào. Nhưng việc duy trì sự tham gia vào các chi tiết là quan trọng, nên tôi cố gắng dành ít nhất hai giờ mỗi tuần chỉ cho kiểu tham gia này.</w:t>
      </w:r>
    </w:p>
    <w:p>
      <w:pPr>
        <w:spacing w:after="80"/>
      </w:pPr>
      <w:r>
        <w:rPr>
          <w:b w:val="0"/>
          <w:i w:val="0"/>
        </w:rPr>
        <w:t>Một lý do khác để bám sát chi tiết và tham gia vào công việc ở cấp độ đội nhóm là nó củng cố trực giác của bạn để bạn có thể nhanh chóng nhận ra một chương trình hay vấn đề công nghệ là lớn hay nhỏ, phức tạp hay đơn giản. Những trực giác này là tài sản quý khi đánh giá các ý tưởng mới hoặc các dự án đang triển khai. Những nhà lãnh đạo thiếu sự nhạy bén này không biết cách hiệu chỉnh hay phán đoán liệu một dự án có đi đúng hướng hay không.”</w:t>
      </w:r>
    </w:p>
    <w:p>
      <w:pPr>
        <w:spacing w:after="80"/>
      </w:pPr>
      <w:r>
        <w:rPr>
          <w:b/>
          <w:i/>
        </w:rPr>
        <w:t>— Neesha Hathi, Giám đốc Điều hành, Trưởng bộ phận Giải pháp Quản lý Tài sản &amp; Tư vấn, Schwab</w:t>
      </w:r>
    </w:p>
    <w:p>
      <w:pPr>
        <w:pStyle w:val="Heading2"/>
      </w:pPr>
      <w:r>
        <w:rPr>
          <w:rFonts w:ascii="Calibri" w:hAnsi="Calibri"/>
          <w:b/>
          <w:i w:val="0"/>
          <w:sz w:val="32"/>
        </w:rPr>
        <w:t>Ban điều hành có thể phát triển những nhà lãnh đạo kinh doanh am hiểu công nghệ hơn như thế nào</w:t>
      </w:r>
    </w:p>
    <w:p>
      <w:pPr>
        <w:spacing w:after="80"/>
      </w:pPr>
      <w:r>
        <w:rPr>
          <w:b w:val="0"/>
          <w:i w:val="0"/>
        </w:rPr>
        <w:t>Trong tất cả các chương trình nâng cao kỹ năng AI mà bạn có thể tưởng tượng để khởi động, không có chương trình nào mang tính chiến lược và tác động mạnh mẽ hơn việc phát triển những nhà lãnh đạo kinh doanh am hiểu công nghệ, những người sẽ trở thành động lực chuyển đổi các lĩnh vực kinh doanh chủ chốt của bạn.</w:t>
      </w:r>
    </w:p>
    <w:p>
      <w:pPr>
        <w:spacing w:after="80"/>
      </w:pPr>
      <w:r>
        <w:rPr>
          <w:b w:val="0"/>
          <w:i w:val="0"/>
        </w:rPr>
        <w:t>Có khoảng 15–30 quy trình kinh doanh cốt lõi hoặc hành trình khách hàng trong hầu hết các công ty lớn (hoặc các bộ phận của tập đoàn đa ngành), mỗi quy trình gắn với một nhà lãnh đạo kinh doanh và một đội nhóm xung quanh nhà lãnh đạo đó, với sự kết hợp đúng đắn các năng lực chức năng. Điều đó có nghĩa là bạn sẽ có khoảng 75–150 nhà lãnh đạo trong nhóm N-2 và N-3 của mình cần xây dựng “cơ bắp thứ hai” này.</w:t>
      </w:r>
    </w:p>
    <w:p>
      <w:pPr>
        <w:spacing w:after="80"/>
      </w:pPr>
      <w:r>
        <w:rPr>
          <w:b w:val="0"/>
          <w:i w:val="0"/>
        </w:rPr>
        <w:t>Hãy cân nhắc thực hiện ba hành động thiết thực sau:</w:t>
      </w:r>
    </w:p>
    <w:p>
      <w:pPr>
        <w:spacing w:after="80"/>
        <w:ind w:left="360"/>
      </w:pPr>
      <w:r>
        <w:t xml:space="preserve">1. </w:t>
      </w:r>
      <w:r>
        <w:rPr>
          <w:b/>
          <w:i w:val="0"/>
        </w:rPr>
        <w:t>Đặt đúng người và đúng cơ chế khuyến khích vào vị trí.</w:t>
      </w:r>
      <w:r>
        <w:rPr>
          <w:b w:val="0"/>
          <w:i w:val="0"/>
        </w:rPr>
        <w:t xml:space="preserve"> Bắt đầu bằng việc làm rõ lĩnh vực kinh doanh nào có tiềm năng chuyển đổi nhờ AI lớn nhất và tự hỏi liệu bạn đã có những nhà lãnh đạo hiện tại phù hợp chưa. Cụ thể hơn, liệu họ có những phẩm chất lãnh đạo đã được nêu ở phần trước của chương này không? Nếu không, hãy sẵn sàng thay đổi. Nếu không có những thay đổi rõ ràng, bạn sẽ tiếp tục phải chống lại lực hút của tổ chức cũ và sức cản mà nó có thể tạo ra. Hãy cân nhắc kỹ cách bạn thiết kế các cơ chế khuyến khích hiệu suất để khuyến khích các mục tiêu mang tính chuyển đổi, dựa trên học hỏi và dựa trên kết quả (Hình 8.1).</w:t>
      </w:r>
    </w:p>
    <w:p>
      <w:pPr>
        <w:jc w:val="center"/>
      </w:pPr>
      <w:r>
        <w:drawing>
          <wp:inline xmlns:a="http://schemas.openxmlformats.org/drawingml/2006/main" xmlns:pic="http://schemas.openxmlformats.org/drawingml/2006/picture">
            <wp:extent cx="5486400" cy="4460167"/>
            <wp:docPr id="54" name="Picture 54"/>
            <wp:cNvGraphicFramePr>
              <a:graphicFrameLocks noChangeAspect="1"/>
            </wp:cNvGraphicFramePr>
            <a:graphic>
              <a:graphicData uri="http://schemas.openxmlformats.org/drawingml/2006/picture">
                <pic:pic>
                  <pic:nvPicPr>
                    <pic:cNvPr id="0" name="c08ex001.png"/>
                    <pic:cNvPicPr/>
                  </pic:nvPicPr>
                  <pic:blipFill>
                    <a:blip r:embed="rId47"/>
                    <a:stretch>
                      <a:fillRect/>
                    </a:stretch>
                  </pic:blipFill>
                  <pic:spPr>
                    <a:xfrm>
                      <a:off x="0" y="0"/>
                      <a:ext cx="5486400" cy="4460167"/>
                    </a:xfrm>
                    <a:prstGeom prst="rect"/>
                  </pic:spPr>
                </pic:pic>
              </a:graphicData>
            </a:graphic>
          </wp:inline>
        </w:drawing>
      </w:r>
    </w:p>
    <w:p>
      <w:pPr>
        <w:spacing w:after="160"/>
        <w:jc w:val="center"/>
      </w:pPr>
      <w:r>
        <w:rPr>
          <w:rFonts w:ascii="Calibri" w:hAnsi="Calibri"/>
          <w:b w:val="0"/>
          <w:i/>
          <w:sz w:val="19"/>
        </w:rPr>
        <w:t>HÌNH 8.1</w:t>
      </w:r>
    </w:p>
    <w:p>
      <w:pPr>
        <w:spacing w:after="80"/>
        <w:ind w:left="360"/>
      </w:pPr>
      <w:r>
        <w:t xml:space="preserve">2. </w:t>
      </w:r>
      <w:r>
        <w:rPr>
          <w:b/>
          <w:i w:val="0"/>
        </w:rPr>
        <w:t>Khởi động một chương trình nâng cao kỹ năng mang tính chiến lược.</w:t>
      </w:r>
      <w:r>
        <w:rPr>
          <w:b w:val="0"/>
          <w:i w:val="0"/>
        </w:rPr>
        <w:t xml:space="preserve"> Dù quản lý sản phẩm là một khía cạnh quan trọng của bộ kỹ năng mới, công việc của các nhà lãnh đạo lĩnh vực am hiểu công nghệ lại rộng hơn và phức tạp hơn. Đó là bởi vì chủ sở hữu lĩnh vực nắm giữ một quy trình kinh doanh đầu-cuối với hàng trăm hoặc hàng nghìn người trong vận hành kinh doanh và dịch vụ khách hàng. Các kỹ năng mới của họ cũng phải bao quát thế giới tái thiết kế quy trình, mô hình AI, quản lý dữ liệu, kiến trúc công nghệ, nhân tài kỹ thuật và quản lý thay đổi. Chương trình nâng cao kỹ năng của bạn nên phản ánh điều này.</w:t>
        <w:br/>
        <w:t>Trong khi các khóa học truyền thống giúp xây dựng nền tảng ở những lĩnh vực khác nhau này, thì việc thực hành trực tiếp trên một bài toán kinh doanh thực tế là điều cần thiết. Điều này có thể được thực hiện bằng cách: a) làm việc song song với một đối tác tư vấn, b) áp dụng mô hình lãnh đạo “hai-trong-một” (two-in-box) nơi một trưởng nhóm công nghệ đồng hành cùng nhà lãnh đạo kinh doanh cấp cao, hoặc c) thực hiện một dự án tổng kết thực tế (capstone project) như một phần của lớp học chuyên sâu về AI. Hình 8.2 cho thấy một ví dụ về chương trình ba ngày như vậy tại MIT.</w:t>
      </w:r>
    </w:p>
    <w:p>
      <w:pPr>
        <w:jc w:val="center"/>
      </w:pPr>
      <w:r>
        <w:drawing>
          <wp:inline xmlns:a="http://schemas.openxmlformats.org/drawingml/2006/main" xmlns:pic="http://schemas.openxmlformats.org/drawingml/2006/picture">
            <wp:extent cx="5486400" cy="3830782"/>
            <wp:docPr id="55" name="Picture 55"/>
            <wp:cNvGraphicFramePr>
              <a:graphicFrameLocks noChangeAspect="1"/>
            </wp:cNvGraphicFramePr>
            <a:graphic>
              <a:graphicData uri="http://schemas.openxmlformats.org/drawingml/2006/picture">
                <pic:pic>
                  <pic:nvPicPr>
                    <pic:cNvPr id="0" name="c08ex002.png"/>
                    <pic:cNvPicPr/>
                  </pic:nvPicPr>
                  <pic:blipFill>
                    <a:blip r:embed="rId48"/>
                    <a:stretch>
                      <a:fillRect/>
                    </a:stretch>
                  </pic:blipFill>
                  <pic:spPr>
                    <a:xfrm>
                      <a:off x="0" y="0"/>
                      <a:ext cx="5486400" cy="3830782"/>
                    </a:xfrm>
                    <a:prstGeom prst="rect"/>
                  </pic:spPr>
                </pic:pic>
              </a:graphicData>
            </a:graphic>
          </wp:inline>
        </w:drawing>
      </w:r>
    </w:p>
    <w:p>
      <w:pPr>
        <w:spacing w:after="160"/>
        <w:jc w:val="center"/>
      </w:pPr>
      <w:r>
        <w:rPr>
          <w:rFonts w:ascii="Calibri" w:hAnsi="Calibri"/>
          <w:b w:val="0"/>
          <w:i/>
          <w:sz w:val="19"/>
        </w:rPr>
        <w:t>HÌNH 8.2</w:t>
      </w:r>
    </w:p>
    <w:p>
      <w:pPr>
        <w:spacing w:after="80"/>
        <w:ind w:left="360"/>
      </w:pPr>
      <w:r>
        <w:t xml:space="preserve">3. </w:t>
      </w:r>
      <w:r>
        <w:rPr>
          <w:b/>
          <w:i w:val="0"/>
        </w:rPr>
        <w:t>Sửa mô hình vận hành để cho phép triển khai do kinh doanh dẫn dắt.</w:t>
      </w:r>
      <w:r>
        <w:rPr>
          <w:b w:val="0"/>
          <w:i w:val="0"/>
        </w:rPr>
        <w:t xml:space="preserve"> Dù đầu tư bao nhiêu vào việc nâng cao kỹ năng cũng không thể khắc phục được một mô hình vận hành kém hiệu quả. Ví dụ, nhân tài kỹ thuật cần được nhúng vào các đội nhóm làm việc dưới sự lãnh đạo của chủ sở hữu lĩnh vực. Mô hình tài trợ phải chuyển sang cái được gọi là “tài trợ bền vững” (persistent funding), nơi một hạn mức chi tiêu được phân bổ cho một lộ trình (thay vì từng dự án riêng lẻ), trao cho các nhà lãnh đạo sự linh hoạt trong việc tái phân bổ nguồn lực. Cuối cùng, quản lý hiệu suất và các cơ chế khuyến khích phải được gắn kết với những cải thiện KPI mà lộ trình chuyển đổi nhắm tới. Những chủ đề này được trình bày sâu rộng trong Phần Ba.</w:t>
      </w:r>
    </w:p>
    <w:p>
      <w:pPr>
        <w:jc w:val="center"/>
      </w:pPr>
      <w:r>
        <w:drawing>
          <wp:inline xmlns:a="http://schemas.openxmlformats.org/drawingml/2006/main" xmlns:pic="http://schemas.openxmlformats.org/drawingml/2006/picture">
            <wp:extent cx="1905000" cy="104775"/>
            <wp:docPr id="56" name="Picture 56"/>
            <wp:cNvGraphicFramePr>
              <a:graphicFrameLocks noChangeAspect="1"/>
            </wp:cNvGraphicFramePr>
            <a:graphic>
              <a:graphicData uri="http://schemas.openxmlformats.org/drawingml/2006/picture">
                <pic:pic>
                  <pic:nvPicPr>
                    <pic:cNvPr id="0" name="CHAPTEREND_RULE_violet.png"/>
                    <pic:cNvPicPr/>
                  </pic:nvPicPr>
                  <pic:blipFill>
                    <a:blip r:embed="rId49"/>
                    <a:stretch>
                      <a:fillRect/>
                    </a:stretch>
                  </pic:blipFill>
                  <pic:spPr>
                    <a:xfrm>
                      <a:off x="0" y="0"/>
                      <a:ext cx="1905000" cy="104775"/>
                    </a:xfrm>
                    <a:prstGeom prst="rect"/>
                  </pic:spPr>
                </pic:pic>
              </a:graphicData>
            </a:graphic>
          </wp:inline>
        </w:drawing>
      </w:r>
    </w:p>
    <w:p>
      <w:pPr>
        <w:spacing w:after="80"/>
      </w:pPr>
      <w:r>
        <w:rPr>
          <w:b w:val="0"/>
          <w:i w:val="0"/>
        </w:rPr>
        <w:t>Khi bạn đã xây dựng được một đội ngũ gồm những chủ sở hữu lĩnh vực có năng lực AI, công ty bạn sẽ có một lợi thế cạnh tranh thực sự. Đó là bởi vì những nhà lãnh đạo này rất khó để sao chép. Họ kết hợp chuyên môn sâu về lĩnh vực đặc thù cho doanh nghiệp của bạn, cùng với kiến thức về công nghệ, dữ liệu và AI khiến họ trở thành những người chuyển đổi doanh nghiệp đáng gờm.</w:t>
      </w:r>
    </w:p>
    <w:p>
      <w:pPr>
        <w:pStyle w:val="Heading2"/>
      </w:pPr>
      <w:r>
        <w:rPr>
          <w:rFonts w:ascii="Calibri" w:hAnsi="Calibri"/>
          <w:b/>
          <w:i w:val="0"/>
          <w:sz w:val="32"/>
        </w:rPr>
        <w:t>Lưu ý</w:t>
      </w:r>
    </w:p>
    <w:p>
      <w:pPr>
        <w:spacing w:after="80"/>
        <w:ind w:left="360"/>
      </w:pPr>
      <w:r>
        <w:t xml:space="preserve">1. </w:t>
      </w:r>
      <w:r>
        <w:rPr>
          <w:b w:val="0"/>
          <w:i w:val="0"/>
        </w:rPr>
        <w:t>1   Dana Maor, Eric Lamarre, và Kate Smaje, “Building the AI muscle of your business leaders,” McKinsey, December 1, 2025.</w:t>
      </w:r>
    </w:p>
    <w:p>
      <w:pPr>
        <w:pStyle w:val="Heading2"/>
      </w:pPr>
      <w:r>
        <w:rPr>
          <w:rFonts w:ascii="Calibri" w:hAnsi="Calibri"/>
          <w:b/>
          <w:i/>
          <w:sz w:val="32"/>
        </w:rPr>
        <w:t>“Những cầu thủ tầm trung muốn được để yên. Những cầu thủ giỏi muốn được huấn luyện. Những cầu thủ vĩ đại muốn được nói sự thật.”</w:t>
      </w:r>
    </w:p>
    <w:p>
      <w:pPr>
        <w:spacing w:after="80"/>
      </w:pPr>
      <w:r>
        <w:rPr>
          <w:b/>
          <w:i w:val="0"/>
        </w:rPr>
        <w:t>— Doc Rivers</w:t>
      </w:r>
    </w:p>
    <w:p>
      <w:pPr>
        <w:pStyle w:val="Heading1"/>
      </w:pPr>
      <w:r>
        <w:rPr>
          <w:rFonts w:ascii="Calibri" w:hAnsi="Calibri"/>
          <w:b/>
          <w:i w:val="0"/>
          <w:sz w:val="40"/>
        </w:rPr>
        <w:t>CHƯƠNG 9</w:t>
      </w:r>
      <w:r>
        <w:rPr>
          <w:rFonts w:ascii="Calibri" w:hAnsi="Calibri"/>
          <w:b/>
          <w:i w:val="0"/>
          <w:sz w:val="40"/>
        </w:rPr>
      </w:r>
      <w:r>
        <w:rPr>
          <w:rFonts w:ascii="Calibri" w:hAnsi="Calibri"/>
          <w:b/>
          <w:i w:val="0"/>
          <w:sz w:val="40"/>
        </w:rPr>
        <w:t>Cuộc ‘phẫu thuật’ lớn về nhân tài IT</w:t>
      </w:r>
    </w:p>
    <w:p>
      <w:pPr>
        <w:spacing w:after="80"/>
      </w:pPr>
      <w:r>
        <w:rPr>
          <w:b w:val="0"/>
          <w:i w:val="0"/>
        </w:rPr>
        <w:t>Một công ty dịch vụ tài chính chuyên biệt đã thiết kế một ứng dụng hỗ trợ bán hàng mới cho tổ chức bán hàng thực địa quy mô lớn của mình. Đơn vị kỹ thuật số của họ được giao nhiệm vụ phát triển trải nghiệm mới này. Cả nhóm vô cùng vui mừng khi thử nghiệm ban đầu thành công, nhưng rồi thực tế ập đến. Các vấn đề về sao chép dữ liệu và độ trễ đã khiến ứng dụng không thể mở rộng quy mô, và khởi đầu đầy hứa hẹn ấy đã lụi tàn.</w:t>
      </w:r>
    </w:p>
    <w:p>
      <w:pPr>
        <w:spacing w:after="80"/>
      </w:pPr>
      <w:r>
        <w:rPr>
          <w:b w:val="0"/>
          <w:i w:val="0"/>
        </w:rPr>
        <w:t>Vấn đề này chỉ là một trong nhiều vấn đề, khiến CEO và CIO phải đào sâu vào trình độ kỹ năng thực tế của các chuyên viên công nghệ của họ. Sử dụng HackerRank để kiểm tra kỹ năng của đơn vị kỹ thuật số gồm 100 người này, họ sửng sốt khi biết rằng chỉ 20% chuyên viên công nghệ đạt được điểm đạt yêu cầu.</w:t>
      </w:r>
    </w:p>
    <w:p>
      <w:pPr>
        <w:spacing w:after="80"/>
      </w:pPr>
      <w:r>
        <w:rPr>
          <w:b w:val="0"/>
          <w:i w:val="0"/>
        </w:rPr>
        <w:t>Nhóm làm việc trên ứng dụng không có kỹ năng để giải quyết các vấn đề về kiến trúc và kỹ thuật vốn cản trở việc mở rộng quy mô. Không lạ gì khi ứng dụng mới của họ thất bại. Khi xem xét kỹ hơn, họ cũng nhận thấy rằng một phần ba nguồn lực đến từ các nhà thầu, những người này cũng không thể hiện tốt hơn khi được kiểm tra. Đây là một vấn đề nghiêm trọng, và nó phổ biến hơn người ta tưởng.</w:t>
      </w:r>
    </w:p>
    <w:p>
      <w:pPr>
        <w:spacing w:after="80"/>
      </w:pPr>
      <w:r>
        <w:rPr>
          <w:b/>
          <w:i/>
        </w:rPr>
        <w:t>Nhiều CIO không nắm rõ được năng lực của tổ chức mình hay của các nhà cung cấp khi nói đến việc cung cấp công nghệ</w:t>
      </w:r>
      <w:r>
        <w:rPr>
          <w:b/>
          <w:i w:val="0"/>
        </w:rPr>
        <w:t>.</w:t>
      </w:r>
    </w:p>
    <w:p>
      <w:pPr>
        <w:spacing w:after="80"/>
      </w:pPr>
      <w:r>
        <w:rPr>
          <w:b w:val="0"/>
          <w:i w:val="0"/>
        </w:rPr>
        <w:t>Hãy xem xét một vấn đề nhân tài khác. Một công ty bảo hiểm toàn cầu có tham vọng táo bạo là trở thành công ty dẫn đầu về AI trong ngành, tập trung vào sự xuất sắc trong thẩm định bảo hiểm và xử lý xuyên suốt. Dù đạt được những thành công ở giai đoạn chứng minh khái niệm, họ vẫn chật vật để mở rộng quy mô vì tổ chức IT không thể cung cấp được nhân tài kỹ thuật mới cần thiết.</w:t>
      </w:r>
    </w:p>
    <w:p>
      <w:pPr>
        <w:spacing w:after="80"/>
      </w:pPr>
      <w:r>
        <w:rPr>
          <w:b w:val="0"/>
          <w:i w:val="0"/>
        </w:rPr>
        <w:t>CIO biết lý do. Tổ chức IT gồm 7.000 người của ông có tới 70% là thuê ngoài. Những nhóm này được gắn kết lỏng lẻo vào hoạt động kinh doanh, dẫn đến sự mất kết nối với nhu cầu kinh doanh và những chậm trễ đáng kể. Hơn nữa, chưa đến 15% lực lượng IT nội bộ của ông thực sự có thể phát triển phần mềm và ứng dụng AI. Phần còn lại chủ yếu là các nhà quản lý đủ loại. CIO có một tổ chức IT lớn, nhưng năng lực phát triển hiệu quả thì rất ít.</w:t>
      </w:r>
    </w:p>
    <w:p>
      <w:pPr>
        <w:spacing w:after="80"/>
      </w:pPr>
      <w:r>
        <w:rPr>
          <w:b w:val="0"/>
          <w:i w:val="0"/>
        </w:rPr>
        <w:t>Hai câu chuyện này đã khắc họa rõ nét những khó khăn trong việc chuyển đổi nhân tài IT. Đó là lý do chúng tôi gọi những thay đổi cần thiết là “phẫu thuật.” Với hầu hết các công ty, bạn không thể nâng cấp nhân tài IT của mình mà không mổ xẻ vào tận ruột gan của tổ chức để thực hiện những thay đổi cần thiết.</w:t>
      </w:r>
    </w:p>
    <w:p>
      <w:pPr>
        <w:spacing w:after="80"/>
      </w:pPr>
      <w:r>
        <w:rPr>
          <w:b/>
          <w:i/>
        </w:rPr>
        <w:t>Một trong những thách thức khó khăn nhất khi mở rộng quy mô chuyển đổi Công nghệ &amp; AI là chuyển đổi nhân tài trong IT</w:t>
      </w:r>
      <w:r>
        <w:rPr>
          <w:b/>
          <w:i w:val="0"/>
        </w:rPr>
        <w:t>.</w:t>
      </w:r>
    </w:p>
    <w:p>
      <w:pPr>
        <w:spacing w:after="80"/>
      </w:pPr>
      <w:r>
        <w:rPr>
          <w:b w:val="0"/>
          <w:i w:val="0"/>
        </w:rPr>
        <w:t>Trong nghiên cứu của chúng tôi thực hiện với những đơn vị chuyển đổi công nghệ và AI thành công, chúng tôi nhận thấy các CIO nhìn chung tuân theo điều mà chúng tôi đặt tên là “những dịch chuyển 30–70.” Những dịch chuyển này mô tả ba sự tái định hướng chiến lược trong cơ cấu nhân tài công nghệ của họ:</w:t>
      </w:r>
    </w:p>
    <w:p>
      <w:pPr>
        <w:spacing w:after="80"/>
        <w:ind w:left="360"/>
      </w:pPr>
      <w:r>
        <w:t xml:space="preserve">1. </w:t>
      </w:r>
      <w:r>
        <w:rPr>
          <w:b/>
          <w:i w:val="0"/>
        </w:rPr>
        <w:t>Từ thuê ngoài sang nội bộ.</w:t>
      </w:r>
      <w:r>
        <w:rPr>
          <w:b w:val="0"/>
          <w:i w:val="0"/>
        </w:rPr>
        <w:t xml:space="preserve"> Bạn không thể thuê ngoài để đạt được sự xuất sắc về Công nghệ &amp; AI. Các tổ chức IT truyền thống có 70% hoặc hơn nhân tài IT được thuê ngoài và 30% nội bộ. Trong các tổ chức được tái cấu trúc, những tỷ lệ này bị đảo ngược.</w:t>
        <w:br/>
        <w:t>Jamie Dimon tại JPMorgan Chase từ lâu đã ủng hộ quan điểm này: “Tôi không thích thuê ngoài trái tim, linh hồn và tủy sống của bạn. Tôi nghĩ nhiều công ty ‘thuê ngoài’ không hề biết mình đang làm gì.”</w:t>
        <w:br/>
        <w:t>Sự trỗi dậy của Công nghệ &amp; AI càng làm tăng thêm tính cấp bách để các công ty không ngừng gia tăng nhân tài công nghệ của mình, đặc biệt là trong các hệ thống then chốt đối với khả năng tạo sự khác biệt hoặc di chuyển nhanh của họ. Đồng thời, với sự ra đời của các giải pháp SaaS, các công ty đã có thể giảm bớt nhân tài cần thiết để hỗ trợ các hệ thống tiện ích cơ bản.</w:t>
        <w:br/>
        <w:br/>
        <w:br/>
        <w:br/>
        <w:br/>
        <w:t xml:space="preserve"> NGHIÊN CỨU TÌNH HUỐNG</w:t>
        <w:br/>
        <w:br/>
        <w:t>Câu chuyện của DBS Bank</w:t>
        <w:br/>
        <w:t>Khi DBS nhận ra mình muốn trở thành một tay chơi về Công nghệ &amp; AI, họ biết mình không thể đáng tin cậy trừ khi xây dựng được một đội ngũ nhân tài sâu rộng hơn nhiều. Ngân hàng đã đưa ra quyết định chiến lược then chốt là có 70% nhân tài công nghệ nội bộ (so với 20% trước đây).</w:t>
        <w:br/>
        <w:t>Họ chuyển sang những cách tìm kiếm nhân tài phi truyền thống, bao gồm các cuộc thi hackathon, và thiết lập một trung tâm kỹ thuật ở Ấn Độ có tên DBS Tech India. Quan trọng hơn, họ đưa ra quyết định rằng trung tâm này sẽ không chỉ là một “cửa hàng nhân tài giá rẻ” mà là mái nhà cho nhân tài công nghệ hàng đầu và một tổ chức kỹ thuật đẳng cấp thế giới. Họ đặt ra những tiêu chuẩn tuyển dụng cao và đầu tư xây dựng một khuôn viên hiện đại bậc nhất.</w:t>
        <w:br/>
        <w:t>DBS cũng tập trung đảm bảo rằng nhân tài nội bộ của họ luôn mạnh mẽ và phát triển thịnh vượng. Chẳng hạn, công ty cung cấp hơn 10.000 chương trình học tập và cơ hội để nhân viên làm nhiều công việc khác nhau trong ngân hàng nhằm xây dựng những con đường sự nghiệp phong phú hơn. Họ cũng nhấn mạnh việc học qua thực hành, bao gồm phát triển DBS x AWS DeepRacer League, nơi khoảng 3.000 nhân viên học các kỹ năng AI và ML để lập trình một chiếc xe tự lái.</w:t>
        <w:br/>
        <w:t>(Đọc toàn bộ nghiên cứu tình huống DBS trong Chương 39).</w:t>
        <w:br/>
        <w:br/>
        <w:br/>
        <w:br/>
        <w:br/>
        <w:br/>
        <w:br/>
        <w:br/>
        <w:br/>
        <w:br/>
        <w:t xml:space="preserve"> THEO LỜI CỦA HỌ</w:t>
        <w:br/>
        <w:br/>
        <w:t>Đưa nhân tài hàng đầu về nội bộ</w:t>
        <w:br/>
        <w:t>“Ngành này cạnh tranh khốc liệt đến mức bạn phải có nhân tài giỏi nhất. Không phải nói rằng người của chúng tôi không giỏi, nhưng nếu bạn chưa từng là một kỹ sư phần mềm làm loại phần mềm cần thiết, bạn sẽ không có thời gian để học. Đưa đúng nhân tài về, dù họ ở đâu, sẽ rất quan trọng.”</w:t>
        <w:br/>
        <w:br/>
      </w:r>
      <w:r>
        <w:rPr>
          <w:b/>
          <w:i/>
        </w:rPr>
        <w:t>— Mary Barra, CEO, General Motors</w:t>
      </w:r>
    </w:p>
    <w:p>
      <w:pPr>
        <w:jc w:val="center"/>
      </w:pPr>
      <w:r>
        <w:drawing>
          <wp:inline xmlns:a="http://schemas.openxmlformats.org/drawingml/2006/main" xmlns:pic="http://schemas.openxmlformats.org/drawingml/2006/picture">
            <wp:extent cx="457200" cy="447675"/>
            <wp:docPr id="57" name="Picture 57"/>
            <wp:cNvGraphicFramePr>
              <a:graphicFrameLocks noChangeAspect="1"/>
            </wp:cNvGraphicFramePr>
            <a:graphic>
              <a:graphicData uri="http://schemas.openxmlformats.org/drawingml/2006/picture">
                <pic:pic>
                  <pic:nvPicPr>
                    <pic:cNvPr id="0" name="CASE_STUDY_darkblue.png"/>
                    <pic:cNvPicPr/>
                  </pic:nvPicPr>
                  <pic:blipFill>
                    <a:blip r:embed="rId29"/>
                    <a:stretch>
                      <a:fillRect/>
                    </a:stretch>
                  </pic:blipFill>
                  <pic:spPr>
                    <a:xfrm>
                      <a:off x="0" y="0"/>
                      <a:ext cx="457200" cy="447675"/>
                    </a:xfrm>
                    <a:prstGeom prst="rect"/>
                  </pic:spPr>
                </pic:pic>
              </a:graphicData>
            </a:graphic>
          </wp:inline>
        </w:drawing>
      </w:r>
    </w:p>
    <w:p>
      <w:pPr>
        <w:jc w:val="center"/>
      </w:pPr>
      <w:r>
        <w:drawing>
          <wp:inline xmlns:a="http://schemas.openxmlformats.org/drawingml/2006/main" xmlns:pic="http://schemas.openxmlformats.org/drawingml/2006/picture">
            <wp:extent cx="457200" cy="447675"/>
            <wp:docPr id="58" name="Picture 58"/>
            <wp:cNvGraphicFramePr>
              <a:graphicFrameLocks noChangeAspect="1"/>
            </wp:cNvGraphicFramePr>
            <a:graphic>
              <a:graphicData uri="http://schemas.openxmlformats.org/drawingml/2006/picture">
                <pic:pic>
                  <pic:nvPicPr>
                    <pic:cNvPr id="0" name="IN_THEIR_WORDS_violet.png"/>
                    <pic:cNvPicPr/>
                  </pic:nvPicPr>
                  <pic:blipFill>
                    <a:blip r:embed="rId46"/>
                    <a:stretch>
                      <a:fillRect/>
                    </a:stretch>
                  </pic:blipFill>
                  <pic:spPr>
                    <a:xfrm>
                      <a:off x="0" y="0"/>
                      <a:ext cx="457200" cy="447675"/>
                    </a:xfrm>
                    <a:prstGeom prst="rect"/>
                  </pic:spPr>
                </pic:pic>
              </a:graphicData>
            </a:graphic>
          </wp:inline>
        </w:drawing>
      </w:r>
    </w:p>
    <w:p>
      <w:pPr>
        <w:spacing w:after="80"/>
        <w:ind w:left="360"/>
      </w:pPr>
      <w:r>
        <w:t xml:space="preserve">2. </w:t>
      </w:r>
      <w:r>
        <w:rPr>
          <w:b/>
          <w:i w:val="0"/>
        </w:rPr>
        <w:t>Từ quản lý sang kỹ sư.</w:t>
      </w:r>
      <w:r>
        <w:rPr>
          <w:b w:val="0"/>
          <w:i w:val="0"/>
        </w:rPr>
        <w:t xml:space="preserve"> Các tổ chức IT truyền thống có 70% hoặc hơn nguồn lực nội bộ nằm ở các vai trò quản lý và chưa đến 30% là những người trực tiếp xây dựng giải pháp hoặc nền tảng. Trong các tổ chức được tái cấu trúc (rewired), tỷ lệ này đảo ngược với sự tập trung đặc biệt vào các nhóm nhỏ gồm những nhân tài chất lượng cao.</w:t>
        <w:br/>
        <w:t>Sự thay đổi này phần lớn được thúc đẩy bởi cách làm việc linh hoạt (agile) và các thực hành phát triển phần mềm hiện đại, vốn đang làm phẳng các tổ chức.</w:t>
      </w:r>
    </w:p>
    <w:p>
      <w:pPr>
        <w:spacing w:after="80"/>
        <w:ind w:left="360"/>
      </w:pPr>
      <w:r>
        <w:t xml:space="preserve">3. </w:t>
      </w:r>
      <w:r>
        <w:rPr>
          <w:b/>
          <w:i w:val="0"/>
        </w:rPr>
        <w:t>Từ người mới sang người có năng lực.</w:t>
      </w:r>
      <w:r>
        <w:rPr>
          <w:b w:val="0"/>
          <w:i w:val="0"/>
        </w:rPr>
        <w:t xml:space="preserve"> Các tổ chức IT truyền thống có cấu trúc kim tự tháp dốc với nhiều người mới có chi phí thấp (thường chiếm 70% tổ chức) ở đáy và ít "người có năng lực" cùng chuyên gia hơn ở đỉnh kim tự tháp (thường khoảng 30% tổ chức). Trong các tổ chức được tái cấu trúc, tỷ lệ này đảo ngược. Lý do chính cho sự thay đổi này là các nhóm nhỏ, đa chức năng với những kỹ sư, nhà thiết kế và quản lý sản phẩm có năng lực cao luôn hoạt động hiệu quả hơn các nhóm lớn gồm người mới (ngay cả khi được quản lý bởi các chuyên gia).</w:t>
        <w:br/>
        <w:t>Sự phát triển này đang dẫn đến thay đổi từ cấu trúc kim tự tháp truyền thống sang cấu trúc giống hình viên kim cương hơn (Hình 9.1). Những thay đổi 30–70 không phải là quy tắc. Chúng là kết quả của ý định chiến lược nhằm sử dụng công nghệ và AI để thúc đẩy hiệu quả kinh doanh.</w:t>
      </w:r>
    </w:p>
    <w:p>
      <w:pPr>
        <w:jc w:val="center"/>
      </w:pPr>
      <w:r>
        <w:drawing>
          <wp:inline xmlns:a="http://schemas.openxmlformats.org/drawingml/2006/main" xmlns:pic="http://schemas.openxmlformats.org/drawingml/2006/picture">
            <wp:extent cx="5486400" cy="3779665"/>
            <wp:docPr id="59" name="Picture 59"/>
            <wp:cNvGraphicFramePr>
              <a:graphicFrameLocks noChangeAspect="1"/>
            </wp:cNvGraphicFramePr>
            <a:graphic>
              <a:graphicData uri="http://schemas.openxmlformats.org/drawingml/2006/picture">
                <pic:pic>
                  <pic:nvPicPr>
                    <pic:cNvPr id="0" name="c09ex001.png"/>
                    <pic:cNvPicPr/>
                  </pic:nvPicPr>
                  <pic:blipFill>
                    <a:blip r:embed="rId50"/>
                    <a:stretch>
                      <a:fillRect/>
                    </a:stretch>
                  </pic:blipFill>
                  <pic:spPr>
                    <a:xfrm>
                      <a:off x="0" y="0"/>
                      <a:ext cx="5486400" cy="3779665"/>
                    </a:xfrm>
                    <a:prstGeom prst="rect"/>
                  </pic:spPr>
                </pic:pic>
              </a:graphicData>
            </a:graphic>
          </wp:inline>
        </w:drawing>
      </w:r>
    </w:p>
    <w:p>
      <w:pPr>
        <w:spacing w:after="160"/>
        <w:jc w:val="center"/>
      </w:pPr>
      <w:r>
        <w:rPr>
          <w:rFonts w:ascii="Calibri" w:hAnsi="Calibri"/>
          <w:b w:val="0"/>
          <w:i/>
          <w:sz w:val="19"/>
        </w:rPr>
        <w:t>HÌNH 9.1</w:t>
      </w:r>
    </w:p>
    <w:p>
      <w:pPr>
        <w:pStyle w:val="Heading2"/>
      </w:pPr>
      <w:r>
        <w:rPr>
          <w:rFonts w:ascii="Calibri" w:hAnsi="Calibri"/>
          <w:b/>
          <w:i w:val="0"/>
          <w:sz w:val="32"/>
        </w:rPr>
        <w:t>Agentic AI có thể tác động như thế nào đến động lực của việc tự làm (insourcing) và thuê ngoài (outsourcing)</w:t>
      </w:r>
    </w:p>
    <w:p>
      <w:pPr>
        <w:spacing w:after="80"/>
      </w:pPr>
      <w:r>
        <w:rPr>
          <w:b w:val="0"/>
          <w:i w:val="0"/>
        </w:rPr>
        <w:t>Đối với các hệ thống tạo khác biệt và có tốc độ cao, agentic AI càng nghiêng cán cân về phía tự làm. Các AI agent (và AI nói chung) đòi hỏi quyền truy cập dữ liệu, tinh chỉnh liên tục, vòng phản hồi nhanh và tích hợp chặt chẽ với doanh nghiệp—những yếu tố này rất khó thuê ngoài hiệu quả. Hơn nữa, các hệ thống agentic sẽ cho phép các nhóm nội bộ di chuyển nhanh hơn và lặp lại nhiều hơn, điều mà bạn sẽ không thể tận dụng được nếu thuê ngoài năng lực agentic này.</w:t>
      </w:r>
    </w:p>
    <w:p>
      <w:pPr>
        <w:spacing w:after="80"/>
      </w:pPr>
      <w:r>
        <w:rPr>
          <w:b w:val="0"/>
          <w:i w:val="0"/>
        </w:rPr>
        <w:t>Đối với các hệ thống tiện ích, AI agent đang tự động hóa nhiều tác vụ mà trước đây là ứng viên cho việc thuê ngoài với chi phí thấp hơn (như nhập dữ liệu, công việc back-office cơ bản và dịch vụ khách hàng theo kịch bản). Điều này đang khiến việc thực hiện các tác vụ này nội bộ ngày càng hiệu quả về chi phí hơn. Mặt khác, các nhà cung cấp dịch vụ công nghệ cũng đang chạy đua để xây dựng các dịch vụ được tăng cường AI của riêng họ, giúp khách hàng dễ dàng tận dụng tự động hóa agentic hơn.</w:t>
      </w:r>
    </w:p>
    <w:p>
      <w:pPr>
        <w:spacing w:after="80"/>
      </w:pPr>
      <w:r>
        <w:rPr>
          <w:b w:val="0"/>
          <w:i w:val="0"/>
        </w:rPr>
        <w:t>Tỷ lệ chi phí–lợi ích cho các dịch vụ này sẽ tiếp tục thay đổi, với áp lực giá cả có thể buộc các nhà cung cấp phải chuyển mô hình hợp đồng từ giờ công lao động sang kết quả "AI + con người".</w:t>
      </w:r>
    </w:p>
    <w:p>
      <w:pPr>
        <w:pStyle w:val="Heading2"/>
      </w:pPr>
      <w:r>
        <w:rPr>
          <w:rFonts w:ascii="Calibri" w:hAnsi="Calibri"/>
          <w:b/>
          <w:i w:val="0"/>
          <w:sz w:val="32"/>
        </w:rPr>
        <w:t>Sự trỗi dậy của nhóm một chiếc pizza</w:t>
      </w:r>
    </w:p>
    <w:p>
      <w:pPr>
        <w:spacing w:after="80"/>
      </w:pPr>
      <w:r>
        <w:rPr>
          <w:b w:val="0"/>
          <w:i w:val="0"/>
        </w:rPr>
        <w:t>Với nhận thức rằng các nhóm nhỏ hơn thì tốt hơn và nhanh hơn, nhóm hai chiếc pizza (two-pizza team) ra đời. Được phổ biến bởi Jeff Bezos khi ông khởi nghiệp Amazon, khái niệm này cho rằng bất kỳ nhóm nào cũng nên đủ nhỏ để được nuôi bằng hai chiếc pizza lớn, đảm bảo sự cộng tác chặt chẽ mà không bị cản trở bởi quan liêu.</w:t>
      </w:r>
    </w:p>
    <w:p>
      <w:pPr>
        <w:spacing w:after="80"/>
      </w:pPr>
      <w:r>
        <w:rPr>
          <w:b w:val="0"/>
          <w:i w:val="0"/>
        </w:rPr>
        <w:t>GenAI và tự động hóa phát triển phần mềm đang tiếp tục tăng tốc sự dịch chuyển cấu trúc này (và chúng ta sẽ thảo luận kỹ ở Chương 20). Nhiều hoạt động kỹ thuật mang tính lặp lại hoặc ở cấp đầu vào—viết code boilerplate, làm sạch dữ liệu, kiểm thử, viết tài liệu—giờ đây ngày càng được xử lý bởi các AI copilot hoặc quy trình tự động hóa.</w:t>
      </w:r>
    </w:p>
    <w:p>
      <w:pPr>
        <w:spacing w:after="80"/>
      </w:pPr>
      <w:r>
        <w:rPr>
          <w:b w:val="0"/>
          <w:i w:val="0"/>
        </w:rPr>
        <w:t>Và thế là kỷ nguyên nhóm một chiếc pizza đã đến—những nhóm nhỏ, siêu năng suất được tăng cường bởi AI agent để xử lý việc viết code, phân tích, thiết kế và tài liệu (Hình 9.2). Với các nhóm chuyên gia-agent kết hợp nhỏ hơn, một vài chuyên gia có thể đạt được những gì mà trước đây cần cả một phòng ban. Thực tế này sẽ tăng tốc và làm sắc nét sự dịch chuyển từ cấu trúc tổ chức kim tự tháp sang hình viên kim cương.</w:t>
      </w:r>
    </w:p>
    <w:p>
      <w:pPr>
        <w:jc w:val="center"/>
      </w:pPr>
      <w:r>
        <w:drawing>
          <wp:inline xmlns:a="http://schemas.openxmlformats.org/drawingml/2006/main" xmlns:pic="http://schemas.openxmlformats.org/drawingml/2006/picture">
            <wp:extent cx="5486400" cy="5548858"/>
            <wp:docPr id="60" name="Picture 60"/>
            <wp:cNvGraphicFramePr>
              <a:graphicFrameLocks noChangeAspect="1"/>
            </wp:cNvGraphicFramePr>
            <a:graphic>
              <a:graphicData uri="http://schemas.openxmlformats.org/drawingml/2006/picture">
                <pic:pic>
                  <pic:nvPicPr>
                    <pic:cNvPr id="0" name="c09ex002.png"/>
                    <pic:cNvPicPr/>
                  </pic:nvPicPr>
                  <pic:blipFill>
                    <a:blip r:embed="rId51"/>
                    <a:stretch>
                      <a:fillRect/>
                    </a:stretch>
                  </pic:blipFill>
                  <pic:spPr>
                    <a:xfrm>
                      <a:off x="0" y="0"/>
                      <a:ext cx="5486400" cy="5548858"/>
                    </a:xfrm>
                    <a:prstGeom prst="rect"/>
                  </pic:spPr>
                </pic:pic>
              </a:graphicData>
            </a:graphic>
          </wp:inline>
        </w:drawing>
      </w:r>
    </w:p>
    <w:p>
      <w:pPr>
        <w:spacing w:after="160"/>
        <w:jc w:val="center"/>
      </w:pPr>
      <w:r>
        <w:rPr>
          <w:rFonts w:ascii="Calibri" w:hAnsi="Calibri"/>
          <w:b w:val="0"/>
          <w:i/>
          <w:sz w:val="19"/>
        </w:rPr>
        <w:t>HÌNH 9.2</w:t>
      </w:r>
    </w:p>
    <w:p>
      <w:pPr>
        <w:spacing w:after="80"/>
      </w:pPr>
      <w:r>
        <w:rPr>
          <w:b w:val="0"/>
          <w:i w:val="0"/>
        </w:rPr>
        <w:t>Tính đến thời điểm viết cuốn sách này, chúng ta vẫn đang trong quá trình chuyển đổi để các nhóm "một chiếc rưỡi" pizza trở nên phổ biến hơn tại các công ty hàng đầu, trong khi các nhóm một chiếc pizza thực sự vẫn được dùng mang tính thử nghiệm. Khi các công ty đi qua giai đoạn chuyển đổi này, họ cần phải suy nghĩ thấu đáo và thực dụng. Ngay cả khi có thể cần ít chuyên gia công nghệ cấp đầu vào hơn trong tương lai, thì hiện tại họ vẫn cần.</w:t>
      </w:r>
    </w:p>
    <w:p>
      <w:pPr>
        <w:spacing w:after="80"/>
      </w:pPr>
      <w:r>
        <w:rPr>
          <w:b w:val="0"/>
          <w:i w:val="0"/>
        </w:rPr>
        <w:t>Việc điều hướng giai đoạn chuyển đổi này sẽ đòi hỏi ban lãnh đạo phải quản lý một nỗ lực hai tốc độ, một tập trung vào ngắn hạn và một vào trung hạn.</w:t>
      </w:r>
    </w:p>
    <w:p>
      <w:pPr>
        <w:spacing w:after="80"/>
      </w:pPr>
      <w:r>
        <w:rPr>
          <w:b/>
          <w:i w:val="0"/>
        </w:rPr>
        <w:t>Ngắn hạn:</w:t>
      </w:r>
      <w:r>
        <w:rPr>
          <w:b w:val="0"/>
          <w:i w:val="0"/>
        </w:rPr>
        <w:t xml:space="preserve"> Kinh nghiệm của chúng tôi nhấn mạnh quan điểm rằng trong bất kỳ kịch bản nào, nhu cầu về các kỹ sư có năng lực và chuyên gia vẫn sẽ tiếp tục cao. Vì vậy, trong ngắn hạn, hãy phát triển đội ngũ kỹ sư có năng lực của bạn và đừng tuyển quá nhiều cho các vai trò cấp đầu vào.</w:t>
      </w:r>
    </w:p>
    <w:p>
      <w:pPr>
        <w:spacing w:after="80"/>
      </w:pPr>
      <w:r>
        <w:rPr>
          <w:b/>
          <w:i w:val="0"/>
        </w:rPr>
        <w:t>Trung hạn:</w:t>
      </w:r>
      <w:r>
        <w:rPr>
          <w:b w:val="0"/>
          <w:i w:val="0"/>
        </w:rPr>
        <w:t xml:space="preserve"> Mặc dù khung thời gian cho các hệ thống agentic sẽ khác nhau, các CIO có tầm nhìn xa phải bắt đầu định hình lại nền tảng nhân tài của họ ngay bây giờ.</w:t>
      </w:r>
    </w:p>
    <w:p>
      <w:pPr>
        <w:spacing w:after="80"/>
      </w:pPr>
      <w:r>
        <w:rPr>
          <w:b w:val="0"/>
          <w:i w:val="0"/>
        </w:rPr>
        <w:t>Hãy xem xét những điều sau:</w:t>
      </w:r>
    </w:p>
    <w:p>
      <w:pPr>
        <w:spacing w:after="80"/>
        <w:ind w:left="360"/>
      </w:pPr>
      <w:r>
        <w:t xml:space="preserve">• </w:t>
      </w:r>
      <w:r>
        <w:rPr>
          <w:b w:val="0"/>
          <w:i w:val="0"/>
        </w:rPr>
        <w:t>Tạo một lộ trình học nghề AI nội bộ để chuyển đổi các kỹ sư tầm trung vững vàng thành “kỹ sư tác tử” (agentic engineers) bằng cách phân công họ vào các dự án tự động hóa.</w:t>
      </w:r>
    </w:p>
    <w:p>
      <w:pPr>
        <w:spacing w:after="80"/>
        <w:ind w:left="360"/>
      </w:pPr>
      <w:r>
        <w:t xml:space="preserve">• </w:t>
      </w:r>
      <w:r>
        <w:rPr>
          <w:b w:val="0"/>
          <w:i w:val="0"/>
        </w:rPr>
        <w:t>Vẽ bản đồ các kỹ năng sẽ mất đi tính liên quan (kiểm thử thủ công, viết tài liệu mã nguồn, thực thi runbook) và những kỹ năng sẽ bùng nổ (prompt engineering, thiết kế hệ thống cho tính tự chủ, đo lường dữ liệu).</w:t>
      </w:r>
    </w:p>
    <w:p>
      <w:pPr>
        <w:spacing w:after="80"/>
        <w:ind w:left="360"/>
      </w:pPr>
      <w:r>
        <w:t xml:space="preserve">• </w:t>
      </w:r>
      <w:r>
        <w:rPr>
          <w:b w:val="0"/>
          <w:i w:val="0"/>
        </w:rPr>
        <w:t>Xây dựng năng lực nội bộ xoay quanh đạo đức AI, nguồn gốc dữ liệu (data lineage) và triển khai an toàn—những điều này sẽ trở nên thiết yếu cho sự thăng tiến nghề nghiệp giống như việc lập trình từng là như vậy.</w:t>
      </w:r>
    </w:p>
    <w:p>
      <w:pPr>
        <w:spacing w:after="80"/>
        <w:ind w:left="360"/>
      </w:pPr>
      <w:r>
        <w:t xml:space="preserve">• </w:t>
      </w:r>
      <w:r>
        <w:rPr>
          <w:b w:val="0"/>
          <w:i w:val="0"/>
        </w:rPr>
        <w:t>Bắt đầu cải tiến quản lý hiệu suất để phản ánh cách con người và đội nhóm tạo ra đòn bẩy bằng việc điều phối các công cụ AI và tác tử, chứ không chỉ thông qua sản lượng trực tiếp.</w:t>
      </w:r>
    </w:p>
    <w:p>
      <w:pPr>
        <w:spacing w:after="80"/>
      </w:pPr>
      <w:r>
        <w:rPr>
          <w:b w:val="0"/>
          <w:i w:val="0"/>
        </w:rPr>
        <w:t>Các xu hướng và phát triển mà chúng tôi đã trình bày đến đây trong chương này sẽ cho bạn một hướng đi. Giờ là lúc tìm ra cách để đến đó bằng việc cụ thể hóa điều này cho công ty của bạn.</w:t>
      </w:r>
    </w:p>
    <w:p>
      <w:pPr>
        <w:spacing w:after="80"/>
      </w:pPr>
      <w:r>
        <w:rPr>
          <w:b w:val="0"/>
          <w:i w:val="0"/>
        </w:rPr>
        <w:t>Trước khi bạn bước vào hoạch định nhân tài, điều mà chúng tôi sẽ đề cập tiếp theo, bạn nên suy nghĩ thấu đáo một vài điều:</w:t>
      </w:r>
    </w:p>
    <w:p>
      <w:pPr>
        <w:spacing w:after="80"/>
        <w:ind w:left="360"/>
      </w:pPr>
      <w:r>
        <w:t xml:space="preserve">1. </w:t>
      </w:r>
      <w:r>
        <w:rPr>
          <w:b w:val="0"/>
          <w:i w:val="0"/>
        </w:rPr>
        <w:t>Xác định hệ thống nào là cốt lõi đối với khả năng cạnh tranh vượt trội của bạn (hoặc thông qua việc mang lại lợi thế khác biệt, hoặc thông qua khả năng di chuyển nhanh hơn các đối thủ cùng ngành), và hệ thống nào chỉ là tiện ích. Điều này sẽ cho bạn cảm nhận về nơi cần tập trung nỗ lực nhân tài.</w:t>
      </w:r>
    </w:p>
    <w:p>
      <w:pPr>
        <w:spacing w:after="80"/>
        <w:ind w:left="360"/>
      </w:pPr>
      <w:r>
        <w:t xml:space="preserve">2. </w:t>
      </w:r>
      <w:r>
        <w:rPr>
          <w:b w:val="0"/>
          <w:i w:val="0"/>
        </w:rPr>
        <w:t>Xác định bạn đang ở đâu trong quá trình chuyển đổi từ cơ cấu tổ chức hình kim tự tháp sang hình kim cương. Điều này sẽ giúp bạn có cái nhìn về nhu cầu cơ cấu nhân tài của mình.</w:t>
      </w:r>
    </w:p>
    <w:p>
      <w:pPr>
        <w:spacing w:after="80"/>
        <w:ind w:left="360"/>
      </w:pPr>
      <w:r>
        <w:t xml:space="preserve">3. </w:t>
      </w:r>
      <w:r>
        <w:rPr>
          <w:b w:val="0"/>
          <w:i w:val="0"/>
        </w:rPr>
        <w:t>Ước tính bạn sẽ tiến hóa đến mô hình “đội một chiếc pizza” (one-pizza team) xa và nhanh đến mức nào trong 1–3 năm tới. Điều này sẽ giúp bạn hiểu cách phát triển kế hoạch tuyển dụng và bố trí nhân sự.</w:t>
      </w:r>
    </w:p>
    <w:p>
      <w:pPr>
        <w:pStyle w:val="Heading2"/>
      </w:pPr>
      <w:r>
        <w:rPr>
          <w:rFonts w:ascii="Calibri" w:hAnsi="Calibri"/>
          <w:b/>
          <w:i w:val="0"/>
          <w:sz w:val="32"/>
        </w:rPr>
        <w:t>Hiểu rõ nhân tài bạn đang có và nhân tài bạn cần</w:t>
      </w:r>
    </w:p>
    <w:p>
      <w:pPr>
        <w:spacing w:after="80"/>
      </w:pPr>
      <w:r>
        <w:rPr>
          <w:b w:val="0"/>
          <w:i w:val="0"/>
        </w:rPr>
        <w:t>Hoạch định lực lượng lao động là quá trình kiểm kê nhân tài bạn đang có và đối chiếu với nhân tài bạn cần để thực hiện các ưu tiên kinh doanh. Đây là một nhiệm vụ khó hơn nhiều so với vẻ ngoài ban đầu và nó ngày càng khó hơn khi agentic AI tác động đến công việc mà con người làm.</w:t>
      </w:r>
    </w:p>
    <w:p>
      <w:pPr>
        <w:spacing w:after="80"/>
      </w:pPr>
      <w:r>
        <w:rPr>
          <w:b w:val="0"/>
          <w:i w:val="0"/>
        </w:rPr>
        <w:t>Ở mức cơ bản nhất, nhiều tổ chức không có cách nào đáng tin cậy để xác định chính xác sự khác biệt về trình độ kỹ năng giữa các nhân sự của mình, đặc biệt là các chuyên gia công nghệ. Chạy một truy vấn trên hệ thống HR hầu như chẳng mang lại cho bạn điều gì hữu ích về mặt này.</w:t>
      </w:r>
    </w:p>
    <w:p>
      <w:pPr>
        <w:spacing w:after="80"/>
      </w:pPr>
      <w:r>
        <w:rPr>
          <w:b w:val="0"/>
          <w:i w:val="0"/>
        </w:rPr>
        <w:t>Một điểm khởi đầu tốt là xây dựng một hệ thống phân loại kỹ năng (skills taxonomy) rõ ràng, rồi dùng nó để vẽ bản đồ tất cả các kỹ năng con người hiện có trong doanh nghiệp và những kỹ năng cần thiết để đạt được mục tiêu của bạn (Exhibit 9.3). Khi hoạch định những năng lực bạn cần, biết ai đó là kỹ sư suy luận GenAI (GenAI inference engineer), chẳng hạn, hữu ích hơn nhiều so với chỉ biết ai đó là kỹ sư phần mềm.</w:t>
      </w:r>
    </w:p>
    <w:p>
      <w:pPr>
        <w:jc w:val="center"/>
      </w:pPr>
      <w:r>
        <w:drawing>
          <wp:inline xmlns:a="http://schemas.openxmlformats.org/drawingml/2006/main" xmlns:pic="http://schemas.openxmlformats.org/drawingml/2006/picture">
            <wp:extent cx="5486400" cy="6715874"/>
            <wp:docPr id="61" name="Picture 61"/>
            <wp:cNvGraphicFramePr>
              <a:graphicFrameLocks noChangeAspect="1"/>
            </wp:cNvGraphicFramePr>
            <a:graphic>
              <a:graphicData uri="http://schemas.openxmlformats.org/drawingml/2006/picture">
                <pic:pic>
                  <pic:nvPicPr>
                    <pic:cNvPr id="0" name="c09ex003.png"/>
                    <pic:cNvPicPr/>
                  </pic:nvPicPr>
                  <pic:blipFill>
                    <a:blip r:embed="rId52"/>
                    <a:stretch>
                      <a:fillRect/>
                    </a:stretch>
                  </pic:blipFill>
                  <pic:spPr>
                    <a:xfrm>
                      <a:off x="0" y="0"/>
                      <a:ext cx="5486400" cy="6715874"/>
                    </a:xfrm>
                    <a:prstGeom prst="rect"/>
                  </pic:spPr>
                </pic:pic>
              </a:graphicData>
            </a:graphic>
          </wp:inline>
        </w:drawing>
      </w:r>
    </w:p>
    <w:p>
      <w:pPr>
        <w:spacing w:after="160"/>
        <w:jc w:val="center"/>
      </w:pPr>
      <w:r>
        <w:rPr>
          <w:rFonts w:ascii="Calibri" w:hAnsi="Calibri"/>
          <w:b w:val="0"/>
          <w:i/>
          <w:sz w:val="19"/>
        </w:rPr>
        <w:t>EXHIBIT 9.3</w:t>
      </w:r>
    </w:p>
    <w:p>
      <w:pPr>
        <w:spacing w:after="80"/>
      </w:pPr>
      <w:r>
        <w:rPr>
          <w:b w:val="0"/>
          <w:i w:val="0"/>
        </w:rPr>
        <w:t>Tiếp theo, xây dựng dựa trên bài tập vẽ bản đồ kỹ năng để xác định các mức độ kỹ năng. Bốn cách tiếp cận hữu ích để đánh giá mức độ thành thạo kỹ năng:</w:t>
      </w:r>
    </w:p>
    <w:p>
      <w:pPr>
        <w:spacing w:after="80"/>
        <w:ind w:left="360"/>
      </w:pPr>
      <w:r>
        <w:t xml:space="preserve">1. </w:t>
      </w:r>
      <w:r>
        <w:rPr>
          <w:b/>
          <w:i w:val="0"/>
        </w:rPr>
        <w:t>Đánh giá của quản lý.</w:t>
      </w:r>
      <w:r>
        <w:rPr>
          <w:b w:val="0"/>
          <w:i w:val="0"/>
        </w:rPr>
        <w:t xml:space="preserve"> Cách tiếp cận này tuy có thể mang tính chủ quan, nhưng nó giúp phân loại nhanh nhân tài hiện có theo một hệ thống phân loại kỹ năng (skill taxonomy) và nắm được mức độ chuyên môn dựa trên các hành vi quan sát được của nhân viên thông qua quản lý.</w:t>
      </w:r>
    </w:p>
    <w:p>
      <w:pPr>
        <w:spacing w:after="80"/>
        <w:ind w:left="360"/>
      </w:pPr>
      <w:r>
        <w:t xml:space="preserve">2. </w:t>
      </w:r>
      <w:r>
        <w:rPr>
          <w:b/>
          <w:i w:val="0"/>
        </w:rPr>
        <w:t>Tự đánh giá của cá nhân.</w:t>
      </w:r>
      <w:r>
        <w:rPr>
          <w:b w:val="0"/>
          <w:i w:val="0"/>
        </w:rPr>
        <w:t xml:space="preserve"> Một khảo sát kỹ năng rất hữu ích để có được đánh giá chuyên sâu trên toàn bộ lực lượng lao động IT. Có sẵn các công cụ của bên thứ ba để làm việc này, và chúng tương đối dễ triển khai. Tuy nhiên, kỹ thuật này vẫn mắc phải thiên kiến tự đánh giá vốn có.</w:t>
      </w:r>
    </w:p>
    <w:p>
      <w:pPr>
        <w:spacing w:after="80"/>
        <w:ind w:left="360"/>
      </w:pPr>
      <w:r>
        <w:t xml:space="preserve">3. </w:t>
      </w:r>
      <w:r>
        <w:rPr>
          <w:b/>
          <w:i w:val="0"/>
        </w:rPr>
        <w:t>Kiểm tra trực tuyến.</w:t>
      </w:r>
      <w:r>
        <w:rPr>
          <w:b w:val="0"/>
          <w:i w:val="0"/>
        </w:rPr>
        <w:t xml:space="preserve"> Các bài kiểm tra cho đến nay là chính xác nhất trong việc đánh giá kỹ năng kỹ thuật, nhưng chúng có thể gây gián đoạn cho tổ chức và tạo ra sự lo lắng. Bên thứ ba cung cấp các bài kiểm tra viết code trực tuyến.</w:t>
      </w:r>
    </w:p>
    <w:p>
      <w:pPr>
        <w:spacing w:after="80"/>
        <w:ind w:left="360"/>
      </w:pPr>
      <w:r>
        <w:t xml:space="preserve">4. </w:t>
      </w:r>
      <w:r>
        <w:rPr>
          <w:b/>
          <w:i w:val="0"/>
        </w:rPr>
        <w:t>Phỏng vấn kỹ thuật.</w:t>
      </w:r>
      <w:r>
        <w:rPr>
          <w:b w:val="0"/>
          <w:i w:val="0"/>
        </w:rPr>
        <w:t xml:space="preserve"> Những kiểu đánh giá này tốn nhiều công sức và thường chỉ được thực hiện cho các vai trò then chốt. Để hiệu quả, những cuộc phỏng vấn này phải được thực hiện bởi các chuyên gia công nghệ cấp cao, những người đã đạt được mức thông thạo kỹ năng trong lĩnh vực cụ thể đang được đánh giá.</w:t>
      </w:r>
    </w:p>
    <w:p>
      <w:pPr>
        <w:spacing w:after="80"/>
      </w:pPr>
      <w:r>
        <w:rPr>
          <w:b w:val="0"/>
          <w:i w:val="0"/>
        </w:rPr>
        <w:t>Hãy cùng xem cách tiếp cận này mang lại kết quả gì cho một công ty bảo hiểm toàn cầu (Hình 9.4). Công ty này đã chọn phương án khảo sát tự đánh giá đối với lực lượng lao động IT nội bộ hơn 3.000 người của mình. Nhân viên tự đánh giá bản thân dựa trên một bảng kỹ năng được phân theo cấp độ.</w:t>
      </w:r>
    </w:p>
    <w:p>
      <w:pPr>
        <w:spacing w:after="80"/>
      </w:pPr>
      <w:r>
        <w:rPr>
          <w:b w:val="0"/>
          <w:i w:val="0"/>
        </w:rPr>
        <w:t>Công ty đã dự báo nhu cầu nhân tài trong tương lai dựa trên việc đánh giá xem những hệ thống hay nền tảng công nghệ nào là mang tính chiến lược và do đó cần được bố trí nguồn lực nội bộ, cùng với việc ước tính nhu cầu nguồn lực cho các lộ trình công nghệ và AI của họ.</w:t>
      </w:r>
    </w:p>
    <w:p>
      <w:pPr>
        <w:jc w:val="center"/>
      </w:pPr>
      <w:r>
        <w:drawing>
          <wp:inline xmlns:a="http://schemas.openxmlformats.org/drawingml/2006/main" xmlns:pic="http://schemas.openxmlformats.org/drawingml/2006/picture">
            <wp:extent cx="5486400" cy="7073346"/>
            <wp:docPr id="62" name="Picture 62"/>
            <wp:cNvGraphicFramePr>
              <a:graphicFrameLocks noChangeAspect="1"/>
            </wp:cNvGraphicFramePr>
            <a:graphic>
              <a:graphicData uri="http://schemas.openxmlformats.org/drawingml/2006/picture">
                <pic:pic>
                  <pic:nvPicPr>
                    <pic:cNvPr id="0" name="c09ex004.png"/>
                    <pic:cNvPicPr/>
                  </pic:nvPicPr>
                  <pic:blipFill>
                    <a:blip r:embed="rId53"/>
                    <a:stretch>
                      <a:fillRect/>
                    </a:stretch>
                  </pic:blipFill>
                  <pic:spPr>
                    <a:xfrm>
                      <a:off x="0" y="0"/>
                      <a:ext cx="5486400" cy="7073346"/>
                    </a:xfrm>
                    <a:prstGeom prst="rect"/>
                  </pic:spPr>
                </pic:pic>
              </a:graphicData>
            </a:graphic>
          </wp:inline>
        </w:drawing>
      </w:r>
    </w:p>
    <w:p>
      <w:pPr>
        <w:spacing w:after="160"/>
        <w:jc w:val="center"/>
      </w:pPr>
      <w:r>
        <w:rPr>
          <w:rFonts w:ascii="Calibri" w:hAnsi="Calibri"/>
          <w:b w:val="0"/>
          <w:i/>
          <w:sz w:val="19"/>
        </w:rPr>
        <w:t>HÌNH 9.4</w:t>
      </w:r>
    </w:p>
    <w:p>
      <w:pPr>
        <w:spacing w:after="80"/>
      </w:pPr>
      <w:r>
        <w:rPr>
          <w:b w:val="0"/>
          <w:i w:val="0"/>
        </w:rPr>
        <w:t>Bài tập hoạch định nhân tài này đã hé lộ nhu cầu về ba thay đổi chiến lược đối với CIO và đội ngũ lãnh đạo cấp cao:</w:t>
      </w:r>
    </w:p>
    <w:p>
      <w:pPr>
        <w:spacing w:after="80"/>
        <w:ind w:left="360"/>
      </w:pPr>
      <w:r>
        <w:t xml:space="preserve">1. </w:t>
      </w:r>
      <w:r>
        <w:rPr>
          <w:b/>
          <w:i w:val="0"/>
        </w:rPr>
        <w:t>Thay đổi cơ cấu nhân tài công nghệ từ khoảng 40% nội bộ lên 70%.</w:t>
      </w:r>
      <w:r>
        <w:rPr>
          <w:b w:val="0"/>
          <w:i w:val="0"/>
        </w:rPr>
        <w:t xml:space="preserve"> Đó là một thay đổi cực kỳ lớn. Đây không chỉ là một nước đi chiến lược khôn ngoan, mà còn mang lại tiết kiệm (giả định không thay đổi về phạm vi địa lý) và cải thiện đáng kể năng suất nhờ có đội ngũ công nghệ nội bộ hiểu rõ bối cảnh của công ty bảo hiểm này. Dù khó định lượng, nhưng sự gia tăng tốc độ phát triển là hoàn toàn có thật.</w:t>
      </w:r>
    </w:p>
    <w:p>
      <w:pPr>
        <w:spacing w:after="80"/>
        <w:ind w:left="360"/>
      </w:pPr>
      <w:r>
        <w:t xml:space="preserve">2. </w:t>
      </w:r>
      <w:r>
        <w:rPr>
          <w:b/>
          <w:i w:val="0"/>
        </w:rPr>
        <w:t>Tuyển một số lượng lớn kỹ sư tích hợp (còn gọi là kỹ sư full-stack) và chuyên gia dữ liệu.</w:t>
      </w:r>
      <w:r>
        <w:rPr>
          <w:b w:val="0"/>
          <w:i w:val="0"/>
        </w:rPr>
        <w:t xml:space="preserve"> Song song với nỗ lực tuyển dụng này, họ đang cắt giảm nhân sự ở các nhóm kỹ năng vốn gắn với phát triển theo mô hình thác nước (waterfall) như quản lý chương trình và các vai trò quản lý. Về bản chất, họ muốn những đội nhỏ hơn gồm những người giỏi hơn có thể trực tiếp tạo ra code, và ít người quản lý, giám sát hơn. Họ kỳ vọng sự thay đổi này sẽ mang lại mức tăng 15% năng lực phát triển hiệu quả trong khi giảm 15% số lượng nhân sự. Điều này khả thi vì các phương pháp phát triển linh hoạt (agile) cho phép một tổ chức phẳng hơn và trao quyền nhiều hơn.</w:t>
      </w:r>
    </w:p>
    <w:p>
      <w:pPr>
        <w:spacing w:after="80"/>
        <w:ind w:left="360"/>
      </w:pPr>
      <w:r>
        <w:t xml:space="preserve">3. </w:t>
      </w:r>
      <w:r>
        <w:rPr>
          <w:b/>
          <w:i w:val="0"/>
        </w:rPr>
        <w:t>Nâng cấp kỹ năng cho nhân viên.</w:t>
      </w:r>
      <w:r>
        <w:rPr>
          <w:b w:val="0"/>
          <w:i w:val="0"/>
        </w:rPr>
        <w:t xml:space="preserve"> Phân tích của họ cho thấy mức độ năng lực của nhân viên hiện tại thấp hơn nhiều so với mức cần thiết. Ngay cả khi nhân tài này tốn kém hơn, năng suất của các kỹ sư ở mức năng lực đủ chuẩn vẫn cao hơn đáng kể so với phần chênh lệch về lương và sẽ dẫn đến tăng năng suất tổng thể.</w:t>
      </w:r>
    </w:p>
    <w:p>
      <w:pPr>
        <w:spacing w:after="80"/>
      </w:pPr>
      <w:r>
        <w:rPr>
          <w:b w:val="0"/>
          <w:i w:val="0"/>
        </w:rPr>
        <w:t>AI tạo sinh (generative AI) và AI tác tử (agentic AI) cuối cùng sẽ tác động đến những bài tập hoạch định này với những thay đổi lớn hơn theo hướng các vai trò có năng lực cao hơn và cơ cấu kỹ sư nghiêng về các kỹ sư tích hợp và full-stack.</w:t>
      </w:r>
    </w:p>
    <w:p>
      <w:pPr>
        <w:pStyle w:val="Heading2"/>
      </w:pPr>
      <w:r>
        <w:rPr>
          <w:rFonts w:ascii="Calibri" w:hAnsi="Calibri"/>
          <w:b/>
          <w:i w:val="0"/>
          <w:sz w:val="32"/>
        </w:rPr>
        <w:t>Thiết kế chiến lược địa điểm của bạn vì tốc độ, không chỉ vì chi phí</w:t>
      </w:r>
    </w:p>
    <w:p>
      <w:pPr>
        <w:spacing w:after="80"/>
      </w:pPr>
      <w:r>
        <w:rPr>
          <w:b w:val="0"/>
          <w:i w:val="0"/>
        </w:rPr>
        <w:t>Trong vài năm qua, logic về việc các đội công nghệ được đặt ở đâu và hoạt động như thế nào đã thay đổi một cách căn bản. Điều khởi đầu như một thử nghiệm làm việc từ xa do đại dịch thúc đẩy đã phát triển thành một lựa chọn thiết kế có chủ đích, cân bằng giữa khả năng tiếp cận nhân tài, tốc độ, sự cộng tác và văn hóa.</w:t>
      </w:r>
    </w:p>
    <w:p>
      <w:pPr>
        <w:spacing w:after="80"/>
      </w:pPr>
      <w:r>
        <w:rPr>
          <w:b w:val="0"/>
          <w:i w:val="0"/>
        </w:rPr>
        <w:t>Năm xu hướng lớn đã định hình các chiến lược địa điểm trong những năm gần đây (Hình 9.5).</w:t>
      </w:r>
    </w:p>
    <w:p>
      <w:pPr>
        <w:jc w:val="center"/>
      </w:pPr>
      <w:r>
        <w:drawing>
          <wp:inline xmlns:a="http://schemas.openxmlformats.org/drawingml/2006/main" xmlns:pic="http://schemas.openxmlformats.org/drawingml/2006/picture">
            <wp:extent cx="5486400" cy="5315740"/>
            <wp:docPr id="63" name="Picture 63"/>
            <wp:cNvGraphicFramePr>
              <a:graphicFrameLocks noChangeAspect="1"/>
            </wp:cNvGraphicFramePr>
            <a:graphic>
              <a:graphicData uri="http://schemas.openxmlformats.org/drawingml/2006/picture">
                <pic:pic>
                  <pic:nvPicPr>
                    <pic:cNvPr id="0" name="c09ex005.png"/>
                    <pic:cNvPicPr/>
                  </pic:nvPicPr>
                  <pic:blipFill>
                    <a:blip r:embed="rId54"/>
                    <a:stretch>
                      <a:fillRect/>
                    </a:stretch>
                  </pic:blipFill>
                  <pic:spPr>
                    <a:xfrm>
                      <a:off x="0" y="0"/>
                      <a:ext cx="5486400" cy="5315740"/>
                    </a:xfrm>
                    <a:prstGeom prst="rect"/>
                  </pic:spPr>
                </pic:pic>
              </a:graphicData>
            </a:graphic>
          </wp:inline>
        </w:drawing>
      </w:r>
    </w:p>
    <w:p>
      <w:pPr>
        <w:spacing w:after="160"/>
        <w:jc w:val="center"/>
      </w:pPr>
      <w:r>
        <w:rPr>
          <w:rFonts w:ascii="Calibri" w:hAnsi="Calibri"/>
          <w:b w:val="0"/>
          <w:i/>
          <w:sz w:val="19"/>
        </w:rPr>
        <w:t>HÌNH 9.5</w:t>
      </w:r>
    </w:p>
    <w:p>
      <w:pPr>
        <w:spacing w:after="80"/>
      </w:pPr>
      <w:r>
        <w:rPr>
          <w:b w:val="0"/>
          <w:i w:val="0"/>
        </w:rPr>
        <w:t>Các doanh nghiệp hàng đầu đang chuyển mình một cách dứt khoát, vượt ra khỏi những quyết định đặt địa điểm mang tính cơ hội và chạy theo chi phí, để hướng tới các trung tâm năng lực toàn cầu (global capability centers - GCC) được neo đậu trong hệ sinh thái một cách có chủ đích, nhằm tối đa hóa mật độ năng lực, chiều sâu đội ngũ lãnh đạo và giá trị tạo ra. Điều khởi đầu chỉ như một nước đi chênh lệch giá (arbitrage) nay đã trở thành đòn bẩy cốt lõi trong cách doanh nghiệp mở rộng nhân tài, tăng tốc đổi mới sáng tạo và tái cấu trúc mô hình vận hành.</w:t>
      </w:r>
    </w:p>
    <w:p>
      <w:pPr>
        <w:spacing w:after="80"/>
      </w:pPr>
      <w:r>
        <w:rPr>
          <w:b w:val="0"/>
          <w:i w:val="0"/>
        </w:rPr>
        <w:t>Trong vài năm qua, chúng tôi đã chứng kiến sự mở rộng của các GCC, đặc biệt tại Ấn Độ và Philippines, không chỉ được thúc đẩy bởi những doanh nghiệp áp dụng truyền thống mà ngày càng nhiều bởi các ngành mới và các công ty Fortune 500 đã bỏ lỡ làn sóng trước đó. Chúng tôi đã thấy khoảng 70–80 GCC mới được thành lập tại Ấn Độ và 15–20 GCC mỗi năm tại Philippines trong hai năm qua, với đà tăng rõ rệt ở các công ty công nghệ, nhà bán lẻ, ngân hàng khu vực, lĩnh vực chăm sóc sức khỏe và khoa học đời sống, cùng các đơn vị kỹ thuật và R&amp;D (ER&amp;D).</w:t>
      </w:r>
    </w:p>
    <w:p>
      <w:pPr>
        <w:spacing w:after="80"/>
      </w:pPr>
      <w:r>
        <w:rPr>
          <w:b w:val="0"/>
          <w:i w:val="0"/>
        </w:rPr>
        <w:t>Đồng thời, các GCC lớn, lâu đời vẫn tiếp tục mở rộng một cách đáng kể. Một số tổ chức toàn cầu đang tăng tỷ lệ thâm nhập của trung tâm toàn cầu từ 15–25% tổng lực lượng lao động của doanh nghiệp lên 20–40%, phản ánh sự tái cân bằng mang tính cấu trúc về nơi công việc quan trọng được thực hiện.</w:t>
      </w:r>
    </w:p>
    <w:p>
      <w:pPr>
        <w:spacing w:after="80"/>
      </w:pPr>
      <w:r>
        <w:rPr>
          <w:b w:val="0"/>
          <w:i w:val="0"/>
        </w:rPr>
        <w:t>Vượt ra ngoài quy mô, sự chuyển mình thực sự không nằm ở số lượng GCC (chúng tôi hoàn toàn kỳ vọng con số này sẽ lên xuống theo thời gian, đặc biệt với tác động của AI), mà nằm ở độ rộng, độ trưởng thành và cấp bậc của công việc giờ đây được neo đậu tại các GCC. Những gì từng chỉ là cánh tay thực thi nay đang tiến hóa thành những đơn vị dẫn dắt kết quả đầu-cuối. Các trung tâm toàn cầu ngày nay chốt sổ sách cho doanh nghiệp, vận hành 100% cỗ máy tiếp thị số, dẫn dắt các chuyển đổi trải nghiệm khách hàng doanh nghiệp mang lại mức tăng NPS hai chữ số, và tạo ra ngày càng nhiều bằng sáng chế tại Mỹ.</w:t>
      </w:r>
    </w:p>
    <w:p>
      <w:pPr>
        <w:spacing w:after="80"/>
      </w:pPr>
      <w:r>
        <w:rPr>
          <w:b w:val="0"/>
          <w:i w:val="0"/>
        </w:rPr>
        <w:t>Song song đó, trọng lực lãnh đạo đang dịch chuyển. Mô hình “10–30–50” mà chúng tôi lần đầu nêu ra vài năm trước—10% vị trí C-suite-1, 30% lãnh đạo chức năng toàn cầu và 50% vị trí sản xuất nằm tại các GCC—đang dần thành hiện thực ở các doanh nghiệp thuộc nhóm 10% hàng đầu. Các CIO, CTO toàn cầu và trưởng bộ phận kỹ thuật ngày càng ngồi tại các trung tâm toàn cầu này, củng cố quan niệm về “bản sao nhân tài” (talent twin) hay trụ sở thứ hai.</w:t>
      </w:r>
    </w:p>
    <w:p>
      <w:pPr>
        <w:spacing w:after="80"/>
      </w:pPr>
      <w:r>
        <w:rPr>
          <w:b w:val="0"/>
          <w:i w:val="0"/>
        </w:rPr>
        <w:t>Sự tiến hóa này đang diễn ra cùng với một đợt gián đoạn sâu sắc do AI, agentic AI và tự động hóa thúc đẩy. Trong hai đến năm năm tới, AI sẽ định hình lại công việc ở mọi nơi trong doanh nghiệp, nén các kim tự tháp truyền thống, tái phát minh quy trình phát triển phần mềm và định nghĩa lại năng suất. Đáng chú ý, phần lớn năng lực này đang được xây dựng bên trong các GCC: tại một số tổ chức lớn, phần lớn kỹ sư AI, nhà khoa học dữ liệu và đội ngũ nền tảng đã nằm tại các trung tâm toàn cầu.</w:t>
      </w:r>
    </w:p>
    <w:p>
      <w:pPr>
        <w:spacing w:after="80"/>
      </w:pPr>
      <w:r>
        <w:rPr>
          <w:b w:val="0"/>
          <w:i w:val="0"/>
        </w:rPr>
        <w:t>Đồng thời, các GCC sẽ cảm nhận tác động về số lượng nhân sự do AI sớm hơn và mạnh hơn, do trước đây họ tập trung nhiều vào công việc lặp lại và dựa trên quy tắc. Điều này có thể dẫn đến điểm “đỉnh nhân sự” trong vòng 18–36 tháng tới đối với các GCC hàng đầu, sau đó là sự nén lại và tái định hình kim tự tháp, ngay cả khi tỷ trọng nhân tài doanh nghiệp và lãnh đạo cấp cao trong các GCC tiếp tục tăng và lao động AI/số mở rộng nhanh chóng như một phần của tổng sản lượng.</w:t>
      </w:r>
    </w:p>
    <w:p>
      <w:pPr>
        <w:spacing w:after="80"/>
      </w:pPr>
      <w:r>
        <w:rPr>
          <w:b w:val="0"/>
          <w:i w:val="0"/>
        </w:rPr>
        <w:t>Khi các công ty xem xét lại chiến lược đặt địa điểm và cấu hình mạng lưới GCC của mình, một số mục tiêu thiết kế đang trở nên then chốt:</w:t>
      </w:r>
    </w:p>
    <w:p>
      <w:pPr>
        <w:spacing w:after="80"/>
        <w:ind w:left="360"/>
      </w:pPr>
      <w:r>
        <w:t xml:space="preserve">1. </w:t>
      </w:r>
      <w:r>
        <w:rPr>
          <w:b/>
          <w:i w:val="0"/>
        </w:rPr>
        <w:t>Thiết kế hướng tới kết quả dựa trên tốc độ, sự gắn kết và chất lượng quyết định.</w:t>
      </w:r>
      <w:r>
        <w:rPr>
          <w:b w:val="0"/>
          <w:i w:val="0"/>
        </w:rPr>
        <w:t xml:space="preserve"> Các lựa chọn địa điểm nên được kiểm chứng dựa trên tác động của chúng tới thời gian ra quyết định, nhịp độ đổi mới sáng tạo và khả năng phản hồi khách hàng—chứ không chỉ là chênh lệch giá lao động. Với công việc đòi hỏi lặp lại nhanh hoặc phán đoán cấp cao, việc near-shoring thông qua sự gần gũi về địa lý hoặc múi giờ vẫn là một yếu tố thiết kế quan trọng. Khi nhu cầu về kỹ năng kỹ thuật AI thay đổi, hãy chủ động cân nhắc các trung tâm mới.</w:t>
      </w:r>
    </w:p>
    <w:p>
      <w:pPr>
        <w:spacing w:after="80"/>
        <w:ind w:left="360"/>
      </w:pPr>
      <w:r>
        <w:t xml:space="preserve">2. </w:t>
      </w:r>
      <w:r>
        <w:rPr>
          <w:b/>
          <w:i w:val="0"/>
        </w:rPr>
        <w:t>Phân đoạn các nguyên mẫu vận hành theo đặc điểm công việc và vai trò.</w:t>
      </w:r>
      <w:r>
        <w:rPr>
          <w:b w:val="0"/>
          <w:i w:val="0"/>
        </w:rPr>
        <w:t xml:space="preserve"> Các tổ chức hàng đầu định nghĩa rõ ràng các nguyên mẫu—trung tâm đổi mới sáng tạo đặt cùng chỗ, nền tảng sản phẩm phân tán toàn cầu, vận hành được hỗ trợ bởi AI, hay đội ngũ hỗ trợ hoàn toàn từ xa—thay vì áp dụng một mô hình kết hợp duy nhất cho mọi công việc. Sự rõ ràng này cải thiện kỳ vọng hiệu suất, tính công bằng và kết quả về nhân tài.</w:t>
      </w:r>
    </w:p>
    <w:p>
      <w:pPr>
        <w:spacing w:after="80"/>
        <w:ind w:left="360"/>
      </w:pPr>
      <w:r>
        <w:t xml:space="preserve">3. </w:t>
      </w:r>
      <w:r>
        <w:rPr>
          <w:b/>
          <w:i w:val="0"/>
        </w:rPr>
        <w:t>Coi GCC là động cơ chiến lược, không phải vệ tinh.</w:t>
      </w:r>
      <w:r>
        <w:rPr>
          <w:b w:val="0"/>
          <w:i w:val="0"/>
        </w:rPr>
        <w:t xml:space="preserve"> Các GCC hiệu suất cao vận hành như những đơn vị ngang hàng với nhiệm vụ doanh nghiệp và có đại diện trong ban lãnh đạo. Ngày càng nhiều nhà lãnh đạo doanh nghiệp thế hệ tiếp theo có xu hướng xuất thân từ các trung tâm toàn cầu, định hình lại mô hình kế nhiệm và phát triển nhân tài.</w:t>
      </w:r>
    </w:p>
    <w:p>
      <w:pPr>
        <w:spacing w:after="80"/>
        <w:ind w:left="360"/>
      </w:pPr>
      <w:r>
        <w:t xml:space="preserve">4. </w:t>
      </w:r>
      <w:r>
        <w:rPr>
          <w:b/>
          <w:i w:val="0"/>
        </w:rPr>
        <w:t>Neo đậu GCC trong hệ sinh thái nhân tài và đổi mới sáng tạo.</w:t>
      </w:r>
      <w:r>
        <w:rPr>
          <w:b w:val="0"/>
          <w:i w:val="0"/>
        </w:rPr>
        <w:t xml:space="preserve"> Các trung tâm toàn cầu mạnh nhất được xây dựng xung quanh các trường đại học, start-up và cộng đồng đổi mới sáng tạo, chứ không chỉ dựa vào ưu đãi bất động sản. Sức mạnh hệ sinh thái ngày càng lấn át chênh lệch chi phí lao động trong việc duy trì các năng lực tiên tiến.</w:t>
      </w:r>
    </w:p>
    <w:p>
      <w:pPr>
        <w:spacing w:after="80"/>
        <w:ind w:left="360"/>
      </w:pPr>
      <w:r>
        <w:t xml:space="preserve">5. </w:t>
      </w:r>
      <w:r>
        <w:rPr>
          <w:b/>
          <w:i w:val="0"/>
        </w:rPr>
        <w:t>Tái cấu trúc cho AI ở quy mô lớn.</w:t>
      </w:r>
      <w:r>
        <w:rPr>
          <w:b w:val="0"/>
          <w:i w:val="0"/>
        </w:rPr>
        <w:t xml:space="preserve"> Chiến lược GCC phải lường trước cả việc nén nhân sự lẫn việc đào sâu kỹ năng. Điều này bao gồm thiết kế lại vai trò, tăng tốc đào tạo lại kỹ năng, học việc cho các kim tự tháp mới, và lập kế hoạch rõ ràng cho sự cùng tồn tại của lao động con người và lao động số trong cùng chuỗi giá trị.</w:t>
      </w:r>
    </w:p>
    <w:p>
      <w:pPr>
        <w:spacing w:after="80"/>
        <w:ind w:left="360"/>
      </w:pPr>
      <w:r>
        <w:t xml:space="preserve">6. </w:t>
      </w:r>
      <w:r>
        <w:rPr>
          <w:b/>
          <w:i w:val="0"/>
        </w:rPr>
        <w:t>Xây dựng khả năng phục hồi địa chính trị theo thiết kế.</w:t>
      </w:r>
      <w:r>
        <w:rPr>
          <w:b w:val="0"/>
          <w:i w:val="0"/>
        </w:rPr>
        <w:t xml:space="preserve"> Khi rủi ro địa chính trị và vận hành gia tăng, mạng lưới GCC nên có sự dự phòng có chủ đích cho các hệ thống và năng lực ưu tiên, với quyền sở hữu rõ ràng và các kịch bản phục hồi đã được kiểm chứng.</w:t>
      </w:r>
    </w:p>
    <w:p>
      <w:pPr>
        <w:spacing w:after="80"/>
      </w:pPr>
      <w:r>
        <w:rPr>
          <w:b w:val="0"/>
          <w:i w:val="0"/>
        </w:rPr>
        <w:t>Khi các mô hình công việc toàn cầu trưởng thành, chiến lược đặt địa điểm phải vượt xa việc tìm kiếm lao động chi phí thấp. Lợi thế thực sự giờ đây nằm ở việc thiết kế một dấu chân toàn cầu tối đa hóa chất lượng nhân tài, chiều sâu lãnh đạo và tốc độ tạo giá trị, đồng thời vẫn kiên cường trước gián đoạn. Trong một kỷ nguyên mà AI định hình lại cách công việc được thực hiện, dấu chân toàn cầu mới này đòi hỏi một cách tiếp cận được thiết kế kỹ lưỡng hơn, bao gồm việc ánh xạ chặt chẽ các vai trò và loại công việc với khách hàng, chủ sở hữu sản phẩm và lãnh đạo kinh doanh, đồng thời duy trì sự phân bổ hiệu quả.</w:t>
      </w:r>
    </w:p>
    <w:p>
      <w:pPr>
        <w:jc w:val="center"/>
      </w:pPr>
      <w:r>
        <w:drawing>
          <wp:inline xmlns:a="http://schemas.openxmlformats.org/drawingml/2006/main" xmlns:pic="http://schemas.openxmlformats.org/drawingml/2006/picture">
            <wp:extent cx="1905000" cy="104775"/>
            <wp:docPr id="64" name="Picture 64"/>
            <wp:cNvGraphicFramePr>
              <a:graphicFrameLocks noChangeAspect="1"/>
            </wp:cNvGraphicFramePr>
            <a:graphic>
              <a:graphicData uri="http://schemas.openxmlformats.org/drawingml/2006/picture">
                <pic:pic>
                  <pic:nvPicPr>
                    <pic:cNvPr id="0" name="CHAPTEREND_RULE_violet.png"/>
                    <pic:cNvPicPr/>
                  </pic:nvPicPr>
                  <pic:blipFill>
                    <a:blip r:embed="rId49"/>
                    <a:stretch>
                      <a:fillRect/>
                    </a:stretch>
                  </pic:blipFill>
                  <pic:spPr>
                    <a:xfrm>
                      <a:off x="0" y="0"/>
                      <a:ext cx="1905000" cy="104775"/>
                    </a:xfrm>
                    <a:prstGeom prst="rect"/>
                  </pic:spPr>
                </pic:pic>
              </a:graphicData>
            </a:graphic>
          </wp:inline>
        </w:drawing>
      </w:r>
    </w:p>
    <w:p>
      <w:pPr>
        <w:spacing w:after="80"/>
      </w:pPr>
      <w:r>
        <w:rPr>
          <w:b w:val="0"/>
          <w:i w:val="0"/>
        </w:rPr>
        <w:t>Cuộc “đại phẫu” nhân tài IT là một nỗ lực lớn đối với bất kỳ công ty nào muốn mở rộng quy mô Tech &amp; AI. Tùy thuộc vào điểm xuất phát và quy mô của bạn, có thể mất tới ba năm để tạo ra thay đổi quy mô lớn. Nhưng các công ty lâu đời hàng đầu như DBS, JPMorgan Chase, ING, Walmart và Moderna—kể tên một vài cái tên—đã cho thấy con đường đi, và giá trị đi kèm khi làm đúng.</w:t>
      </w:r>
    </w:p>
    <w:p>
      <w:pPr>
        <w:pStyle w:val="Heading2"/>
      </w:pPr>
      <w:r>
        <w:rPr>
          <w:rFonts w:ascii="Calibri" w:hAnsi="Calibri"/>
          <w:b/>
          <w:i w:val="0"/>
          <w:sz w:val="32"/>
        </w:rPr>
        <w:t>Ghi chú</w:t>
      </w:r>
    </w:p>
    <w:p>
      <w:pPr>
        <w:spacing w:after="80"/>
        <w:ind w:left="360"/>
      </w:pPr>
      <w:r>
        <w:t xml:space="preserve">1. </w:t>
      </w:r>
      <w:r>
        <w:rPr>
          <w:b w:val="0"/>
          <w:i w:val="0"/>
        </w:rPr>
        <w:t>1   “Dẫn dắt từ tuyến đầu: Cách DBS đón nhận thay đổi và trao quyền cho nhân viên,” McKinsey, ngày 26 tháng 4 năm 2023.</w:t>
      </w:r>
    </w:p>
    <w:p>
      <w:pPr>
        <w:spacing w:after="80"/>
        <w:ind w:left="360"/>
      </w:pPr>
      <w:r>
        <w:t xml:space="preserve">2. </w:t>
      </w:r>
      <w:r>
        <w:rPr>
          <w:b w:val="0"/>
          <w:i w:val="0"/>
        </w:rPr>
        <w:t>2   Vai trò quản lý có thể bao gồm: quản lý hạ tầng, quản lý ứng dụng, quản trị viên mạng, quản trị viên cơ sở dữ liệu, quản lý bảo mật, quản lý dự án, quản lý nhà cung cấp, quản lý yêu cầu, v.v.</w:t>
      </w:r>
    </w:p>
    <w:p>
      <w:pPr>
        <w:spacing w:after="80"/>
        <w:ind w:left="360"/>
      </w:pPr>
      <w:r>
        <w:t xml:space="preserve">3. </w:t>
      </w:r>
      <w:r>
        <w:rPr>
          <w:b w:val="0"/>
          <w:i w:val="0"/>
        </w:rPr>
        <w:t>3   Việc xác định đúng tỷ lệ quản lý so với kỹ sư đặc biệt quan trọng vì đây có thể là nguồn tăng năng suất thực sự: 5–20% tùy thuộc vào điểm xuất phát. Điều này có khả năng còn được nhấn mạnh hơn nữa khi các công ty tích hợp AI agent vào tổ chức của mình.</w:t>
      </w:r>
    </w:p>
    <w:p>
      <w:pPr>
        <w:pStyle w:val="Heading2"/>
      </w:pPr>
      <w:r>
        <w:rPr>
          <w:rFonts w:ascii="Calibri" w:hAnsi="Calibri"/>
          <w:b/>
          <w:i/>
          <w:sz w:val="32"/>
        </w:rPr>
        <w:t>“Nếu bạn nghĩ thuê một chuyên gia để làm việc là đắt đỏ, hãy đợi đến khi bạn thuê một người nghiệp dư.”</w:t>
      </w:r>
    </w:p>
    <w:p>
      <w:pPr>
        <w:spacing w:after="80"/>
      </w:pPr>
      <w:r>
        <w:rPr>
          <w:b/>
          <w:i w:val="0"/>
        </w:rPr>
        <w:t>— Red Adair</w:t>
      </w:r>
    </w:p>
    <w:p>
      <w:pPr>
        <w:pStyle w:val="Heading1"/>
      </w:pPr>
      <w:r>
        <w:rPr>
          <w:rFonts w:ascii="Calibri" w:hAnsi="Calibri"/>
          <w:b/>
          <w:i w:val="0"/>
          <w:sz w:val="40"/>
        </w:rPr>
        <w:t>CHƯƠNG 10</w:t>
      </w:r>
      <w:r>
        <w:rPr>
          <w:rFonts w:ascii="Calibri" w:hAnsi="Calibri"/>
          <w:b/>
          <w:i w:val="0"/>
          <w:sz w:val="40"/>
        </w:rPr>
      </w:r>
      <w:r>
        <w:rPr>
          <w:rFonts w:ascii="Calibri" w:hAnsi="Calibri"/>
          <w:b/>
          <w:i w:val="0"/>
          <w:sz w:val="40"/>
        </w:rPr>
        <w:t>Tạo môi trường để nhân tài công nghệ phát triển</w:t>
      </w:r>
    </w:p>
    <w:p>
      <w:pPr>
        <w:spacing w:after="80"/>
      </w:pPr>
      <w:r>
        <w:rPr>
          <w:b w:val="0"/>
          <w:i w:val="0"/>
        </w:rPr>
        <w:t>Nhiều tổ chức nhân sự nhận thấy mình đang có quy trình tuyển dụng khá chậm chạp, khung lương thưởng cứng nhắc, và các chương trình học tập và phát triển lỗi thời cho nhân tài công nghệ. Đó là một vấn đề nếu bạn muốn xây dựng đội ngũ nhân tài công nghệ và giữ chân những người có hiệu suất cao.</w:t>
      </w:r>
    </w:p>
    <w:p>
      <w:pPr>
        <w:spacing w:after="80"/>
      </w:pPr>
      <w:r>
        <w:rPr>
          <w:b/>
          <w:i/>
        </w:rPr>
        <w:t>Hầu hết các công ty đều có thể xây dựng một đội ngũ nhân tài công nghệ vững mạnh nếu họ cam kết hai điều: đổi mới các thực hành nhân sự của mình và áp dụng các phương pháp phát triển phần mềm hiện đại</w:t>
      </w:r>
      <w:r>
        <w:rPr>
          <w:b/>
          <w:i w:val="0"/>
        </w:rPr>
        <w:t>.</w:t>
      </w:r>
    </w:p>
    <w:p>
      <w:pPr>
        <w:spacing w:after="80"/>
      </w:pPr>
      <w:r>
        <w:rPr>
          <w:b w:val="0"/>
          <w:i w:val="0"/>
        </w:rPr>
        <w:t>Nhân tài công nghệ cần được trấn an rằng những kỹ năng quý giá của họ sẽ được công nhận và họ có thể trau dồi tay nghề khi làm việc trên một nền tảng công nghệ hiện đại với những đồng nghiệp có năng lực.</w:t>
      </w:r>
    </w:p>
    <w:p>
      <w:pPr>
        <w:spacing w:after="80"/>
      </w:pPr>
      <w:r>
        <w:rPr>
          <w:b w:val="0"/>
          <w:i w:val="0"/>
        </w:rPr>
        <w:t>Trong chương này, chúng tôi mô tả ba thực hành nhân sự quan trọng để xây dựng một đội ngũ nhân tài công nghệ mạnh mẽ: tuyển dụng, công nhận những chuyên gia công nghệ đặc biệt, và nuôi dưỡng sự xuất sắc trong tay nghề.</w:t>
      </w:r>
    </w:p>
    <w:p>
      <w:pPr>
        <w:jc w:val="center"/>
      </w:pPr>
      <w:r>
        <w:drawing>
          <wp:inline xmlns:a="http://schemas.openxmlformats.org/drawingml/2006/main" xmlns:pic="http://schemas.openxmlformats.org/drawingml/2006/picture">
            <wp:extent cx="457200" cy="447675"/>
            <wp:docPr id="65" name="Picture 65"/>
            <wp:cNvGraphicFramePr>
              <a:graphicFrameLocks noChangeAspect="1"/>
            </wp:cNvGraphicFramePr>
            <a:graphic>
              <a:graphicData uri="http://schemas.openxmlformats.org/drawingml/2006/picture">
                <pic:pic>
                  <pic:nvPicPr>
                    <pic:cNvPr id="0" name="IN_THEIR_WORDS_violet.png"/>
                    <pic:cNvPicPr/>
                  </pic:nvPicPr>
                  <pic:blipFill>
                    <a:blip r:embed="rId46"/>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CỦA HỌ</w:t>
      </w:r>
    </w:p>
    <w:p>
      <w:pPr>
        <w:pStyle w:val="Heading3"/>
      </w:pPr>
      <w:r>
        <w:rPr>
          <w:rFonts w:ascii="Calibri" w:hAnsi="Calibri"/>
          <w:b/>
          <w:i w:val="0"/>
          <w:sz w:val="26"/>
        </w:rPr>
        <w:t>Nâng tầm nhân tài công nghệ</w:t>
      </w:r>
    </w:p>
    <w:p>
      <w:pPr>
        <w:spacing w:after="80"/>
      </w:pPr>
      <w:r>
        <w:rPr>
          <w:b w:val="0"/>
          <w:i w:val="0"/>
        </w:rPr>
        <w:t>“Có một số lượng hữu hạn những kỹ sư cực kỳ thông minh, những người biết cần xây dựng cái gì. Những người này đến với các công ty coi trọng họ nhất. Họ đến với những công ty mà họ nghĩ rằng ban lãnh đạo thực sự hiểu họ làm gì và hiểu cách xây dựng một văn hóa phát triển công nghệ đẳng cấp.</w:t>
      </w:r>
    </w:p>
    <w:p>
      <w:pPr>
        <w:spacing w:after="80"/>
      </w:pPr>
      <w:r>
        <w:rPr>
          <w:b w:val="0"/>
          <w:i w:val="0"/>
        </w:rPr>
        <w:t>Họ đến những nơi mà họ nghĩ rằng mình sẽ được đền đáp thỏa đáng nhưng cũng được coi trọng, được lắng nghe và được tôn trọng. Và họ muốn ở một nơi mà những người giống như họ tạo thành một khối lượng tới hạn.</w:t>
      </w:r>
    </w:p>
    <w:p>
      <w:pPr>
        <w:spacing w:after="80"/>
      </w:pPr>
      <w:r>
        <w:rPr>
          <w:b w:val="0"/>
          <w:i w:val="0"/>
        </w:rPr>
        <w:t>Vấn đề mà các công ty lớn, điển hình trong Fortune 500 gặp phải là … những chuyên gia công nghệ thực thụ bên trong các công ty lớn này không phải là những người chính trong công ty. Họ không được đối xử như những công dân hạng nhất.</w:t>
      </w:r>
    </w:p>
    <w:p>
      <w:pPr>
        <w:spacing w:after="80"/>
      </w:pPr>
      <w:r>
        <w:rPr>
          <w:b w:val="0"/>
          <w:i w:val="0"/>
        </w:rPr>
        <w:t>Tôi sẽ cho bạn một ví dụ: Ở Tesla, những kỹ sư làm việc trên xe tự lái là những người quan trọng nhất ở Tesla. Elon nói về họ suốt, ông ấy trò chuyện với họ suốt, và họ cơ bản là những người lãnh đạo trong công ty. Còn những người làm việc đó ở các hãng xe truyền thống thì không phải vậy. Có lẽ họ nên như thế, nhưng họ không được như vậy. Họ vẫn còn kiểu làm việc "trong phòng kín" thế này. Những người đã dẫn dắt doanh nghiệp suốt 40 năm cũng chính là kiểu người đang nắm quyền hiện nay.</w:t>
      </w:r>
    </w:p>
    <w:p>
      <w:pPr>
        <w:spacing w:after="80"/>
      </w:pPr>
      <w:r>
        <w:rPr>
          <w:b w:val="0"/>
          <w:i w:val="0"/>
        </w:rPr>
        <w:t>Đó chính là khuôn mẫu. Tesla được điều hành bởi nhà công nghệ, người đã hình dung ra toàn bộ sự việc và biết rõ mọi khía cạnh về cách một chiếc xe điện tự lái vận hành. Còn các hãng xe lớn thì được điều hành bởi những người có nền tảng kinh doanh cổ điển hơn, và bản thân họ không phải là dân công nghệ."</w:t>
      </w:r>
    </w:p>
    <w:p>
      <w:pPr>
        <w:spacing w:after="80"/>
      </w:pPr>
      <w:r>
        <w:rPr>
          <w:b/>
          <w:i/>
        </w:rPr>
        <w:t>— Marc Andreessen, Đồng sáng lập kiêm Đối tác chung, Andreessen Horowitz</w:t>
      </w:r>
    </w:p>
    <w:p>
      <w:pPr>
        <w:pStyle w:val="Heading2"/>
      </w:pPr>
      <w:r>
        <w:rPr>
          <w:rFonts w:ascii="Calibri" w:hAnsi="Calibri"/>
          <w:b/>
          <w:i w:val="0"/>
          <w:sz w:val="32"/>
        </w:rPr>
        <w:t>Tuyển dụng nhân tài công nghệ khi thực ra họ đang phỏng vấn ngược lại bạn</w:t>
      </w:r>
    </w:p>
    <w:p>
      <w:pPr>
        <w:spacing w:after="80"/>
      </w:pPr>
      <w:r>
        <w:rPr>
          <w:b w:val="0"/>
          <w:i w:val="0"/>
        </w:rPr>
        <w:t>Những tổ chức thành công trong việc tìm kiếm và giữ chân nhân tài công nghệ đều tạo ra trải nghiệm lấy ứng viên làm trung tâm, được thiết kế chu đáo và đáp ứng kỳ vọng của ngành phần mềm. Cụ thể, họ:</w:t>
      </w:r>
    </w:p>
    <w:p>
      <w:pPr>
        <w:spacing w:after="80"/>
      </w:pPr>
      <w:r>
        <w:rPr>
          <w:b/>
          <w:i w:val="0"/>
        </w:rPr>
        <w:t>Xây dựng một câu chuyện hấp dẫn.</w:t>
      </w:r>
      <w:r>
        <w:rPr>
          <w:b w:val="0"/>
          <w:i w:val="0"/>
        </w:rPr>
        <w:t xml:space="preserve"> Nhân tài công nghệ muốn biết rằng họ sẽ được làm việc với những vấn đề có ý nghĩa. Họ muốn gia nhập một công ty nơi công nghệ đóng vai trò trung tâm và nơi thể hiện rõ rằng công ty đang đầu tư. Hãy truyền đạt rõ ràng vì sao công việc của công ty bạn quan trọng và công nghệ đang đóng góp như thế nào.</w:t>
      </w:r>
    </w:p>
    <w:p>
      <w:pPr>
        <w:spacing w:after="80"/>
      </w:pPr>
      <w:r>
        <w:rPr>
          <w:b w:val="0"/>
          <w:i w:val="0"/>
        </w:rPr>
        <w:t>Ở một công ty tiêu dùng toàn cầu nọ, họ muốn tìm những kỹ sư phần mềm có thể giúp cá nhân hóa các thương hiệu. Họ đã xây dựng một câu chuyện mạnh mẽ để thu hút kiểu người tin chắc rằng cá nhân hóa giúp cải thiện đáng kể trải nghiệm khách hàng.</w:t>
      </w:r>
    </w:p>
    <w:p>
      <w:pPr>
        <w:spacing w:after="80"/>
      </w:pPr>
      <w:r>
        <w:rPr>
          <w:b/>
          <w:i w:val="0"/>
        </w:rPr>
        <w:t>Nâng cấp sự hiện diện trực tuyến của bạn.</w:t>
      </w:r>
      <w:r>
        <w:rPr>
          <w:b w:val="0"/>
          <w:i w:val="0"/>
        </w:rPr>
        <w:t xml:space="preserve"> Nghe có vẻ đơn giản, nhưng hãy tự hỏi: "Một kỹ sư dữ liệu hay nhà khoa học dữ liệu tiềm năng sẽ nghĩ gì về tham vọng AI của công ty chúng ta nếu họ đang lướt website của chúng ta?"</w:t>
      </w:r>
    </w:p>
    <w:p>
      <w:pPr>
        <w:spacing w:after="80"/>
      </w:pPr>
      <w:r>
        <w:rPr>
          <w:b w:val="0"/>
          <w:i w:val="0"/>
        </w:rPr>
        <w:t>Với công ty tiêu dùng được nhắc đến ở trên, họ đã đầu tư cải tạo sự hiện diện web của công ty để toát lên cảm giác công nghệ hơn và để giới thiệu các nhà lãnh đạo công nghệ cùng những gì họ đang làm. Công ty cũng chủ động đến các website chuyên biệt khác nhau để khám phá những kỹ sư đã trở nên chán nản với công việc của họ hoặc những người có sở thích thể hiện kỹ năng chuyên sâu (chẳng hạn như một người đã mở một trường dạy khoa học dữ liệu bên lề).</w:t>
      </w:r>
    </w:p>
    <w:p>
      <w:pPr>
        <w:spacing w:after="80"/>
      </w:pPr>
      <w:r>
        <w:rPr>
          <w:b/>
          <w:i w:val="0"/>
        </w:rPr>
        <w:t>Hiểu rõ bối cảnh tuyển dụng công nghệ.</w:t>
      </w:r>
      <w:r>
        <w:rPr>
          <w:b w:val="0"/>
          <w:i w:val="0"/>
        </w:rPr>
        <w:t xml:space="preserve"> Nhiều công ty hàng đầu thuê những nhà tuyển dụng công nghệ giàu kinh nghiệm và có thể nói về công nghệ một cách am hiểu. Những nhà tuyển dụng này biết cách tương tác với nhiều nền tảng phục vụ nhân tài công nghệ, những nơi mà nhân tài công nghệ tụ họp vì lý do không phải tìm việc.</w:t>
      </w:r>
    </w:p>
    <w:p>
      <w:pPr>
        <w:spacing w:after="80"/>
      </w:pPr>
      <w:r>
        <w:rPr>
          <w:b w:val="0"/>
          <w:i w:val="0"/>
        </w:rPr>
        <w:t>Với công ty tiêu dùng của chúng ta, họ đã bổ sung ba nhà tuyển dụng công nghệ vào đội ngũ nhân sự. Những người này mang đến kiến thức chuyên sâu không chỉ về nơi tìm nhân tài công nghệ mà còn về cách nói chuyện cùng ngôn ngữ với họ, bao gồm khả năng mô tả công việc kỹ thuật, công cụ và công nghệ, cũng như hiểu biết sâu sắc về bối cảnh công nghệ.</w:t>
      </w:r>
    </w:p>
    <w:p>
      <w:pPr>
        <w:spacing w:after="80"/>
      </w:pPr>
      <w:r>
        <w:rPr>
          <w:b/>
          <w:i w:val="0"/>
        </w:rPr>
        <w:t>Thiết kế lại quy trình phỏng vấn của bạn.</w:t>
      </w:r>
      <w:r>
        <w:rPr>
          <w:b w:val="0"/>
          <w:i w:val="0"/>
        </w:rPr>
        <w:t xml:space="preserve"> Trong quá nhiều trường hợp, mô tả công việc thì mơ hồ, các buổi phỏng vấn được sắp xếp lộn xộn, người phỏng vấn không biết cần tìm gì và không được chuẩn bị, và quy trình kéo dài quá lâu—có khi tới 60–90 ngày.</w:t>
      </w:r>
    </w:p>
    <w:p>
      <w:pPr>
        <w:spacing w:after="80"/>
      </w:pPr>
      <w:r>
        <w:rPr>
          <w:b w:val="0"/>
          <w:i w:val="0"/>
        </w:rPr>
        <w:t>Công ty tiêu dùng của chúng ta đã giải quyết vấn đề này bằng cách tạo ra những mô tả công việc sắc bén, phù hợp với dân công nghệ. Họ cũng rút ngắn quy trình tuyển dụng xuống chỉ còn hai đến ba tuần với thư mời nhận việc gửi đi trong vòng 24 giờ sau buổi phỏng vấn cuối. Quan trọng hơn, đội tuyển dụng tập trung không chỉ đánh giá ứng viên qua kỹ năng công nghệ thuần túy mà còn hiểu liệu ứng viên có thể làm việc với người làm kinh doanh hay không.</w:t>
      </w:r>
    </w:p>
    <w:p>
      <w:pPr>
        <w:spacing w:after="80"/>
      </w:pPr>
      <w:r>
        <w:rPr>
          <w:b/>
          <w:i w:val="0"/>
        </w:rPr>
        <w:t>Kiểm tra mức độ thành thạo kỹ năng.</w:t>
      </w:r>
      <w:r>
        <w:rPr>
          <w:b w:val="0"/>
          <w:i w:val="0"/>
        </w:rPr>
        <w:t xml:space="preserve"> Cái bẫy phổ biến nhất là khó khăn trong việc kiểm tra năng lực kỹ thuật của ứng viên. Các bài tập lập trình là một phần quan trọng của quy trình và cần được lên kế hoạch nghiêm túc để làm cho tốt. Những nền tảng như Good&amp;Co và HackerRank giúp các công ty đánh giá mức độ thành thạo kỹ năng hiệu quả hơn.</w:t>
      </w:r>
    </w:p>
    <w:p>
      <w:pPr>
        <w:spacing w:after="80"/>
      </w:pPr>
      <w:r>
        <w:rPr>
          <w:b w:val="0"/>
          <w:i w:val="0"/>
        </w:rPr>
        <w:t>Công ty tiêu dùng của chúng ta cũng dùng các bài kiểm tra lập trình, nhưng họ không cứng nhắc về điều đó. Nhiều kỹ sư hàng đầu từ các công ty công nghệ không hứng thú với việc làm những bài kiểm tra này. Với những người này, công ty đưa các kỹ sư hàng đầu của mình vào quy trình phỏng vấn để giúp xác định liệu ứng viên có những kỹ năng cần thiết hay không.</w:t>
      </w:r>
    </w:p>
    <w:p>
      <w:pPr>
        <w:spacing w:after="80"/>
      </w:pPr>
      <w:r>
        <w:rPr>
          <w:b/>
          <w:i w:val="0"/>
        </w:rPr>
        <w:t>Ưu tiên tuyển dụng những người "neo" (anchor hires).</w:t>
      </w:r>
      <w:r>
        <w:rPr>
          <w:b w:val="0"/>
          <w:i w:val="0"/>
        </w:rPr>
        <w:t xml:space="preserve"> Những cá nhân này có thể giúp thu hút nhân tài xuất sắc khác thông qua mạng lưới cá nhân và danh tiếng trong ngành của họ.</w:t>
      </w:r>
    </w:p>
    <w:p>
      <w:pPr>
        <w:spacing w:after="80"/>
      </w:pPr>
      <w:r>
        <w:rPr>
          <w:b w:val="0"/>
          <w:i w:val="0"/>
        </w:rPr>
        <w:t>Công ty tiêu dùng của chúng tôi khuyến khích những người giỏi nhất của họ chủ động kết nối với các đồng nghiệp cùng cấp. Họ đề nghị các scrum master (quản lý quy trình scrum) mời thêm các scrum master khác, và đề nghị các product owner (chủ sở hữu sản phẩm) mời thêm các product owner khác.</w:t>
      </w:r>
    </w:p>
    <w:p>
      <w:pPr>
        <w:spacing w:after="80"/>
      </w:pPr>
      <w:r>
        <w:rPr>
          <w:b/>
          <w:i w:val="0"/>
        </w:rPr>
        <w:t>Xây dựng một quy trình onboarding (hội nhập) thật tốt.</w:t>
      </w:r>
      <w:r>
        <w:rPr>
          <w:b w:val="0"/>
          <w:i w:val="0"/>
        </w:rPr>
        <w:t xml:space="preserve"> Cung cấp cái nhìn tổng quan về các kế hoạch kỹ thuật số của công ty và vị trí mà nhân viên mới sẽ đóng góp. Bối cảnh rất quan trọng. Chúng ta thường nói rằng dân kinh doanh cần học về công nghệ, nhưng điều ngược lại cũng đúng. Các chuyên gia công nghệ làm việc hiệu quả nhất khi họ hiểu được bối cảnh kinh doanh.</w:t>
      </w:r>
    </w:p>
    <w:p>
      <w:pPr>
        <w:spacing w:after="80"/>
      </w:pPr>
      <w:r>
        <w:rPr>
          <w:b w:val="0"/>
          <w:i w:val="0"/>
        </w:rPr>
        <w:t>Công ty tiêu dùng của chúng tôi đã tổ chức các bootcamp (khóa huấn luyện cấp tốc) và đơn giản hóa quy trình onboarding để đảm bảo rằng nhân viên mới không chỉ có đủ công cụ cần thiết mà còn hiểu rõ mục tiêu của công ty và của nhóm.</w:t>
      </w:r>
    </w:p>
    <w:p>
      <w:pPr>
        <w:spacing w:after="80"/>
      </w:pPr>
      <w:r>
        <w:rPr>
          <w:b/>
          <w:i w:val="0"/>
        </w:rPr>
        <w:t>Chuẩn bị sẵn dự án và công cụ cho họ.</w:t>
      </w:r>
      <w:r>
        <w:rPr>
          <w:b w:val="0"/>
          <w:i w:val="0"/>
        </w:rPr>
        <w:t xml:space="preserve"> Nhân tài công nghệ muốn và kỳ vọng được đóng góp ngay lập tức, nên hãy sẵn sàng đưa họ vào thẳng một dự án thực tế. Lập trình viên cần được truy cập vào các kho mã nguồn (code repository) để có thể bắt tay vào việc nhanh chóng. Các nhà khoa học dữ liệu sẽ mong được truy cập vào các thư viện Python quan trọng. Môi trường làm việc của lập trình viên cần được tự động hóa và rõ ràng đến mức các lập trình viên mới có thể commit code (đẩy mã nguồn) trước khi kết thúc tuần đầu tiên.</w:t>
      </w:r>
    </w:p>
    <w:p>
      <w:pPr>
        <w:spacing w:after="80"/>
      </w:pPr>
      <w:r>
        <w:rPr>
          <w:b w:val="0"/>
          <w:i w:val="0"/>
        </w:rPr>
        <w:t>Tại công ty tiêu dùng của chúng tôi, mục tiêu đề ra là nhân viên mới sẵn sàng viết code ngay từ ngày đầu tiên (và họ đã thành công khi đưa họ đạt năng suất làm việc từ sprint thứ hai). Họ tập trung vào việc cung cấp công cụ cài đặt sẵn, máy tính đã được tạo ảnh hệ thống (có lựa chọn Mac hoặc Windows), và chuẩn bị đầy đủ mọi giấy phép phần mềm liên quan. Quan trọng hơn, họ cũng đảm bảo chuẩn hóa công cụ để tránh các vấn đề về tương thích.</w:t>
      </w:r>
    </w:p>
    <w:p>
      <w:pPr>
        <w:spacing w:after="80"/>
      </w:pPr>
      <w:r>
        <w:rPr>
          <w:b/>
          <w:i w:val="0"/>
        </w:rPr>
        <w:t>Đánh giá ứng viên nội bộ bằng cùng một tiêu chuẩn.</w:t>
      </w:r>
      <w:r>
        <w:rPr>
          <w:b w:val="0"/>
          <w:i w:val="0"/>
        </w:rPr>
        <w:t xml:space="preserve"> Hãy cẩn thận với hai cái bẫy phổ biến đối với ứng viên nội bộ: tái sử dụng những người có vấn đề về hiệu suất, và gắn mác mới cho những người chưa đủ năng lực. Hãy thiết lập tiêu chí đủ điều kiện và quy trình sàng lọc để đảm bảo nhân viên đáp ứng được tiêu chuẩn. Cách làm tốt nhất là phỏng vấn ứng viên nội bộ giống hệt như phỏng vấn ứng viên bên ngoài, với một tiêu chuẩn thống nhất.</w:t>
      </w:r>
    </w:p>
    <w:p>
      <w:pPr>
        <w:pStyle w:val="Heading2"/>
      </w:pPr>
      <w:r>
        <w:rPr>
          <w:rFonts w:ascii="Calibri" w:hAnsi="Calibri"/>
          <w:b/>
          <w:i w:val="0"/>
          <w:sz w:val="32"/>
        </w:rPr>
        <w:t>‘Talent win room’ (phòng chiến thắng nhân tài) có thể xây dựng đội ngũ công nghệ của bạn</w:t>
      </w:r>
    </w:p>
    <w:p>
      <w:pPr>
        <w:spacing w:after="80"/>
      </w:pPr>
      <w:r>
        <w:rPr>
          <w:b w:val="0"/>
          <w:i w:val="0"/>
        </w:rPr>
        <w:t>Việc chuyển đổi toàn bộ tổ chức HR (nhân sự) của bạn và các quy trình HR nền tảng để sẵn sàng cho kỹ thuật số có thể mất vài năm. Bạn có thể không có đủ thời gian đó. Thay vào đó, chúng tôi nhận thấy rằng việc thành lập một nhóm đặc biệt tập trung vào việc điều chỉnh các quy trình HR hiện tại với trọng tâm là nhân tài công nghệ là cách đi thực tế nhất—và thành công nhất.</w:t>
      </w:r>
    </w:p>
    <w:p>
      <w:pPr>
        <w:spacing w:after="80"/>
      </w:pPr>
      <w:r>
        <w:rPr>
          <w:b w:val="0"/>
          <w:i w:val="0"/>
        </w:rPr>
        <w:t>Chúng tôi gọi đơn vị đặc biệt này là “talent win room” hay TWR. “Phòng” này có thể là thực tế hoặc ảo, nhưng điểm mấu chốt là nó là một nhóm chuyên trách. Nhiệm vụ chính của một TWR là xây dựng và không ngừng cải thiện mọi khía cạnh của trải nghiệm ứng viên lẫn trải nghiệm nhân viên.</w:t>
      </w:r>
    </w:p>
    <w:p>
      <w:pPr>
        <w:spacing w:after="80"/>
      </w:pPr>
      <w:r>
        <w:rPr>
          <w:b w:val="0"/>
          <w:i w:val="0"/>
        </w:rPr>
        <w:t>TWR cần một nhà tài trợ điều hành cấp C (C-level), thường là CHRO và/hoặc CDO, cùng một giám đốc HR cấp cao toàn thời gian làm trưởng nhóm. TWR là một nhóm liên ngành phản chiếu các thói quen và hành vi làm việc của một nhóm agile (linh hoạt).</w:t>
      </w:r>
    </w:p>
    <w:p>
      <w:pPr>
        <w:spacing w:after="80"/>
      </w:pPr>
      <w:r>
        <w:rPr>
          <w:b w:val="0"/>
          <w:i w:val="0"/>
        </w:rPr>
        <w:t>Nhóm này bao gồm các nhà tuyển dụng công nghệ và chuyên gia HR có chuyên môn liên quan về hoạch định nhân tài, tuyển dụng, onboarding, quản lý và phát triển. Nhóm được tăng cường thêm các chuyên gia chức năng bán thời gian khi cần, chẳng hạn như pháp lý, tài chính, truyền thông hoặc marketing.</w:t>
      </w:r>
    </w:p>
    <w:p>
      <w:pPr>
        <w:spacing w:after="80"/>
      </w:pPr>
      <w:r>
        <w:rPr>
          <w:b w:val="0"/>
          <w:i w:val="0"/>
        </w:rPr>
        <w:t>Công ty tiêu dùng của chúng tôi đã thành lập một TWR và đào tạo nhóm này có tư duy lấy ứng viên làm trung tâm cùng với việc áp dụng các cách làm việc agile. TWR đã thiết kế lại các quy trình HR mới, bao gồm triển khai một hệ thống theo dõi ứng viên để quản lý toàn bộ hành trình từ đầu đến cuối. Trong vòng sáu tháng, công ty đã xây dựng thành công một đội ngũ công nghệ chất lượng gồm 80 người.</w:t>
      </w:r>
    </w:p>
    <w:p>
      <w:pPr>
        <w:spacing w:after="80"/>
      </w:pPr>
      <w:r>
        <w:rPr>
          <w:b w:val="0"/>
          <w:i w:val="0"/>
        </w:rPr>
        <w:t>Ban đầu TWR tập trung vào tuyển dụng và onboarding. Theo thời gian, nhóm làm việc về hiện đại hóa quản lý hiệu suất, về học tập và phát triển, và về các lộ trình sự nghiệp.</w:t>
      </w:r>
    </w:p>
    <w:p>
      <w:pPr>
        <w:pStyle w:val="Heading2"/>
      </w:pPr>
      <w:r>
        <w:rPr>
          <w:rFonts w:ascii="Calibri" w:hAnsi="Calibri"/>
          <w:b/>
          <w:i w:val="0"/>
          <w:sz w:val="32"/>
        </w:rPr>
        <w:t>Ghi nhận những chuyên gia công nghệ đặc biệt</w:t>
      </w:r>
    </w:p>
    <w:p>
      <w:pPr>
        <w:spacing w:after="80"/>
      </w:pPr>
      <w:r>
        <w:rPr>
          <w:b w:val="0"/>
          <w:i w:val="0"/>
        </w:rPr>
        <w:t>Các công ty hiện đại tôn vinh những lộ trình sự nghiệp kỹ thuật, nơi các cá nhân có thể tạo ra tác động vượt trội lên hiệu quả hoạt động của công ty dựa trên tay nghề của họ. Đáng tiếc thay, với các kỹ năng kỹ thuật, mức lương và vị thế thường không tương xứng với giá trị được nhìn nhận, bởi vì các phần thưởng trong những công ty truyền thống thường gắn với thâm niên hoặc số lượng nhân viên được quản lý hơn là năng lực kỹ thuật. Điều này dẫn đến sự bất mãn, và nó cho những người có hiệu suất cao một lý do thuyết phục để ra đi.</w:t>
      </w:r>
    </w:p>
    <w:p>
      <w:pPr>
        <w:spacing w:after="80"/>
      </w:pPr>
      <w:r>
        <w:rPr>
          <w:b/>
          <w:i/>
        </w:rPr>
        <w:t>Một trong những điều quan trọng nhất và khó làm đúng nhất khi bạn quản lý nhân tài công nghệ là đo lường mức độ thành thạo kỹ năng và ghi nhận nó trong tiến trình sự nghiệp cũng như mức lương</w:t>
      </w:r>
      <w:r>
        <w:rPr>
          <w:b/>
          <w:i w:val="0"/>
        </w:rPr>
        <w:t>.</w:t>
      </w:r>
    </w:p>
    <w:p>
      <w:pPr>
        <w:spacing w:after="80"/>
      </w:pPr>
      <w:r>
        <w:rPr>
          <w:b w:val="0"/>
          <w:i w:val="0"/>
        </w:rPr>
        <w:t>Đây là điều mà các công ty công nghệ làm rất giỏi vì nó là cốt lõi con người của họ. Bí quyết nằm ở việc xây dựng các lộ trình sự nghiệp kỹ thuật, dùng mức độ thành thạo kỹ năng để đo lường sự tiến bộ trong sự nghiệp, gắn mức lương với các chuẩn mực của ngành, và ghi nhận tài năng một cách tinh tế bằng những cách phi tiền tệ.</w:t>
      </w:r>
    </w:p>
    <w:p>
      <w:pPr>
        <w:spacing w:after="80"/>
      </w:pPr>
      <w:r>
        <w:rPr>
          <w:b/>
          <w:i w:val="0"/>
        </w:rPr>
        <w:t>Lộ trình sự nghiệp công nghệ:</w:t>
      </w:r>
      <w:r>
        <w:rPr>
          <w:b w:val="0"/>
          <w:i w:val="0"/>
        </w:rPr>
        <w:t xml:space="preserve"> Trong khi một số đồng nghiệp công nghệ muốn tiến lên các vai trò quản lý tổng quát, hơn hai phần ba lập trình viên không muốn trở thành quản lý. Những người này thay vào đó thích giữ cho tay nghề của mình sắc bén và theo đuổi những thách thức kỹ thuật ngày càng tinh vi hơn.</w:t>
      </w:r>
    </w:p>
    <w:p>
      <w:pPr>
        <w:spacing w:after="80"/>
      </w:pPr>
      <w:r>
        <w:rPr>
          <w:b w:val="0"/>
          <w:i w:val="0"/>
        </w:rPr>
        <w:t>Vì lý do này, các tổ chức công nghệ phát triển bài bản thường có cả hai con đường sự nghiệp: quản lý và công nghệ (hay kỹ thuật) (Hình 10.1). Khi được xây dựng tốt, cách tiếp cận này có thể giải quyết một số thách thức về lương bằng cách cho phép những người ở đỉnh cao của lộ trình chuyên môn có mức lương tương đương với các giám đốc điều hành cấp cao.</w:t>
      </w:r>
    </w:p>
    <w:p>
      <w:pPr>
        <w:jc w:val="center"/>
      </w:pPr>
      <w:r>
        <w:drawing>
          <wp:inline xmlns:a="http://schemas.openxmlformats.org/drawingml/2006/main" xmlns:pic="http://schemas.openxmlformats.org/drawingml/2006/picture">
            <wp:extent cx="5486400" cy="6743558"/>
            <wp:docPr id="66" name="Picture 66"/>
            <wp:cNvGraphicFramePr>
              <a:graphicFrameLocks noChangeAspect="1"/>
            </wp:cNvGraphicFramePr>
            <a:graphic>
              <a:graphicData uri="http://schemas.openxmlformats.org/drawingml/2006/picture">
                <pic:pic>
                  <pic:nvPicPr>
                    <pic:cNvPr id="0" name="c10ex001.png"/>
                    <pic:cNvPicPr/>
                  </pic:nvPicPr>
                  <pic:blipFill>
                    <a:blip r:embed="rId55"/>
                    <a:stretch>
                      <a:fillRect/>
                    </a:stretch>
                  </pic:blipFill>
                  <pic:spPr>
                    <a:xfrm>
                      <a:off x="0" y="0"/>
                      <a:ext cx="5486400" cy="6743558"/>
                    </a:xfrm>
                    <a:prstGeom prst="rect"/>
                  </pic:spPr>
                </pic:pic>
              </a:graphicData>
            </a:graphic>
          </wp:inline>
        </w:drawing>
      </w:r>
    </w:p>
    <w:p>
      <w:pPr>
        <w:spacing w:after="160"/>
        <w:jc w:val="center"/>
      </w:pPr>
      <w:r>
        <w:rPr>
          <w:rFonts w:ascii="Calibri" w:hAnsi="Calibri"/>
          <w:b w:val="0"/>
          <w:i/>
          <w:sz w:val="19"/>
        </w:rPr>
        <w:t>HÌNH 10.1</w:t>
      </w:r>
    </w:p>
    <w:p>
      <w:pPr>
        <w:spacing w:after="80"/>
      </w:pPr>
      <w:r>
        <w:rPr>
          <w:b w:val="0"/>
          <w:i w:val="0"/>
        </w:rPr>
        <w:t>Phát triển lộ trình sự nghiệp hai hướng đòi hỏi phải xây dựng các kiến trúc công việc toàn diện được tổ chức theo các nhóm công việc, chẳng hạn như khoa học dữ liệu hay kỹ thuật dữ liệu. Chúng tôi nhận thấy rằng bốn đến sáu cấp bậc công việc trong mỗi nhóm công việc là đủ cho hầu hết các công ty. Lưu ý rằng việc có nhiều cấp bậc hơn giúp mọi người thăng tiến nhanh hơn và có cảm giác tiến bộ, nhưng cũng phức tạp hơn để quản lý.</w:t>
      </w:r>
    </w:p>
    <w:p>
      <w:pPr>
        <w:spacing w:after="80"/>
      </w:pPr>
      <w:r>
        <w:rPr>
          <w:b/>
          <w:i w:val="0"/>
        </w:rPr>
        <w:t>Đo lường mức độ thành thạo kỹ năng:</w:t>
      </w:r>
      <w:r>
        <w:rPr>
          <w:b w:val="0"/>
          <w:i w:val="0"/>
        </w:rPr>
        <w:t xml:space="preserve"> Nhân tài công nghệ, cũng như bất kỳ ai khác, muốn biết các dấu mốc để thành công ở mỗi cấp bậc. Ví dụ, những kỳ vọng về kỹ năng để một nhà khoa học dữ liệu trở thành nhà khoa học dữ liệu cấp cao là gì? Bạn có thể giải quyết điều này bằng cách thiết lập các dấu mốc năng lực rõ ràng cho các nhóm công việc khác nhau. Điều đó không dễ ngay từ đầu và cần thời gian để làm cho đúng. Hình 10.2 cho thấy các ví dụ về dấu mốc năng lực công nghệ cho một nhà khoa học dữ liệu và một nhà khoa học dữ liệu chính cấp cao.</w:t>
      </w:r>
    </w:p>
    <w:p>
      <w:pPr>
        <w:spacing w:after="80"/>
      </w:pPr>
      <w:r>
        <w:rPr>
          <w:b w:val="0"/>
          <w:i w:val="0"/>
        </w:rPr>
        <w:t>Nhân tài công nghệ mong đợi được đánh giá bởi một người đã đạt đến mức thành thạo trong nghề của họ (hoặc ít nhất là giỏi hơn họ). Nhiều tổ chức đã áp dụng một phiên bản nào đó của "cộng đồng thực hành" (community of practice), nơi những người có vai trò và kỹ năng giống nhau được tổ chức lỏng lẻo thành một cộng đồng. Những người lãnh đạo các nhóm này đảm nhận nhiều trách nhiệm liên quan đến con người, bao gồm tuyển dụng, quản lý hiệu suất, bố trí nhân sự, phát triển kỹ năng, và nhiều hơn nữa.</w:t>
      </w:r>
    </w:p>
    <w:p>
      <w:pPr>
        <w:jc w:val="center"/>
      </w:pPr>
      <w:r>
        <w:drawing>
          <wp:inline xmlns:a="http://schemas.openxmlformats.org/drawingml/2006/main" xmlns:pic="http://schemas.openxmlformats.org/drawingml/2006/picture">
            <wp:extent cx="5486400" cy="6866714"/>
            <wp:docPr id="67" name="Picture 67"/>
            <wp:cNvGraphicFramePr>
              <a:graphicFrameLocks noChangeAspect="1"/>
            </wp:cNvGraphicFramePr>
            <a:graphic>
              <a:graphicData uri="http://schemas.openxmlformats.org/drawingml/2006/picture">
                <pic:pic>
                  <pic:nvPicPr>
                    <pic:cNvPr id="0" name="c10ex002.png"/>
                    <pic:cNvPicPr/>
                  </pic:nvPicPr>
                  <pic:blipFill>
                    <a:blip r:embed="rId56"/>
                    <a:stretch>
                      <a:fillRect/>
                    </a:stretch>
                  </pic:blipFill>
                  <pic:spPr>
                    <a:xfrm>
                      <a:off x="0" y="0"/>
                      <a:ext cx="5486400" cy="6866714"/>
                    </a:xfrm>
                    <a:prstGeom prst="rect"/>
                  </pic:spPr>
                </pic:pic>
              </a:graphicData>
            </a:graphic>
          </wp:inline>
        </w:drawing>
      </w:r>
    </w:p>
    <w:p>
      <w:pPr>
        <w:spacing w:after="160"/>
        <w:jc w:val="center"/>
      </w:pPr>
      <w:r>
        <w:rPr>
          <w:rFonts w:ascii="Calibri" w:hAnsi="Calibri"/>
          <w:b w:val="0"/>
          <w:i/>
          <w:sz w:val="19"/>
        </w:rPr>
        <w:t>HÌNH 10.2</w:t>
      </w:r>
    </w:p>
    <w:p>
      <w:pPr>
        <w:spacing w:after="80"/>
      </w:pPr>
      <w:r>
        <w:rPr>
          <w:b/>
          <w:i w:val="0"/>
        </w:rPr>
        <w:t>Lương được chuẩn đối chiếu với Big Tech:</w:t>
      </w:r>
      <w:r>
        <w:rPr>
          <w:b w:val="0"/>
          <w:i w:val="0"/>
        </w:rPr>
        <w:t xml:space="preserve"> Big Tech đặt ra chuẩn mực, và hầu hết các công ty khác tìm ra mức để neo lương của mình so với chuẩn đó, tùy thuộc vào thị trường địa phương và chất lượng nhân tài mà họ đang cạnh tranh. Nói chung, hầu hết các công ty sẽ chấp nhận mức lương nằm trong khoảng từ ngang bằng đến thấp hơn 30% so với các công ty Big Tech ở một thị trường nhất định.</w:t>
      </w:r>
    </w:p>
    <w:p>
      <w:pPr>
        <w:spacing w:after="80"/>
      </w:pPr>
      <w:r>
        <w:rPr>
          <w:b w:val="0"/>
          <w:i w:val="0"/>
        </w:rPr>
        <w:t>Cũng nói chung, cơ cấu lương nghiêng về các khoản thưởng lớn hơn, tạo ra một cơ chế để có tổng thu nhập cao cấp cho những nhân tài công nghệ thực sự xuất sắc. Tiền thưởng có thể lên tới 100% lương cơ bản đối với những người có hiệu suất hàng đầu.</w:t>
      </w:r>
    </w:p>
    <w:p>
      <w:pPr>
        <w:spacing w:after="80"/>
      </w:pPr>
      <w:r>
        <w:rPr>
          <w:b w:val="0"/>
          <w:i w:val="0"/>
        </w:rPr>
        <w:t>Một số người trong một tổ chức IT truyền thống có thể nói: "Tôi là một nhà khoa học dữ liệu. Tại sao tôi không thể được trả lương giống như những nhà khoa học dữ liệu vừa được tuyển để làm các giải pháp AI?" Tất nhiên họ nên được trả lương như nhau, nhưng chỉ khi họ đáp ứng các dấu mốc về năng lực công nghệ và lãnh đạo.</w:t>
      </w:r>
    </w:p>
    <w:p>
      <w:pPr>
        <w:spacing w:after="80"/>
      </w:pPr>
      <w:r>
        <w:rPr>
          <w:b w:val="0"/>
          <w:i w:val="0"/>
        </w:rPr>
        <w:t>Hãy chắc chắn truyền đạt rõ ràng những dấu mốc đó và, đối với những người trong đơn vị IT của bạn đáp ứng được chúng, hãy đảm bảo họ được triển khai vào những nỗ lực có giá trị cao. Nếu bạn không quản lý điều này tốt, việc so sánh lương sẽ trở nên không thể chấp nhận được và gây ra căng thẳng trong tổ chức.</w:t>
      </w:r>
    </w:p>
    <w:p>
      <w:pPr>
        <w:spacing w:after="80"/>
      </w:pPr>
      <w:r>
        <w:rPr>
          <w:b/>
          <w:i w:val="0"/>
        </w:rPr>
        <w:t>Ghi nhận phi tiền tệ:</w:t>
      </w:r>
      <w:r>
        <w:rPr>
          <w:b w:val="0"/>
          <w:i w:val="0"/>
        </w:rPr>
        <w:t xml:space="preserve"> Các chuyên gia công nghệ muốn được đồng nghiệp công nhận. Ở đỉnh cao của lộ trình sự nghiệp kỹ thuật/công nghệ, bạn có kỹ sư danh dự (distinguished engineer), một người đã giải quyết một số thách thức kỹ thuật khó khăn nhất của công ty và có lượng người theo dõi rộng rãi cả trong lẫn ngoài công ty. Danh hiệu đó có ý nghĩa. Điều tương tự cũng đúng với gần như tất cả các danh hiệu khác liên quan đến nhân tài công nghệ: sự công nhận của thị trường là quan trọng.</w:t>
      </w:r>
    </w:p>
    <w:p>
      <w:pPr>
        <w:spacing w:after="80"/>
      </w:pPr>
      <w:r>
        <w:rPr>
          <w:b w:val="0"/>
          <w:i w:val="0"/>
        </w:rPr>
        <w:t>Một khía cạnh phi tiền tệ quan trọng khác là ai sẽ là sếp của họ: người cấp cao về cơ bản sẽ giúp họ phát triển tay nghề. Họ sẽ muốn biết liệu người đó có thực sự sẽ cố vấn cho họ hay không.</w:t>
      </w:r>
    </w:p>
    <w:p>
      <w:pPr>
        <w:spacing w:after="80"/>
      </w:pPr>
      <w:r>
        <w:rPr>
          <w:b w:val="0"/>
          <w:i w:val="0"/>
        </w:rPr>
        <w:t>Những phần thưởng phi tiền tệ khác—bao gồm các nhiệm vụ đặc biệt, chất lượng bàn làm việc của họ, cơ hội thuyết trình ra bên ngoài, sự công nhận cao tại nơi làm việc, v.v.—cũng có thể có tác dụng thuyết phục. Mặc dù bạn có thể không muốn sánh ngang với các phúc lợi và đặc quyền của các công ty Big Tech, bạn nên suy nghĩ thấu đáo về những thứ có ý nghĩa nhất đối với nhân tài công nghệ của mình và thể hiện cam kết của bạn với họ.</w:t>
      </w:r>
    </w:p>
    <w:p>
      <w:pPr>
        <w:pStyle w:val="Heading2"/>
      </w:pPr>
      <w:r>
        <w:rPr>
          <w:rFonts w:ascii="Calibri" w:hAnsi="Calibri"/>
          <w:b/>
          <w:i w:val="0"/>
          <w:sz w:val="32"/>
        </w:rPr>
        <w:t>Nuôi dưỡng sự xuất sắc trong tay nghề</w:t>
      </w:r>
    </w:p>
    <w:p>
      <w:pPr>
        <w:spacing w:after="80"/>
      </w:pPr>
      <w:r>
        <w:rPr>
          <w:b w:val="0"/>
          <w:i w:val="0"/>
        </w:rPr>
        <w:t>Nhân tài công nghệ hiểu rất rõ rằng giá trị của họ gắn chặt với kỹ năng của mình. Vì lý do này, họ đặc biệt để tâm đến việc họ có thể trau dồi kỹ năng tại nơi làm việc tốt đến đâu.</w:t>
      </w:r>
    </w:p>
    <w:p>
      <w:pPr>
        <w:spacing w:after="80"/>
      </w:pPr>
      <w:r>
        <w:rPr>
          <w:b w:val="0"/>
          <w:i w:val="0"/>
        </w:rPr>
        <w:t>Bạn có thể nghĩ: Chẳng phải điều này đúng với mọi công việc sao? Đúng vậy, nhưng nó đặc biệt đúng với nhân tài công nghệ bởi thế giới công nghệ đang phát triển nhanh hơn rất nhiều. Những công ty không đáp ứng được kỳ vọng trau dồi kỹ năng này nên chuẩn bị tinh thần rằng một số người giỏi nhất của họ sẽ ra đi.</w:t>
      </w:r>
    </w:p>
    <w:p>
      <w:pPr>
        <w:spacing w:after="80"/>
      </w:pPr>
      <w:r>
        <w:rPr>
          <w:b w:val="0"/>
          <w:i w:val="0"/>
        </w:rPr>
        <w:t>Khi thiết kế các hành trình học tập cho nhân tài công nghệ, điều quan trọng là phải phân biệt giữa các nhóm kỹ năng (skill family). Đừng để bị cám dỗ mà coi mọi vai trò công nghệ là có thể hoán đổi cho nhau ("họ đều là kỹ sư cả") rồi cung cấp cho họ cùng một thực đơn lựa chọn học tập.</w:t>
      </w:r>
    </w:p>
    <w:p>
      <w:pPr>
        <w:spacing w:after="80"/>
      </w:pPr>
      <w:r>
        <w:rPr>
          <w:b w:val="0"/>
          <w:i w:val="0"/>
        </w:rPr>
        <w:t>Hành trình học tập cho một lập trình viên, kỹ sư cloud hay nhà thiết kế UX đều khác biệt rõ rệt. Rõ ràng là những chuyên gia công nghệ cấp cao nhất của bạn cần được tham gia sát sao vào việc thiết kế hành trình học tập, với sự hỗ trợ từ bộ phận nhân sự (HR).</w:t>
      </w:r>
    </w:p>
    <w:p>
      <w:pPr>
        <w:spacing w:after="80"/>
      </w:pPr>
      <w:r>
        <w:rPr>
          <w:b w:val="0"/>
          <w:i w:val="0"/>
        </w:rPr>
        <w:t>Ngày càng có nhiều công cụ AI ra đời để hỗ trợ đánh giá và phát triển kỹ năng. Chẳng hạn, một công ty viễn thông toàn cầu đã triển khai các công cụ đào tạo và huấn luyện dùng AI, giúp nhân viên tự đánh giá kỹ năng của mình và đề xuất các lộ trình phát triển được cá nhân hóa. Hệ thống này đã giúp nhân viên nâng cao kỹ năng nhanh hơn và mang lại cho các nhà lãnh đạo một góc nhìn linh hoạt về năng lực của lực lượng lao động, từ đó bố trí nhân tài thông minh hơn.</w:t>
      </w:r>
    </w:p>
    <w:p>
      <w:pPr>
        <w:jc w:val="center"/>
      </w:pPr>
      <w:r>
        <w:drawing>
          <wp:inline xmlns:a="http://schemas.openxmlformats.org/drawingml/2006/main" xmlns:pic="http://schemas.openxmlformats.org/drawingml/2006/picture">
            <wp:extent cx="457200" cy="447675"/>
            <wp:docPr id="68" name="Picture 68"/>
            <wp:cNvGraphicFramePr>
              <a:graphicFrameLocks noChangeAspect="1"/>
            </wp:cNvGraphicFramePr>
            <a:graphic>
              <a:graphicData uri="http://schemas.openxmlformats.org/drawingml/2006/picture">
                <pic:pic>
                  <pic:nvPicPr>
                    <pic:cNvPr id="0" name="RULE_OF_THUMB_violet.png"/>
                    <pic:cNvPicPr/>
                  </pic:nvPicPr>
                  <pic:blipFill>
                    <a:blip r:embed="rId57"/>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Xác định kỳ vọng về kỹ năng</w:t>
      </w:r>
    </w:p>
    <w:p>
      <w:pPr>
        <w:spacing w:after="80"/>
      </w:pPr>
      <w:r>
        <w:rPr>
          <w:b w:val="0"/>
          <w:i w:val="0"/>
        </w:rPr>
        <w:t>Hãy xác định kỳ vọng về kỹ năng cho từng nhóm kỹ năng và từng cấp độ thành thạo, rồi để nhân viên của bạn tự tìm ra chương trình học tập hay trau dồi kỹ năng nào trên thị trường là phù hợp nhất với họ.</w:t>
      </w:r>
    </w:p>
    <w:p>
      <w:pPr>
        <w:spacing w:after="80"/>
      </w:pPr>
      <w:r>
        <w:rPr>
          <w:b w:val="0"/>
          <w:i w:val="0"/>
        </w:rPr>
        <w:t>Các hành trình học tập cũng nên được tổ chức theo cấp độ thành thạo và gắn kết với lộ trình sự nghiệp cùng chế độ đãi ngộ. Hình 10.3 cho thấy hành trình học tập của một kỹ sư cloud. Lưu ý rằng những hành trình học tập này cần nhiều năm để giúp một người đào sâu tay nghề của mình.</w:t>
      </w:r>
    </w:p>
    <w:p>
      <w:pPr>
        <w:jc w:val="center"/>
      </w:pPr>
      <w:r>
        <w:drawing>
          <wp:inline xmlns:a="http://schemas.openxmlformats.org/drawingml/2006/main" xmlns:pic="http://schemas.openxmlformats.org/drawingml/2006/picture">
            <wp:extent cx="5486400" cy="6827674"/>
            <wp:docPr id="69" name="Picture 69"/>
            <wp:cNvGraphicFramePr>
              <a:graphicFrameLocks noChangeAspect="1"/>
            </wp:cNvGraphicFramePr>
            <a:graphic>
              <a:graphicData uri="http://schemas.openxmlformats.org/drawingml/2006/picture">
                <pic:pic>
                  <pic:nvPicPr>
                    <pic:cNvPr id="0" name="c10ex003.png"/>
                    <pic:cNvPicPr/>
                  </pic:nvPicPr>
                  <pic:blipFill>
                    <a:blip r:embed="rId58"/>
                    <a:stretch>
                      <a:fillRect/>
                    </a:stretch>
                  </pic:blipFill>
                  <pic:spPr>
                    <a:xfrm>
                      <a:off x="0" y="0"/>
                      <a:ext cx="5486400" cy="6827674"/>
                    </a:xfrm>
                    <a:prstGeom prst="rect"/>
                  </pic:spPr>
                </pic:pic>
              </a:graphicData>
            </a:graphic>
          </wp:inline>
        </w:drawing>
      </w:r>
    </w:p>
    <w:p>
      <w:pPr>
        <w:spacing w:after="160"/>
        <w:jc w:val="center"/>
      </w:pPr>
      <w:r>
        <w:rPr>
          <w:rFonts w:ascii="Calibri" w:hAnsi="Calibri"/>
          <w:b w:val="0"/>
          <w:i/>
          <w:sz w:val="19"/>
        </w:rPr>
        <w:t>HÌNH 10.3</w:t>
      </w:r>
    </w:p>
    <w:p>
      <w:pPr>
        <w:pStyle w:val="Heading2"/>
      </w:pPr>
      <w:r>
        <w:rPr>
          <w:rFonts w:ascii="Calibri" w:hAnsi="Calibri"/>
          <w:b/>
          <w:i w:val="0"/>
          <w:sz w:val="32"/>
        </w:rPr>
        <w:t>Vai trò của CHRO</w:t>
      </w:r>
    </w:p>
    <w:p>
      <w:pPr>
        <w:spacing w:after="80"/>
      </w:pPr>
      <w:r>
        <w:rPr>
          <w:b w:val="0"/>
          <w:i w:val="0"/>
        </w:rPr>
        <w:t>Nhiều công ty hiểu tầm quan trọng của con người trong quá trình chuyển đổi Công nghệ &amp; AI của họ, nhưng rất ít bộ phận nhân sự thực sự chuyển đổi cách họ làm việc. Sự thật khó chịu là hầu hết các CHRO đang bị tụt lại phía sau — vẫn đang vận hành một bộ phận được thiết kế cho sự ổn định có thể dự đoán được trong một thời đại được định nghĩa bởi sự tăng tốc.</w:t>
      </w:r>
    </w:p>
    <w:p>
      <w:pPr>
        <w:spacing w:after="80"/>
      </w:pPr>
      <w:r>
        <w:rPr>
          <w:b w:val="0"/>
          <w:i w:val="0"/>
        </w:rPr>
        <w:t>Các CHRO đang đứng ngay đường đứt gãy của cuộc cách mạng AI. Nhiệm vụ của họ đã thay đổi: nó đang vượt ra ngoài việc tuyển dụng và giữ chân nhân tài cho doanh nghiệp, để tiến tới việc thiết kế một hệ thống lực lượng lao động có thể tiến hóa nhanh như chính công nghệ. Cụ thể, điều này có nghĩa là:</w:t>
      </w:r>
    </w:p>
    <w:p>
      <w:pPr>
        <w:spacing w:after="80"/>
        <w:ind w:left="360"/>
      </w:pPr>
      <w:r>
        <w:t xml:space="preserve">• </w:t>
      </w:r>
      <w:r>
        <w:rPr>
          <w:b w:val="0"/>
          <w:i w:val="0"/>
        </w:rPr>
        <w:t>Tập trung cao độ vào việc nâng cao kỹ năng cho các nhà lãnh đạo doanh nghiệp cấp cao để biến họ thành những người chuyển đổi lĩnh vực đáng gờm nhờ AI, đúng như cách Adam Boyd đã làm để tái tạo quy trình xin vay vốn chủ sở hữu nhà của công ty mình trong Chương 8.</w:t>
      </w:r>
    </w:p>
    <w:p>
      <w:pPr>
        <w:spacing w:after="80"/>
        <w:ind w:left="360"/>
      </w:pPr>
      <w:r>
        <w:t xml:space="preserve">• </w:t>
      </w:r>
      <w:r>
        <w:rPr>
          <w:b w:val="0"/>
          <w:i w:val="0"/>
        </w:rPr>
        <w:t>Hợp tác chặt chẽ với CIO để thực hiện những dịch chuyển nhân tài IT phức tạp và đầy thách thức theo tỷ lệ 30–70 mà chúng ta đã mô tả trong Chương 9.</w:t>
      </w:r>
    </w:p>
    <w:p>
      <w:pPr>
        <w:spacing w:after="80"/>
        <w:ind w:left="360"/>
      </w:pPr>
      <w:r>
        <w:t xml:space="preserve">• </w:t>
      </w:r>
      <w:r>
        <w:rPr>
          <w:b w:val="0"/>
          <w:i w:val="0"/>
        </w:rPr>
        <w:t>Hiện đại hóa việc quản lý nhân tài công nghệ bằng cách lấy trọng tâm là ý tưởng tuyển dụng, phát triển và trả lương dựa trên kỹ năng như đã thảo luận trong chương này.</w:t>
      </w:r>
    </w:p>
    <w:p>
      <w:pPr>
        <w:spacing w:after="80"/>
        <w:ind w:left="360"/>
      </w:pPr>
      <w:r>
        <w:t xml:space="preserve">• </w:t>
      </w:r>
      <w:r>
        <w:rPr>
          <w:b w:val="0"/>
          <w:i w:val="0"/>
        </w:rPr>
        <w:t>Mô hình hóa vai trò trong HR – điều đó có nghĩa gì khi chuyển đổi các quy trình kinh doanh đầu-cuối bằng các luồng công việc tác tử (agentic workflows).</w:t>
      </w:r>
    </w:p>
    <w:p>
      <w:pPr>
        <w:spacing w:after="80"/>
        <w:ind w:left="360"/>
      </w:pPr>
      <w:r>
        <w:t xml:space="preserve">• </w:t>
      </w:r>
      <w:r>
        <w:rPr>
          <w:b w:val="0"/>
          <w:i w:val="0"/>
        </w:rPr>
        <w:t>Tái tưởng tượng mô hình nhân tài cho một thế giới tác tử (agentic world) khi biết rằng còn quá ít điều được biết về cách làm điều này. Sẽ cần sự thực dụng thực sự để làm đúng (như đã thảo luận trong chương này).</w:t>
      </w:r>
    </w:p>
    <w:p>
      <w:pPr>
        <w:spacing w:after="80"/>
      </w:pPr>
      <w:r>
        <w:rPr>
          <w:b w:val="0"/>
          <w:i w:val="0"/>
        </w:rPr>
        <w:t>Những CHRO tạo ra tác động tích cực nhất cho quá trình chuyển đổi của doanh nghiệp mình chính là những người không ngại thay đổi cách HR vận hành. Về bản chất, họ hành động như những chủ sở hữu lĩnh vực (domain owners) và tái cấu trúc chính HR. Đó là cách họ có thể hiểu điều này thực sự có nghĩa gì trong thực tế và xây dựng uy tín với doanh nghiệp.</w:t>
      </w:r>
    </w:p>
    <w:p>
      <w:pPr>
        <w:spacing w:after="80"/>
      </w:pPr>
      <w:r>
        <w:rPr>
          <w:b w:val="0"/>
          <w:i w:val="0"/>
        </w:rPr>
        <w:t>Giống như hầu hết các chủ sở hữu lĩnh vực, các CHRO cần xây dựng cơ bắp công nghệ của mình nếu muốn tái cấu trúc thành công các hệ thống nhân tài của doanh nghiệp. Nhu cầu này đặc biệt cấp thiết ngay cả trong số các nhà lãnh đạo HR, những người trong một khảo sát tự đánh giá năm 2025 đã xếp mức độ am hiểu công nghệ của mình ở mức thấp trong số các nhà lãnh đạo chức năng. Những CHRO giỏi nhất sẽ có cơ bắp công nghệ mạnh mẽ không kém, nếu không muốn nói là mạnh hơn, so với các đồng nghiệp trong ban điều hành C-suite.</w:t>
      </w:r>
    </w:p>
    <w:p>
      <w:pPr>
        <w:jc w:val="center"/>
      </w:pPr>
      <w:r>
        <w:drawing>
          <wp:inline xmlns:a="http://schemas.openxmlformats.org/drawingml/2006/main" xmlns:pic="http://schemas.openxmlformats.org/drawingml/2006/picture">
            <wp:extent cx="1905000" cy="104775"/>
            <wp:docPr id="70" name="Picture 70"/>
            <wp:cNvGraphicFramePr>
              <a:graphicFrameLocks noChangeAspect="1"/>
            </wp:cNvGraphicFramePr>
            <a:graphic>
              <a:graphicData uri="http://schemas.openxmlformats.org/drawingml/2006/picture">
                <pic:pic>
                  <pic:nvPicPr>
                    <pic:cNvPr id="0" name="CHAPTEREND_RULE_violet.png"/>
                    <pic:cNvPicPr/>
                  </pic:nvPicPr>
                  <pic:blipFill>
                    <a:blip r:embed="rId49"/>
                    <a:stretch>
                      <a:fillRect/>
                    </a:stretch>
                  </pic:blipFill>
                  <pic:spPr>
                    <a:xfrm>
                      <a:off x="0" y="0"/>
                      <a:ext cx="1905000" cy="104775"/>
                    </a:xfrm>
                    <a:prstGeom prst="rect"/>
                  </pic:spPr>
                </pic:pic>
              </a:graphicData>
            </a:graphic>
          </wp:inline>
        </w:drawing>
      </w:r>
    </w:p>
    <w:p>
      <w:pPr>
        <w:spacing w:after="80"/>
      </w:pPr>
      <w:r>
        <w:rPr>
          <w:b w:val="0"/>
          <w:i w:val="0"/>
        </w:rPr>
        <w:t>Nếu mọi chuyển đổi Công nghệ &amp; AI đều là chuyển đổi con người, như chúng tôi khẳng định, thì HR đóng vai chính. Nhưng HR phải làm nhiều hơn thế so với việc nâng cấp các cơ chế quản lý nhân tài, chẳng hạn như thực hành tuyển dụng, hành trình học tập. Đúng, những điều đó quan trọng. Nhưng để các công ty có cơ hội thành công trong thời đại AI của chúng ta, HR cần suy nghĩ lại và tái tưởng tượng cách xây dựng các đội ngũ tối đa hóa lợi thế của cả con người lẫn máy móc.</w:t>
      </w:r>
    </w:p>
    <w:p>
      <w:pPr>
        <w:pStyle w:val="Heading2"/>
      </w:pPr>
      <w:r>
        <w:rPr>
          <w:rFonts w:ascii="Calibri" w:hAnsi="Calibri"/>
          <w:b/>
          <w:i w:val="0"/>
          <w:sz w:val="32"/>
        </w:rPr>
        <w:t>Ghi chú</w:t>
      </w:r>
    </w:p>
    <w:p>
      <w:pPr>
        <w:spacing w:after="80"/>
        <w:ind w:left="360"/>
      </w:pPr>
      <w:r>
        <w:t xml:space="preserve">1. </w:t>
      </w:r>
      <w:r>
        <w:rPr>
          <w:b w:val="0"/>
          <w:i w:val="0"/>
        </w:rPr>
        <w:t>1   Sven Blumberg, Ranja Reda Kouba, Suman Thareja, và Anna Wiesinger, “Tech talent tectonics: Ten new realities for finding, keeping, and developing talent,” McKinsey, April 14, 2022.</w:t>
      </w:r>
    </w:p>
    <w:p>
      <w:pPr>
        <w:spacing w:after="80"/>
        <w:ind w:left="360"/>
      </w:pPr>
      <w:r>
        <w:t xml:space="preserve">2. </w:t>
      </w:r>
      <w:r>
        <w:rPr>
          <w:b w:val="0"/>
          <w:i w:val="0"/>
        </w:rPr>
        <w:t>2   “Empowering telecom employees with personalized and coaching tools,” McKinsey case study, 2025.</w:t>
      </w:r>
    </w:p>
    <w:p>
      <w:pPr>
        <w:spacing w:after="80"/>
        <w:ind w:left="360"/>
      </w:pPr>
      <w:r>
        <w:t xml:space="preserve">3. </w:t>
      </w:r>
      <w:r>
        <w:rPr>
          <w:b w:val="0"/>
          <w:i w:val="0"/>
        </w:rPr>
        <w:t>3   Dựa trên phân tích năm 2025 của McKinsey về hồ sơ của các nhà lãnh đạo doanh nghiệp trên LinkedIn.</w:t>
      </w:r>
    </w:p>
    <w:p>
      <w:pPr>
        <w:pStyle w:val="Heading2"/>
      </w:pPr>
      <w:r>
        <w:rPr>
          <w:rFonts w:ascii="Calibri" w:hAnsi="Calibri"/>
          <w:b/>
          <w:i/>
          <w:sz w:val="32"/>
        </w:rPr>
        <w:t>“Cách tôi nhìn nhận công việc của mình là tôi có một câu thần chú rất đơn giản, đó là đừng làm kẻ biết tuốt, mà hãy làm người học hỏi tất cả.”</w:t>
      </w:r>
    </w:p>
    <w:p>
      <w:pPr>
        <w:spacing w:after="80"/>
      </w:pPr>
      <w:r>
        <w:rPr>
          <w:b/>
          <w:i w:val="0"/>
        </w:rPr>
        <w:t>— Satya Nadella</w:t>
      </w:r>
    </w:p>
    <w:p>
      <w:pPr>
        <w:pStyle w:val="Heading1"/>
      </w:pPr>
      <w:r>
        <w:rPr>
          <w:rFonts w:ascii="Calibri" w:hAnsi="Calibri"/>
          <w:b/>
          <w:i w:val="0"/>
          <w:sz w:val="40"/>
        </w:rPr>
        <w:t>CHƯƠNG 11</w:t>
      </w:r>
      <w:r>
        <w:rPr>
          <w:rFonts w:ascii="Calibri" w:hAnsi="Calibri"/>
          <w:b/>
          <w:i w:val="0"/>
          <w:sz w:val="40"/>
        </w:rPr>
      </w:r>
      <w:r>
        <w:rPr>
          <w:rFonts w:ascii="Calibri" w:hAnsi="Calibri"/>
          <w:b/>
          <w:i w:val="0"/>
          <w:sz w:val="40"/>
        </w:rPr>
        <w:t>Suy nghĩ lại mô hình nhân tài của bạn cho một thế giới tác tử</w:t>
      </w:r>
    </w:p>
    <w:p>
      <w:pPr>
        <w:spacing w:after="80"/>
      </w:pPr>
      <w:r>
        <w:rPr>
          <w:b w:val="0"/>
          <w:i w:val="0"/>
        </w:rPr>
        <w:t>Hãy cùng nhìn lướt vào tương lai tác tử (gần?) của chúng ta. John là một nhà hoạch định chuỗi cung ứng tại một OEM ô tô. Công việc của anh là cung cấp nguồn xe đáng tin cậy cho các đại lý dựa trên những bất định về nhu cầu và nguồn cung. Colleen là một quản lý sản phẩm và hiện đang ở giữa quá trình ra mắt sản phẩm mới. Chúng ta bắt gặp họ khi họ bắt đầu ngày làm việc, như thể hiện trong Hình 11.1.</w:t>
      </w:r>
    </w:p>
    <w:p>
      <w:pPr>
        <w:jc w:val="center"/>
      </w:pPr>
      <w:r>
        <w:drawing>
          <wp:inline xmlns:a="http://schemas.openxmlformats.org/drawingml/2006/main" xmlns:pic="http://schemas.openxmlformats.org/drawingml/2006/picture">
            <wp:extent cx="5486400" cy="6039924"/>
            <wp:docPr id="71" name="Picture 71"/>
            <wp:cNvGraphicFramePr>
              <a:graphicFrameLocks noChangeAspect="1"/>
            </wp:cNvGraphicFramePr>
            <a:graphic>
              <a:graphicData uri="http://schemas.openxmlformats.org/drawingml/2006/picture">
                <pic:pic>
                  <pic:nvPicPr>
                    <pic:cNvPr id="0" name="c11ex001.png"/>
                    <pic:cNvPicPr/>
                  </pic:nvPicPr>
                  <pic:blipFill>
                    <a:blip r:embed="rId59"/>
                    <a:stretch>
                      <a:fillRect/>
                    </a:stretch>
                  </pic:blipFill>
                  <pic:spPr>
                    <a:xfrm>
                      <a:off x="0" y="0"/>
                      <a:ext cx="5486400" cy="6039924"/>
                    </a:xfrm>
                    <a:prstGeom prst="rect"/>
                  </pic:spPr>
                </pic:pic>
              </a:graphicData>
            </a:graphic>
          </wp:inline>
        </w:drawing>
      </w:r>
    </w:p>
    <w:p>
      <w:pPr>
        <w:spacing w:after="160"/>
        <w:jc w:val="center"/>
      </w:pPr>
      <w:r>
        <w:rPr>
          <w:rFonts w:ascii="Calibri" w:hAnsi="Calibri"/>
          <w:b w:val="0"/>
          <w:i/>
          <w:sz w:val="19"/>
        </w:rPr>
        <w:t>HÌNH 11.1</w:t>
      </w:r>
    </w:p>
    <w:p>
      <w:pPr>
        <w:spacing w:after="80"/>
      </w:pPr>
      <w:r>
        <w:rPr>
          <w:b w:val="0"/>
          <w:i w:val="0"/>
        </w:rPr>
        <w:t>Dù tương lai này chưa thành hiện thực, điều này có thể khả thi với các công nghệ hiện có. Trong thế giới tác tử này, công việc của John và Colleen sẽ khác biệt hoàn toàn so với hiện nay. Khi công nghệ trưởng thành, John và Colleen có thể đảm nhận nhiều nhiệm vụ hơn, và phức tạp hơn, ở mức năng suất ngày càng cao.</w:t>
      </w:r>
    </w:p>
    <w:p>
      <w:pPr>
        <w:spacing w:after="80"/>
      </w:pPr>
      <w:r>
        <w:rPr>
          <w:b/>
          <w:i/>
        </w:rPr>
        <w:t>Thập kỷ tới sẽ là thập kỷ của đòn bẩy vận hành (operating leverage)—nhiều doanh thu hơn trên mỗi nhân viên—trên mọi ngành. Tốc độ phản ứng của doanh nghiệp sẽ ngày càng tạo nên sự khác biệt giữa các tổ chức chiến thắng</w:t>
      </w:r>
      <w:r>
        <w:rPr>
          <w:b/>
          <w:i w:val="0"/>
        </w:rPr>
        <w:t>.</w:t>
      </w:r>
    </w:p>
    <w:p>
      <w:pPr>
        <w:spacing w:after="80"/>
      </w:pPr>
      <w:r>
        <w:rPr>
          <w:b w:val="0"/>
          <w:i w:val="0"/>
        </w:rPr>
        <w:t>Lần đầu tiên, các công ty giờ đây phải lên kế hoạch cho những “đồng nghiệp AI” làm việc song song với con người (bạn có thể tìm hiểu về các loại AI agent khác nhau và khả năng của chúng trong Chương 5).</w:t>
      </w:r>
    </w:p>
    <w:p>
      <w:pPr>
        <w:pStyle w:val="Heading2"/>
      </w:pPr>
      <w:r>
        <w:rPr>
          <w:rFonts w:ascii="Calibri" w:hAnsi="Calibri"/>
          <w:b/>
          <w:i w:val="0"/>
          <w:sz w:val="32"/>
        </w:rPr>
        <w:t>AI agent có thể tăng tốc độ linh hoạt trong vận hành như thế nào</w:t>
      </w:r>
    </w:p>
    <w:p>
      <w:pPr>
        <w:spacing w:after="80"/>
        <w:ind w:left="360"/>
      </w:pPr>
      <w:r>
        <w:t xml:space="preserve">• </w:t>
      </w:r>
      <w:r>
        <w:rPr>
          <w:b w:val="0"/>
          <w:i w:val="0"/>
        </w:rPr>
        <w:t>Agent tăng tốc thực thi bằng cách loại bỏ độ trễ giữa các tác vụ và cho phép xử lý song song</w:t>
      </w:r>
    </w:p>
    <w:p>
      <w:pPr>
        <w:spacing w:after="80"/>
        <w:ind w:left="360"/>
      </w:pPr>
      <w:r>
        <w:t xml:space="preserve">• </w:t>
      </w:r>
      <w:r>
        <w:rPr>
          <w:b w:val="0"/>
          <w:i w:val="0"/>
        </w:rPr>
        <w:t>Agent cải thiện khả năng thích ứng bằng cách liên tục tiếp nhận dữ liệu và điều chỉnh luồng quy trình ngay tức thì</w:t>
      </w:r>
    </w:p>
    <w:p>
      <w:pPr>
        <w:spacing w:after="80"/>
        <w:ind w:left="360"/>
      </w:pPr>
      <w:r>
        <w:t xml:space="preserve">• </w:t>
      </w:r>
      <w:r>
        <w:rPr>
          <w:b w:val="0"/>
          <w:i w:val="0"/>
        </w:rPr>
        <w:t>Agent cho phép cá nhân hóa bằng cách điều chỉnh tương tác và quyết định cho từng cá nhân</w:t>
      </w:r>
    </w:p>
    <w:p>
      <w:pPr>
        <w:spacing w:after="80"/>
        <w:ind w:left="360"/>
      </w:pPr>
      <w:r>
        <w:t xml:space="preserve">• </w:t>
      </w:r>
      <w:r>
        <w:rPr>
          <w:b w:val="0"/>
          <w:i w:val="0"/>
        </w:rPr>
        <w:t>Agent mang lại tính đàn hồi cho vận hành vì năng lực thực thi của chúng có thể mở rộng và thu hẹp theo thời gian thực tùy thuộc vào khối lượng công việc</w:t>
      </w:r>
    </w:p>
    <w:p>
      <w:pPr>
        <w:spacing w:after="80"/>
        <w:ind w:left="360"/>
      </w:pPr>
      <w:r>
        <w:t xml:space="preserve">• </w:t>
      </w:r>
      <w:r>
        <w:rPr>
          <w:b w:val="0"/>
          <w:i w:val="0"/>
        </w:rPr>
        <w:t>Agent giúp vận hành trở nên kiên cường hơn bằng cách giám sát các gián đoạn, định tuyến lại hoạt động, và chỉ leo thang khi cần thiết</w:t>
      </w:r>
    </w:p>
    <w:p>
      <w:pPr>
        <w:spacing w:after="80"/>
      </w:pPr>
      <w:r>
        <w:rPr>
          <w:b w:val="0"/>
          <w:i w:val="0"/>
        </w:rPr>
        <w:t>Công việc của John và Colleen đã thay đổi một cách mạnh mẽ. Điều này đòi hỏi nhiều hơn là chỉ dạy họ làm việc với các công cụ AI; nó đòi hỏi phải nâng cao kỹ năng để họ có thể vận hành, giám sát, và cải thiện các luồng công việc agentic phức tạp.</w:t>
      </w:r>
    </w:p>
    <w:p>
      <w:pPr>
        <w:spacing w:after="80"/>
      </w:pPr>
      <w:r>
        <w:rPr>
          <w:b w:val="0"/>
          <w:i w:val="0"/>
        </w:rPr>
        <w:t>Các nhà lãnh đạo nhân sự và doanh nghiệp sẽ cần hiểu những kỹ năng nào cần thiết cho sự cộng tác hiệu quả giữa con người và agent, và cách các cấu trúc tổ chức cùng hệ thống nhân tài cần thay đổi để tạo ra giá trị lớn nhất cho doanh nghiệp và lực lượng lao động. Hãy cùng nhìn vào điều này với một lăng kính thực tế, biết rằng agentic AI vẫn còn ở giai đoạn rất sơ khai.</w:t>
      </w:r>
    </w:p>
    <w:p>
      <w:pPr>
        <w:pStyle w:val="Heading2"/>
      </w:pPr>
      <w:r>
        <w:rPr>
          <w:rFonts w:ascii="Calibri" w:hAnsi="Calibri"/>
          <w:b/>
          <w:i w:val="0"/>
          <w:sz w:val="32"/>
        </w:rPr>
        <w:t>Vai trò mới, kỹ năng mới cho kỷ nguyên agentic</w:t>
      </w:r>
    </w:p>
    <w:p>
      <w:pPr>
        <w:spacing w:after="80"/>
      </w:pPr>
      <w:r>
        <w:rPr>
          <w:b w:val="0"/>
          <w:i w:val="0"/>
        </w:rPr>
        <w:t>Khi AI agent đảm nhận nhiều tác vụ máy móc hoặc có thể tự động hóa hơn, “sự thành thạo AI” (AI fluency) đang trở thành điều kiện tối thiểu. Không phải nhân viên nào cũng cần biết lập trình, nhưng họ sẽ cần biết cách sử dụng, quản lý, và dẫn dắt AI agent một cách hiệu quả. Để hiểu cụ thể điều này nghĩa là gì, chúng ta cần hiểu các thành phần của một AI agent.</w:t>
      </w:r>
    </w:p>
    <w:p>
      <w:pPr>
        <w:spacing w:after="80"/>
      </w:pPr>
      <w:r>
        <w:rPr>
          <w:b w:val="0"/>
          <w:i w:val="0"/>
        </w:rPr>
        <w:t>Một AI agent nhận đầu vào, áp dụng lập luận và logic chuyên ngành, rồi tạo ra đầu ra. Con người thiết kế đầu vào, kiến trúc lập luận, xác định tiêu chuẩn chất lượng, và giám sát an toàn (Hình 11.2).</w:t>
      </w:r>
    </w:p>
    <w:p>
      <w:pPr>
        <w:jc w:val="center"/>
      </w:pPr>
      <w:r>
        <w:drawing>
          <wp:inline xmlns:a="http://schemas.openxmlformats.org/drawingml/2006/main" xmlns:pic="http://schemas.openxmlformats.org/drawingml/2006/picture">
            <wp:extent cx="5486400" cy="4257382"/>
            <wp:docPr id="72" name="Picture 72"/>
            <wp:cNvGraphicFramePr>
              <a:graphicFrameLocks noChangeAspect="1"/>
            </wp:cNvGraphicFramePr>
            <a:graphic>
              <a:graphicData uri="http://schemas.openxmlformats.org/drawingml/2006/picture">
                <pic:pic>
                  <pic:nvPicPr>
                    <pic:cNvPr id="0" name="c11ex002.png"/>
                    <pic:cNvPicPr/>
                  </pic:nvPicPr>
                  <pic:blipFill>
                    <a:blip r:embed="rId60"/>
                    <a:stretch>
                      <a:fillRect/>
                    </a:stretch>
                  </pic:blipFill>
                  <pic:spPr>
                    <a:xfrm>
                      <a:off x="0" y="0"/>
                      <a:ext cx="5486400" cy="4257382"/>
                    </a:xfrm>
                    <a:prstGeom prst="rect"/>
                  </pic:spPr>
                </pic:pic>
              </a:graphicData>
            </a:graphic>
          </wp:inline>
        </w:drawing>
      </w:r>
    </w:p>
    <w:p>
      <w:pPr>
        <w:spacing w:after="160"/>
        <w:jc w:val="center"/>
      </w:pPr>
      <w:r>
        <w:rPr>
          <w:rFonts w:ascii="Calibri" w:hAnsi="Calibri"/>
          <w:b w:val="0"/>
          <w:i/>
          <w:sz w:val="19"/>
        </w:rPr>
        <w:t>HÌNH 11.2</w:t>
      </w:r>
    </w:p>
    <w:p>
      <w:pPr>
        <w:spacing w:after="80"/>
        <w:ind w:left="360"/>
      </w:pPr>
      <w:r>
        <w:t xml:space="preserve">• </w:t>
      </w:r>
      <w:r>
        <w:rPr>
          <w:b/>
          <w:i w:val="0"/>
        </w:rPr>
        <w:t>Đầu vào—những gì agent nhận được.</w:t>
      </w:r>
      <w:r>
        <w:rPr>
          <w:b w:val="0"/>
          <w:i w:val="0"/>
        </w:rPr>
        <w:t xml:space="preserve"> Hãy nghĩ về một AI agent như một đồng nghiệp cần thông tin để làm việc và hướng dẫn về việc cần làm. Thông tin đó có thể là dữ liệu, tài liệu, tin nhắn khách hàng, tín hiệu cảm biến, quy tắc nghiệp vụ, hoặc các lệnh gọi API.</w:t>
        <w:br/>
        <w:t>Con người định hình quá trình này bằng cách xác định đầu vào tốt trông như thế nào, kết nối các nguồn dữ liệu phù hợp, và đặt ra các rào chắn về loại dữ liệu mà agent được phép sử dụng.</w:t>
      </w:r>
    </w:p>
    <w:p>
      <w:pPr>
        <w:spacing w:after="80"/>
        <w:ind w:left="360"/>
      </w:pPr>
      <w:r>
        <w:t xml:space="preserve">• </w:t>
      </w:r>
      <w:r>
        <w:rPr>
          <w:b/>
          <w:i w:val="0"/>
        </w:rPr>
        <w:t>Xử lý/lập luận—cách agent suy nghĩ.</w:t>
      </w:r>
      <w:r>
        <w:rPr>
          <w:b w:val="0"/>
          <w:i w:val="0"/>
        </w:rPr>
        <w:t xml:space="preserve"> Đây là nơi agent lập luận, truy xuất thông tin, chia nhỏ vấn đề thành các bước, kiểm tra công việc của mình, và quyết định bước tiếp theo. Nó hoạt động như một “cỗ máy nhận thức”.</w:t>
        <w:br/>
        <w:t>Con người định hình lập luận của agent bằng cách thiết kế prompt, cung cấp ngữ cảnh thông qua retrieval-augmented generation (RAG), chọn mô hình phù hợp, và xây dựng logic luồng công việc cùng các kiểm tra an toàn.</w:t>
      </w:r>
    </w:p>
    <w:p>
      <w:pPr>
        <w:spacing w:after="80"/>
        <w:ind w:left="360"/>
      </w:pPr>
      <w:r>
        <w:t xml:space="preserve">• </w:t>
      </w:r>
      <w:r>
        <w:rPr>
          <w:b/>
          <w:i w:val="0"/>
        </w:rPr>
        <w:t>Đầu ra—những gì agent mang lại.</w:t>
      </w:r>
      <w:r>
        <w:rPr>
          <w:b w:val="0"/>
          <w:i w:val="0"/>
        </w:rPr>
        <w:t xml:space="preserve"> Đầu ra có thể là câu trả lời, bản tóm tắt, hành động trong hệ thống, quyết định, cảnh báo, hoặc nội dung được tạo ra. Đó là “sản phẩm công việc” mà agent bàn giao.</w:t>
        <w:br/>
        <w:t>Con người định hình điều này bằng cách đặt ra tiêu chuẩn chất lượng, quyết định những gì agent được phép thực thi tự động (so với việc có con người tham gia giám sát), tích hợp đầu ra vào hệ thống, và xem xét các trường hợp ngoại lệ để cải thiện hiệu suất theo thời gian.</w:t>
      </w:r>
    </w:p>
    <w:p>
      <w:pPr>
        <w:spacing w:after="80"/>
      </w:pPr>
      <w:r>
        <w:rPr>
          <w:b w:val="0"/>
          <w:i w:val="0"/>
        </w:rPr>
        <w:t>Hãy xem điều này trông như thế nào đối với một AI agent có nhiệm vụ sắp xếp lại các bộ phận tại một nhà sản xuất OEM (Triển lãm 11.3). Đọc qua các hoạt động khác nhau của con người. Đây là kiểu công việc mà John—nhà hoạch định chuỗi cung ứng của chúng ta—được kỳ vọng sẽ làm trong một thế giới agentic. Lợi thế con người của John nằm ở khả năng phán đoán, tư duy hệ thống, giải quyết vấn đề liên chức năng, sự thành thạo các công nghệ agentic, và hiểu biết tổng thể về doanh nghiệp của anh ấy.</w:t>
      </w:r>
    </w:p>
    <w:p>
      <w:pPr>
        <w:jc w:val="center"/>
      </w:pPr>
      <w:r>
        <w:drawing>
          <wp:inline xmlns:a="http://schemas.openxmlformats.org/drawingml/2006/main" xmlns:pic="http://schemas.openxmlformats.org/drawingml/2006/picture">
            <wp:extent cx="5486400" cy="5377912"/>
            <wp:docPr id="73" name="Picture 73"/>
            <wp:cNvGraphicFramePr>
              <a:graphicFrameLocks noChangeAspect="1"/>
            </wp:cNvGraphicFramePr>
            <a:graphic>
              <a:graphicData uri="http://schemas.openxmlformats.org/drawingml/2006/picture">
                <pic:pic>
                  <pic:nvPicPr>
                    <pic:cNvPr id="0" name="c11ex003.png"/>
                    <pic:cNvPicPr/>
                  </pic:nvPicPr>
                  <pic:blipFill>
                    <a:blip r:embed="rId61"/>
                    <a:stretch>
                      <a:fillRect/>
                    </a:stretch>
                  </pic:blipFill>
                  <pic:spPr>
                    <a:xfrm>
                      <a:off x="0" y="0"/>
                      <a:ext cx="5486400" cy="5377912"/>
                    </a:xfrm>
                    <a:prstGeom prst="rect"/>
                  </pic:spPr>
                </pic:pic>
              </a:graphicData>
            </a:graphic>
          </wp:inline>
        </w:drawing>
      </w:r>
    </w:p>
    <w:p>
      <w:pPr>
        <w:spacing w:after="160"/>
        <w:jc w:val="center"/>
      </w:pPr>
      <w:r>
        <w:rPr>
          <w:rFonts w:ascii="Calibri" w:hAnsi="Calibri"/>
          <w:b w:val="0"/>
          <w:i/>
          <w:sz w:val="19"/>
        </w:rPr>
        <w:t>TRIỂN LÃM 11.3</w:t>
      </w:r>
    </w:p>
    <w:p>
      <w:pPr>
        <w:spacing w:after="80"/>
      </w:pPr>
      <w:r>
        <w:rPr>
          <w:b w:val="0"/>
          <w:i w:val="0"/>
        </w:rPr>
        <w:t>Nếu chúng ta lùi lại khỏi ví dụ này, chúng ta có thể bắt đầu hiểu được các kỹ năng sẽ phát triển như thế nào trong một thế giới agentic. Các công nghệ AI và tự động hóa hiện nay, về mặt lý thuyết, có thể tự động hóa khoảng 57% số giờ làm việc ở Mỹ, bao gồm cả các hoạt động thể chất lẫn nhận thức. Khi tự động hóa đảm nhận nhiều nhiệm vụ thường nhật hơn, nội dung công việc sẽ thay đổi, với con người chuyển dịch sang các hoạt động có giá trị cao hơn, không thể tự động hóa. Đây là quan điểm của chúng tôi về sự dịch chuyển kỹ năng cho ba nhóm vai trò:</w:t>
      </w:r>
    </w:p>
    <w:p>
      <w:pPr>
        <w:spacing w:after="80"/>
        <w:ind w:left="360"/>
      </w:pPr>
      <w:r>
        <w:t xml:space="preserve">1. </w:t>
      </w:r>
      <w:r>
        <w:rPr>
          <w:b/>
          <w:i w:val="0"/>
        </w:rPr>
        <w:t>Quản lý: Từ người giám sát thành người điều phối</w:t>
      </w:r>
      <w:r>
        <w:rPr>
          <w:b w:val="0"/>
          <w:i w:val="0"/>
        </w:rPr>
        <w:br/>
        <w:t>Vai trò của người quản lý đang được định nghĩa lại khi các agent đảm nhận nhiều nhiệm vụ thực thi hơn. Những người tiên phong báo cáo rằng các quản lý giờ đây dành nhiều thời gian hơn để hướng dẫn các quy trình làm việc kết hợp (chẳng hạn như giám sát hoạt động và xác minh kết quả) và phát triển các hướng dẫn hệ thống (ví dụ, quyết định khi nào con người can thiệp và khi nào agent tiếp quản). Colleen và John sẽ là những ví dụ điển hình về các quản lý đã trở thành người điều phối.</w:t>
        <w:br/>
        <w:t>Những người điều phối sẽ cần sự thông thạo AI để hiểu các quy trình làm việc của agent, dữ liệu đầu vào, và các chế độ thất bại, cũng như để đánh giá và quản lý chúng một cách hiệu quả. Họ cũng sẽ cần trí tuệ cảm xúc xã hội mạnh mẽ để xây dựng niềm tin và trấn an nhân viên, vì nhiều người sẽ cảm thấy không thoải mái và thậm chí bị đe dọa bởi những đồng nghiệp AI mới. Kỹ năng điều phối của họ sẽ đóng vai trò trung tâm trong việc tối đa hóa hiệu suất của các quy trình làm việc agentic và đảm bảo triển khai agent an toàn. Cuối cùng, khả năng phán đoán của họ trong các trường hợp ngoại lệ—khi các quy tắc không áp dụng rõ ràng và có sự mơ hồ—sẽ là yếu tố then chốt.</w:t>
        <w:br/>
        <w:t>Nhiệm vụ của người quản lý sẽ là cân bằng giữa phán đoán của con người với tính nhất quán, khả năng mở rộng và hiệu quả của máy móc, để đảm bảo trách nhiệm giải trình trong khi tối đa hóa hiệu suất hệ thống và học hỏi liên tục.</w:t>
      </w:r>
    </w:p>
    <w:p>
      <w:pPr>
        <w:spacing w:after="80"/>
        <w:ind w:left="360"/>
      </w:pPr>
      <w:r>
        <w:t xml:space="preserve">2. </w:t>
      </w:r>
      <w:r>
        <w:rPr>
          <w:b/>
          <w:i w:val="0"/>
        </w:rPr>
        <w:t>Chuyên gia: Từ người thực hành thành huấn luyện viên agent</w:t>
      </w:r>
      <w:r>
        <w:rPr>
          <w:b w:val="0"/>
          <w:i w:val="0"/>
        </w:rPr>
        <w:br/>
        <w:t>Các chuyên gia trong các lĩnh vực như bảo hiểm, tuân thủ, và R&amp;D ngày càng nhúng chuyên môn của họ vào các hệ thống AI—huấn luyện máy móc cách đưa ra quyết định an toàn trong các rào chắn được xác định. Giá trị của họ sẽ phụ thuộc vào mức độ hiệu quả mà họ có thể chỉ đạo, phát triển, và kiểm soát chất lượng các khả năng của agent, cũng như vào chính kiến thức của họ. Những người này sẽ là người đứng đầu kế hoạch kinh doanh tích hợp.</w:t>
        <w:br/>
        <w:br/>
      </w:r>
      <w:r>
        <w:rPr>
          <w:b/>
          <w:i/>
        </w:rPr>
        <w:t>Trước đây, sự thành thạo có nghĩa là trở thành người mà người khác tìm đến để có câu trả lời. Trong kỷ nguyên agentic, sự thành thạo có nghĩa là mã hóa logic mà AI agent có thể tạo ra câu trả lời đúng</w:t>
      </w:r>
      <w:r>
        <w:rPr>
          <w:b/>
          <w:i w:val="0"/>
        </w:rPr>
        <w:t>.</w:t>
      </w:r>
      <w:r>
        <w:rPr>
          <w:b w:val="0"/>
          <w:i w:val="0"/>
        </w:rPr>
        <w:t xml:space="preserve"> </w:t>
        <w:br/>
        <w:t>Các chuyên gia phải học cách chuyển dịch phán đoán thành các quy tắc, ngưỡng, và dữ liệu huấn luyện. Về bản chất, là hệ thống hóa kiến thức ngầm của họ. Họ cần trở nên thành thạo trong việc giám sát hành vi của agent, huấn luyện và tinh chỉnh đầu ra AI, điều chỉnh prompt, và tinh chỉnh các ngưỡng để tối ưu hóa hiệu suất, cũng như phát hiện các nhu cầu cải tiến.</w:t>
      </w:r>
    </w:p>
    <w:p>
      <w:pPr>
        <w:spacing w:after="80"/>
        <w:ind w:left="360"/>
      </w:pPr>
      <w:r>
        <w:t xml:space="preserve">3. </w:t>
      </w:r>
      <w:r>
        <w:rPr>
          <w:b/>
          <w:i w:val="0"/>
        </w:rPr>
        <w:t>Lãnh đạo doanh nghiệp: Từ chủ sở hữu lĩnh vực thành người tích hợp hệ thống</w:t>
      </w:r>
      <w:r>
        <w:rPr>
          <w:b w:val="0"/>
          <w:i w:val="0"/>
        </w:rPr>
        <w:br/>
        <w:t>Nếu các quản lý điều phối và các chuyên gia mã hóa, thì các lãnh đạo doanh nghiệp (hay còn gọi là chủ sở hữu lĩnh vực) tích hợp. Trên thực tế, nhiều thay đổi lớn nhất trong công việc mà con người làm có thể sẽ diễn ra trong các vai trò lãnh đạo hiện có. Ví dụ, các lãnh đạo doanh nghiệp sẽ cần biết cách thiết kế, lắp ráp, và cấu hình các hệ thống agentic. Họ biết các vấn đề kinh doanh cần giải quyết, họ có cái nhìn đầu-cuối về quy trình kinh doanh, và họ thành thạo trong việc xây dựng các quy trình làm việc/hệ thống agentic như đã mô tả trước đó.</w:t>
        <w:br/>
        <w:t>Những người này sẽ là sếp của John và Colleen: một VP chuỗi cung ứng hoặc một VP quản lý sản phẩm. Họ là những người đa năng đã phát triển một "cơ bắp công nghệ" để hiểu tiềm năng của AI và có chuyên môn lĩnh vực sâu sắc để hiểu cách áp dụng agent vào các quy trình đầu-cuối.</w:t>
        <w:br/>
        <w:t>Những người tích hợp có chuyên môn chủ đề sâu sắc theo lĩnh vực để định hướng, áp dụng phán đoán, và dẫn dắt con người. Họ hiểu các điểm đau của khách hàng và có tầm nhìn về cách phục vụ họ tốt hơn. Họ có kỹ năng giải quyết vấn đề tích hợp mạnh mẽ với khả năng kết nối các điểm qua các chức năng, công nghệ, và bối cảnh, thiết kế các giải pháp vượt qua ranh giới. Cuối cùng, họ là những người tối ưu hóa lợi nhuận với hiểu biết rộng về các đánh đổi kinh tế được phản ánh trong hệ thống agentic mà họ xây dựng.</w:t>
        <w:br/>
        <w:t>Họ thấy giá trị chảy qua các chức năng như thế nào, công nghệ thay đổi hình dạng công việc ra sao, và cách căn chỉnh các động lực để con người và agent bổ sung cho nhau thay vì cạnh tranh. Các chủ sở hữu lĩnh vực kinh doanh đang nhanh chóng trở thành các nút quan trọng của doanh nghiệp hiện đại. Một khi được nâng cao kỹ năng để quản lý các hệ thống agentic, họ sẽ dẫn dắt việc tái tưởng tượng lại doanh nghiệp, từng quy trình làm việc một.</w:t>
      </w:r>
    </w:p>
    <w:p>
      <w:pPr>
        <w:spacing w:after="80"/>
      </w:pPr>
      <w:r>
        <w:rPr>
          <w:b/>
          <w:i/>
        </w:rPr>
        <w:t>Kỹ năng tích hợp—kết nối các hệ thống, chức năng, quy trình, nguồn dữ liệu, quy tắc và chính sách, các đánh đổi kinh doanh, và các chân trời thời gian—sẽ là đơn vị tiền tệ mới của lãnh đạo</w:t>
      </w:r>
      <w:r>
        <w:rPr>
          <w:b/>
          <w:i w:val="0"/>
        </w:rPr>
        <w:t>.</w:t>
      </w:r>
    </w:p>
    <w:p>
      <w:pPr>
        <w:spacing w:after="80"/>
      </w:pPr>
      <w:r>
        <w:rPr>
          <w:b w:val="0"/>
          <w:i w:val="0"/>
        </w:rPr>
        <w:t>Như tầm quan trọng của ba vai trò này nhấn mạnh, sự tham gia của con người sẽ vẫn thiết yếu. Nhiều nhiệm vụ quan trọng đơn giản là không thể (và không nên) giao phó cho máy móc.</w:t>
      </w:r>
    </w:p>
    <w:p>
      <w:pPr>
        <w:pStyle w:val="Heading2"/>
      </w:pPr>
      <w:r>
        <w:rPr>
          <w:rFonts w:ascii="Calibri" w:hAnsi="Calibri"/>
          <w:b/>
          <w:i w:val="0"/>
          <w:sz w:val="32"/>
        </w:rPr>
        <w:t>Các mô hình tổ chức có thể phát triển như thế nào</w:t>
      </w:r>
    </w:p>
    <w:p>
      <w:pPr>
        <w:spacing w:after="80"/>
      </w:pPr>
      <w:r>
        <w:rPr>
          <w:b w:val="0"/>
          <w:i w:val="0"/>
        </w:rPr>
        <w:t>Hãy nghĩ lại về John và Colleen từ đầu chương này. Rõ ràng thành phần nhóm của họ đã thay đổi triệt để. Khá dễ để hình dung rằng họ sẽ đạt được nhiều công việc hơn với ít người hơn (và nhiều agent hơn) trong thế giới agentic này.</w:t>
      </w:r>
    </w:p>
    <w:p>
      <w:pPr>
        <w:spacing w:after="80"/>
      </w:pPr>
      <w:r>
        <w:rPr>
          <w:b w:val="0"/>
          <w:i w:val="0"/>
        </w:rPr>
        <w:t>Sự dịch chuyển này gợi ý ba hàm ý đối với các cấu trúc tổ chức:</w:t>
      </w:r>
    </w:p>
    <w:p>
      <w:pPr>
        <w:spacing w:after="80"/>
        <w:ind w:left="360"/>
      </w:pPr>
      <w:r>
        <w:t xml:space="preserve">1. </w:t>
      </w:r>
      <w:r>
        <w:rPr>
          <w:b/>
          <w:i w:val="0"/>
        </w:rPr>
        <w:t>Từ các đơn vị chức năng … đến các quy trình làm việc.</w:t>
      </w:r>
      <w:r>
        <w:rPr>
          <w:b w:val="0"/>
          <w:i w:val="0"/>
        </w:rPr>
        <w:t xml:space="preserve"> Khi các nhóm (và các "hoạt động cấp đầu vào" trong lịch sử) trở nên "agent hóa" hơn, các tổ chức có thể sẽ trở nên phẳng hơn. Và khi các agent ngày càng có khả năng làm việc xuyên chức năng một cách liền mạch, đơn vị tổ chức quan trọng có thể sẽ ngày càng trở thành quy trình làm việc chứ không phải chức năng.</w:t>
      </w:r>
    </w:p>
    <w:p>
      <w:pPr>
        <w:spacing w:after="80"/>
        <w:ind w:left="360"/>
      </w:pPr>
      <w:r>
        <w:t xml:space="preserve">2. </w:t>
      </w:r>
      <w:r>
        <w:rPr>
          <w:b/>
          <w:i w:val="0"/>
        </w:rPr>
        <w:t>Từ kim tự tháp … đến kim cương.</w:t>
      </w:r>
      <w:r>
        <w:rPr>
          <w:b w:val="0"/>
          <w:i w:val="0"/>
        </w:rPr>
        <w:t xml:space="preserve"> Trong một thế giới do AI dẫn dắt, tầng giữa gồm các lao động có kỹ năng cao hơn, những người có thể làm việc hiệu quả với AI, có thể đông hơn một nền tảng đang thu hẹp gồm các vai trò kỹ năng thấp hơn, cấp đầu vào, ngày càng bị tự động hóa. Tốc độ điều này xảy ra sẽ phụ thuộc ở một mức độ nào đó vào kiến trúc IT của công ty, nhưng nó sẽ có hàm ý đối với các thực hành quản lý, cấu trúc báo cáo, trách nhiệm và nghĩa vụ giải trình, quản lý hiệu suất, và phát triển sự nghiệp.</w:t>
      </w:r>
    </w:p>
    <w:p>
      <w:pPr>
        <w:spacing w:after="80"/>
        <w:ind w:left="360"/>
      </w:pPr>
      <w:r>
        <w:t xml:space="preserve">3. </w:t>
      </w:r>
      <w:r>
        <w:rPr>
          <w:b/>
          <w:i w:val="0"/>
        </w:rPr>
        <w:t>Từ học nghề dựa trên quan sát … đến học nghề dựa trên mô phỏng và phán đoán.</w:t>
      </w:r>
      <w:r>
        <w:rPr>
          <w:b w:val="0"/>
          <w:i w:val="0"/>
        </w:rPr>
        <w:t xml:space="preserve"> Chúng ta đang chuyển từ một mô hình học nghề được xây dựng trên quan sát và lặp lại sang một mô hình học tập mới lấy mô phỏng và phán đoán làm trung tâm. Con người có thể không còn học bằng cách "xem công việc" hoặc dần dần leo lên nấc thang phức tạp.</w:t>
        <w:br/>
        <w:t>Thay vào đó, các tổ chức sẽ chủ động tạo ra các môi trường mô phỏng—những không gian thực hành chân thực, được hỗ trợ bởi AI, nơi nhân viên có thể tập dượt các quyết định, khám phá các tình huống, và học hỏi an toàn từ sai lầm, giống như phi công trong buồng lái mô phỏng. Sự phát triển chuyển từ làm nhiệm vụ sang hiểu các đánh đổi, đánh giá đầu ra AI, và thực hành phán đoán trong các tình huống mơ hồ.</w:t>
      </w:r>
    </w:p>
    <w:p>
      <w:pPr>
        <w:jc w:val="center"/>
      </w:pPr>
      <w:r>
        <w:drawing>
          <wp:inline xmlns:a="http://schemas.openxmlformats.org/drawingml/2006/main" xmlns:pic="http://schemas.openxmlformats.org/drawingml/2006/picture">
            <wp:extent cx="457200" cy="447675"/>
            <wp:docPr id="74" name="Picture 74"/>
            <wp:cNvGraphicFramePr>
              <a:graphicFrameLocks noChangeAspect="1"/>
            </wp:cNvGraphicFramePr>
            <a:graphic>
              <a:graphicData uri="http://schemas.openxmlformats.org/drawingml/2006/picture">
                <pic:pic>
                  <pic:nvPicPr>
                    <pic:cNvPr id="0" name="IN_THEIR_WORDS_violet.png"/>
                    <pic:cNvPicPr/>
                  </pic:nvPicPr>
                  <pic:blipFill>
                    <a:blip r:embed="rId46"/>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HỌ</w:t>
      </w:r>
    </w:p>
    <w:p>
      <w:pPr>
        <w:pStyle w:val="Heading3"/>
      </w:pPr>
      <w:r>
        <w:rPr>
          <w:rFonts w:ascii="Calibri" w:hAnsi="Calibri"/>
          <w:b/>
          <w:i w:val="0"/>
          <w:sz w:val="26"/>
        </w:rPr>
        <w:t>Tầm quan trọng của tài năng trẻ</w:t>
      </w:r>
    </w:p>
    <w:p>
      <w:pPr>
        <w:spacing w:after="80"/>
      </w:pPr>
      <w:r>
        <w:rPr>
          <w:b w:val="0"/>
          <w:i w:val="0"/>
        </w:rPr>
        <w:t>“Giờ đây, một số công ty đang quyết định không tuyển dụng cho các vị trí mới vào nghề. Tôi nghĩ đó là một trong những quyết định thiếu hiểu biết nhất mà một công ty có thể đưa ra. Những người mới vào nghề thường mang đến những ý tưởng mới. Nếu bạn nhìn cách một người 20 tuổi và một người 30 tuổi sử dụng AI, nó khác biệt một trời một vực. Người 30 tuổi nghĩ về AI như Google được tăng cường sức mạnh. Người 20 tuổi nghĩ về AI như một người bạn đồng hành. Họ coi nó là một đối tác để cùng suy nghĩ. Họ đặt câu hỏi cho nó. Đó không phải là một mối quan hệ giao dịch.</w:t>
      </w:r>
    </w:p>
    <w:p>
      <w:pPr>
        <w:spacing w:after="80"/>
      </w:pPr>
      <w:r>
        <w:rPr>
          <w:b w:val="0"/>
          <w:i w:val="0"/>
        </w:rPr>
        <w:t>Có một bản năng khác khi ai đó đã sử dụng AI trong suốt những ngày đi học. Càng nhiều thời gian trôi qua, chúng ta sẽ càng thấy nhiều người bản địa AI hơn. Những người sinh ra ngày hôm nay sẽ không bao giờ thấy một thế giới không có AI. Họ sẽ sống một cuộc đời rất khác so với bạn và tôi. Chúng ta có cơ hội học hỏi từ họ. Tài năng đó rất quan trọng để đưa vào tổ chức của bạn, để bạn có thể nâng cao tiêu chuẩn.”</w:t>
      </w:r>
    </w:p>
    <w:p>
      <w:pPr>
        <w:spacing w:after="80"/>
      </w:pPr>
      <w:r>
        <w:rPr>
          <w:b/>
          <w:i/>
        </w:rPr>
        <w:t>— Jeetu Patel, Chủ tịch kiêm Giám đốc Sản phẩm, Cisco</w:t>
      </w:r>
    </w:p>
    <w:p>
      <w:pPr>
        <w:spacing w:after="80"/>
      </w:pPr>
      <w:r>
        <w:rPr>
          <w:b w:val="0"/>
          <w:i w:val="0"/>
        </w:rPr>
        <w:t>Chúng ta vẫn chưa thể chỉ ra bất kỳ tổ chức nào đã thực hiện những thay đổi này ở quy mô lớn. Theo một nghĩa nào đó, chúng ta đang nhìn lén quanh góc phố.</w:t>
      </w:r>
    </w:p>
    <w:p>
      <w:pPr>
        <w:spacing w:after="80"/>
      </w:pPr>
      <w:r>
        <w:rPr>
          <w:b w:val="0"/>
          <w:i w:val="0"/>
        </w:rPr>
        <w:t>Những tổ chức thích nghi tốt nhất sẽ là những tổ chức có thể tái cấu trúc đội ngũ liên tục dựa trên sự tương tác giữa kỹ năng con người và năng lực của tác nhân (agent).</w:t>
      </w:r>
    </w:p>
    <w:p>
      <w:pPr>
        <w:pStyle w:val="Heading2"/>
      </w:pPr>
      <w:r>
        <w:rPr>
          <w:rFonts w:ascii="Calibri" w:hAnsi="Calibri"/>
          <w:b/>
          <w:i w:val="0"/>
          <w:sz w:val="32"/>
        </w:rPr>
        <w:t>Lời khuyên nhân sự thực tế cho một tương lai tác nhân đầy bất định</w:t>
      </w:r>
    </w:p>
    <w:p>
      <w:pPr>
        <w:spacing w:after="80"/>
      </w:pPr>
      <w:r>
        <w:rPr>
          <w:b w:val="0"/>
          <w:i w:val="0"/>
        </w:rPr>
        <w:t>Nhiều bài bình luận nhảy ngay đến ý tưởng rằng mọi bản mô tả công việc đều phải được tái tạo cho AI tác nhân (agentic AI), nhưng thực tế trên thực địa lại khác. Các quy trình làm việc tác nhân (agentic workflow) vẫn còn khó xây dựng, cực kỳ dễ vỡ, và còn xa mới trở thành quy trình vận hành tiêu chuẩn.</w:t>
      </w:r>
    </w:p>
    <w:p>
      <w:pPr>
        <w:spacing w:after="80"/>
      </w:pPr>
      <w:r>
        <w:rPr>
          <w:b/>
          <w:i/>
        </w:rPr>
        <w:t>Rủi ro lớn nhất đối với các nhà lãnh đạo nhân sự là phản ứng thái quá trước sự cường điệu hoặc chuẩn bị quá ít cho một sự chuyển dịch tất yếu. Tư thế đúng đắn là những bước đi tạo quyền lựa chọn (optionality) mang lại giá trị ngay hôm nay và tạo sự linh hoạt cho ngày mai, bất kể các hệ thống tác nhân trưởng thành nhanh đến đâu</w:t>
      </w:r>
      <w:r>
        <w:rPr>
          <w:b/>
          <w:i w:val="0"/>
        </w:rPr>
        <w:t>.</w:t>
      </w:r>
    </w:p>
    <w:p>
      <w:pPr>
        <w:spacing w:after="80"/>
      </w:pPr>
      <w:r>
        <w:rPr>
          <w:b w:val="0"/>
          <w:i w:val="0"/>
        </w:rPr>
        <w:t>Sau đây là những bước đi về tài năng không-hối-tiếc, thực tế và xây dựng uy tín mà các CHRO và CEO nên thực hiện ngay bây giờ, ngay cả trong một thế giới mà thời điểm và mức độ ứng dụng còn bất định.</w:t>
      </w:r>
    </w:p>
    <w:p>
      <w:pPr>
        <w:spacing w:after="80"/>
        <w:ind w:left="360"/>
      </w:pPr>
      <w:r>
        <w:t xml:space="preserve">1. </w:t>
      </w:r>
      <w:r>
        <w:rPr>
          <w:b/>
          <w:i w:val="0"/>
        </w:rPr>
        <w:t>Xây dựng “sự thông thạo AI” rộng khắp, không phải chuyên môn kỹ thuật sâu.</w:t>
      </w:r>
      <w:r>
        <w:rPr>
          <w:b w:val="0"/>
          <w:i w:val="0"/>
        </w:rPr>
        <w:t xml:space="preserve"> Đừng cố gắng xây dựng một đội quân kỹ sư viết prompt hay người xây dựng tác nhân. Còn quá sớm. Thay vào đó, hãy cho mỗi quản lý và chuyên gia một </w:t>
      </w:r>
      <w:r>
        <w:rPr>
          <w:b w:val="0"/>
          <w:i/>
        </w:rPr>
        <w:t>mô hình tư duy chung</w:t>
      </w:r>
      <w:r>
        <w:rPr>
          <w:b w:val="0"/>
          <w:i w:val="0"/>
        </w:rPr>
        <w:t xml:space="preserve"> về những gì tác nhân có thể và không thể làm. Dạy những điều cơ bản về phân rã công việc (biến công việc thành các nhiệm vụ), giám sát và phán đoán. Huấn luyện mọi người cách cộng tác với các công cụ AI mà họ thực sự dùng ngày hôm nay.</w:t>
        <w:br/>
      </w:r>
      <w:r>
        <w:rPr>
          <w:b/>
          <w:i w:val="0"/>
        </w:rPr>
        <w:t>Vì sao đây là bước không-hối-tiếc:</w:t>
      </w:r>
      <w:r>
        <w:rPr>
          <w:b w:val="0"/>
          <w:i w:val="0"/>
        </w:rPr>
        <w:t xml:space="preserve"> Ngay cả khi các quy trình tác nhân bị đình trệ, sự thông thạo AI vẫn cải thiện năng suất và việc ra quyết định ngay lập tức.</w:t>
      </w:r>
    </w:p>
    <w:p>
      <w:pPr>
        <w:spacing w:after="80"/>
        <w:ind w:left="360"/>
      </w:pPr>
      <w:r>
        <w:t xml:space="preserve">2. </w:t>
      </w:r>
      <w:r>
        <w:rPr>
          <w:b/>
          <w:i w:val="0"/>
        </w:rPr>
        <w:t>Chuyên nghiệp hóa “tư duy quy trình” trong toàn tổ chức.</w:t>
      </w:r>
      <w:r>
        <w:rPr>
          <w:b w:val="0"/>
          <w:i w:val="0"/>
        </w:rPr>
        <w:t xml:space="preserve"> Trong một thế giới tác nhân, kỹ năng con người khan hiếm không phải là lập trình—mà là hiểu </w:t>
      </w:r>
      <w:r>
        <w:rPr>
          <w:b w:val="0"/>
          <w:i/>
        </w:rPr>
        <w:t>công việc thực sự diễn ra như thế nào</w:t>
      </w:r>
      <w:r>
        <w:rPr>
          <w:b w:val="0"/>
          <w:i w:val="0"/>
        </w:rPr>
        <w:t>. Dạy các đội cách vẽ bản đồ quy trình từ đầu đến cuối; phát hiện các điểm bàn giao, nút thắt cổ chai và các nhiệm vụ có độ biến động cao; và xác định công nghệ hiện có nào là tốt nhất để tự động hóa.</w:t>
        <w:br/>
      </w:r>
      <w:r>
        <w:rPr>
          <w:b/>
          <w:i w:val="0"/>
        </w:rPr>
        <w:t>Vì sao đây là bước không-hối-tiếc:</w:t>
      </w:r>
      <w:r>
        <w:rPr>
          <w:b w:val="0"/>
          <w:i w:val="0"/>
        </w:rPr>
        <w:t xml:space="preserve"> Điều này có giá trị cho tinh gọn (lean), tự động hóa và tự động hóa quy trình nhanh (RPA) cũng như cho các quy trình tác nhân trong tương lai. Nó tạo ra cơ bắp tổ chức giúp mở khóa bất kỳ công nghệ tương lai nào.</w:t>
      </w:r>
    </w:p>
    <w:p>
      <w:pPr>
        <w:spacing w:after="80"/>
        <w:ind w:left="360"/>
      </w:pPr>
      <w:r>
        <w:t xml:space="preserve">3. </w:t>
      </w:r>
      <w:r>
        <w:rPr>
          <w:b/>
          <w:i w:val="0"/>
        </w:rPr>
        <w:t>Luân chuyển tài năng qua các “ngọn hải đăng tác nhân.”</w:t>
      </w:r>
      <w:r>
        <w:rPr>
          <w:b w:val="0"/>
          <w:i w:val="0"/>
        </w:rPr>
        <w:t xml:space="preserve"> Thay vì các chương trình đào tạo lại hoành tráng hay tái thiết kế vai trò, hãy thành lập ba đến năm đội liên chức năng để thử nghiệm mỗi đội một quy trình. Dùng các bài toán kinh doanh thực tế, không phải phòng thí nghiệm. Điều này tạo ra một điểm tập trung để luân chuyển những tài năng tiềm năng cao qua đó, giúp họ có cơ hội tiếp xúc và bắt đầu xây dựng kỹ năng thực tế. Hãy để nhân sự theo dõi những năng lực mới xuất hiện một cách tự nhiên.</w:t>
        <w:br/>
      </w:r>
      <w:r>
        <w:rPr>
          <w:b/>
          <w:i w:val="0"/>
        </w:rPr>
        <w:t>Vì sao đây là bước không-hối-tiếc:</w:t>
      </w:r>
      <w:r>
        <w:rPr>
          <w:b w:val="0"/>
          <w:i w:val="0"/>
        </w:rPr>
        <w:t xml:space="preserve"> Bạn tạo ra việc học hỏi và xây dựng khả năng nhận diện mẫu ở quy mô nhỏ, điều này sẽ giúp giảm rủi ro khi thời điểm thích hợp để tăng tốc đến.</w:t>
      </w:r>
    </w:p>
    <w:p>
      <w:pPr>
        <w:spacing w:after="80"/>
        <w:ind w:left="360"/>
      </w:pPr>
      <w:r>
        <w:t xml:space="preserve">4. </w:t>
      </w:r>
      <w:r>
        <w:rPr>
          <w:b/>
          <w:i w:val="0"/>
        </w:rPr>
        <w:t>Bắt đầu thiết kế lại kỳ vọng về lãnh đạo.</w:t>
      </w:r>
      <w:r>
        <w:rPr>
          <w:b w:val="0"/>
          <w:i w:val="0"/>
        </w:rPr>
        <w:t xml:space="preserve"> Đừng viết lại toàn bộ mô hình năng lực. Nhưng hãy bắt đầu nâng cao kỳ vọng xung quanh các kỹ năng được mô tả ở phần trước: phán đoán trong các tình huống mơ hồ, khả năng giám sát các quy trình phức tạp, điều phối liên chức năng và tư duy hệ thống.</w:t>
        <w:br/>
      </w:r>
      <w:r>
        <w:rPr>
          <w:b/>
          <w:i w:val="0"/>
        </w:rPr>
        <w:t>Vì sao đây là bước không-hối-tiếc:</w:t>
      </w:r>
      <w:r>
        <w:rPr>
          <w:b w:val="0"/>
          <w:i w:val="0"/>
        </w:rPr>
        <w:t xml:space="preserve"> Những phẩm chất lãnh đạo này quan trọng ngay cả khi không có tác nhân—và trở nên khác biệt nếu/khi các hệ thống tác nhân tăng tốc.</w:t>
      </w:r>
    </w:p>
    <w:p>
      <w:pPr>
        <w:spacing w:after="80"/>
        <w:ind w:left="360"/>
      </w:pPr>
      <w:r>
        <w:t xml:space="preserve">5. </w:t>
      </w:r>
      <w:r>
        <w:rPr>
          <w:b/>
          <w:i w:val="0"/>
        </w:rPr>
        <w:t>Làm mới kiến trúc tài năng của bạn xoay quanh người điều phối, huấn luyện viên tác nhân và người tích hợp.</w:t>
      </w:r>
      <w:r>
        <w:rPr>
          <w:b w:val="0"/>
          <w:i w:val="0"/>
        </w:rPr>
        <w:t xml:space="preserve"> Bạn </w:t>
      </w:r>
      <w:r>
        <w:rPr>
          <w:b w:val="0"/>
          <w:i/>
        </w:rPr>
        <w:t>không</w:t>
      </w:r>
      <w:r>
        <w:rPr>
          <w:b w:val="0"/>
          <w:i w:val="0"/>
        </w:rPr>
        <w:t xml:space="preserve"> cần các vai trò mới chính thức ngay bây giờ. Nhưng hãy xác định những quản lý, chuyên gia và nhà lãnh đạo kinh doanh tự nhiên thể hiện tài năng của người điều phối, huấn luyện viên tác nhân và người tích hợp (như đã mô tả trước đó). Bắt đầu phát triển họ một cách có chủ đích thông qua luân chuyển và huấn luyện.</w:t>
        <w:br/>
      </w:r>
      <w:r>
        <w:rPr>
          <w:b/>
          <w:i w:val="0"/>
        </w:rPr>
        <w:t>Vì sao đây là bước không-hối-tiếc:</w:t>
      </w:r>
      <w:r>
        <w:rPr>
          <w:b w:val="0"/>
          <w:i w:val="0"/>
        </w:rPr>
        <w:t xml:space="preserve"> Những người này rất quan trọng ngay cả trong mô hình vận hành ngày nay—tác nhân chỉ đơn giản khuếch đại giá trị của họ.</w:t>
      </w:r>
    </w:p>
    <w:p>
      <w:pPr>
        <w:spacing w:after="80"/>
        <w:ind w:left="360"/>
      </w:pPr>
      <w:r>
        <w:t xml:space="preserve">6. </w:t>
      </w:r>
      <w:r>
        <w:rPr>
          <w:b/>
          <w:i w:val="0"/>
        </w:rPr>
        <w:t>Tăng tốc xây dựng các năng lực nền tảng xung quanh dữ liệu và mô hình vận hành.</w:t>
      </w:r>
      <w:r>
        <w:rPr>
          <w:b w:val="0"/>
          <w:i w:val="0"/>
        </w:rPr>
        <w:t xml:space="preserve"> Những công ty đạt tiến bộ nhanh nhất trong AI là những công ty đã xây dựng một nền tảng dữ liệu thống nhất (xem Mục Năm để biết thêm) và vận hành theo các đội liên chức năng theo lĩnh vực và nền tảng (Chương 13). Bạn không thể nhảy thẳng đến tác nhân mà không có những thứ này.</w:t>
        <w:br/>
      </w:r>
      <w:r>
        <w:rPr>
          <w:b/>
          <w:i w:val="0"/>
        </w:rPr>
        <w:t>Vì sao đây là bước không-hối-tiếc:</w:t>
      </w:r>
      <w:r>
        <w:rPr>
          <w:b w:val="0"/>
          <w:i w:val="0"/>
        </w:rPr>
        <w:t xml:space="preserve"> Đây là nền tảng cho bất kỳ chuyển đổi Công nghệ &amp; AI nào, dù là tác nhân hay không.</w:t>
      </w:r>
    </w:p>
    <w:p>
      <w:pPr>
        <w:jc w:val="center"/>
      </w:pPr>
      <w:r>
        <w:drawing>
          <wp:inline xmlns:a="http://schemas.openxmlformats.org/drawingml/2006/main" xmlns:pic="http://schemas.openxmlformats.org/drawingml/2006/picture">
            <wp:extent cx="1905000" cy="104775"/>
            <wp:docPr id="75" name="Picture 75"/>
            <wp:cNvGraphicFramePr>
              <a:graphicFrameLocks noChangeAspect="1"/>
            </wp:cNvGraphicFramePr>
            <a:graphic>
              <a:graphicData uri="http://schemas.openxmlformats.org/drawingml/2006/picture">
                <pic:pic>
                  <pic:nvPicPr>
                    <pic:cNvPr id="0" name="CHAPTEREND_RULE_violet.png"/>
                    <pic:cNvPicPr/>
                  </pic:nvPicPr>
                  <pic:blipFill>
                    <a:blip r:embed="rId49"/>
                    <a:stretch>
                      <a:fillRect/>
                    </a:stretch>
                  </pic:blipFill>
                  <pic:spPr>
                    <a:xfrm>
                      <a:off x="0" y="0"/>
                      <a:ext cx="1905000" cy="104775"/>
                    </a:xfrm>
                    <a:prstGeom prst="rect"/>
                  </pic:spPr>
                </pic:pic>
              </a:graphicData>
            </a:graphic>
          </wp:inline>
        </w:drawing>
      </w:r>
    </w:p>
    <w:p>
      <w:pPr>
        <w:spacing w:after="80"/>
      </w:pPr>
      <w:r>
        <w:rPr>
          <w:b w:val="0"/>
          <w:i w:val="0"/>
        </w:rPr>
        <w:t>Bạn không cần dự đoán tương lai nhưng bạn cần sẵn sàng cho bất kỳ kịch bản nào trong ba kịch bản này: tiếp nhận tác nhân chậm, ứng dụng vừa phải, hoặc tăng tốc đột ngột. Thực hiện những bước đi này có thể giúp cải thiện hiệu suất ngay hôm nay, tạo quyền lựa chọn cho ngày mai, và tránh việc vươn quá xa do bị cường điệu thúc đẩy.</w:t>
      </w:r>
    </w:p>
    <w:p>
      <w:pPr>
        <w:pStyle w:val="Heading2"/>
      </w:pPr>
      <w:r>
        <w:rPr>
          <w:rFonts w:ascii="Calibri" w:hAnsi="Calibri"/>
          <w:b/>
          <w:i w:val="0"/>
          <w:sz w:val="32"/>
        </w:rPr>
        <w:t>ĐÃ ĐẾN LÚC NHÌN LẠI</w:t>
      </w:r>
    </w:p>
    <w:p>
      <w:pPr>
        <w:pStyle w:val="Heading2"/>
      </w:pPr>
      <w:r>
        <w:rPr>
          <w:rFonts w:ascii="Calibri" w:hAnsi="Calibri"/>
          <w:b/>
          <w:i w:val="0"/>
          <w:sz w:val="32"/>
        </w:rPr>
        <w:t>Những điểm nổi bật</w:t>
      </w:r>
    </w:p>
    <w:p>
      <w:pPr>
        <w:spacing w:after="80"/>
      </w:pPr>
      <w:r>
        <w:rPr>
          <w:b w:val="0"/>
          <w:i w:val="0"/>
        </w:rPr>
        <w:t>Hãy dành một chút thời gian để tự nhắc mình về những điểm quan trọng nhất của phần này, và đánh giá xem bạn đang ở đâu trên hành trình.</w:t>
      </w:r>
    </w:p>
    <w:p>
      <w:pPr>
        <w:spacing w:after="80"/>
      </w:pPr>
      <w:r>
        <w:rPr>
          <w:b/>
          <w:i w:val="0"/>
        </w:rPr>
        <w:t>Mọi chuyển đổi Công nghệ &amp; AI thực chất đều là chuyển đổi con người.</w:t>
      </w:r>
      <w:r>
        <w:rPr>
          <w:b w:val="0"/>
          <w:i w:val="0"/>
        </w:rPr>
        <w:t xml:space="preserve"> Làm đúng về nhân tài quan trọng hơn việc chọn use case nào để phát triển hay công nghệ nào để triển khai. Hãy có một kế hoạch rõ ràng để xây dựng đội ngũ nhân tài mà bạn cần.</w:t>
      </w:r>
    </w:p>
    <w:p>
      <w:pPr>
        <w:spacing w:after="80"/>
      </w:pPr>
      <w:r>
        <w:rPr>
          <w:b/>
          <w:i w:val="0"/>
        </w:rPr>
        <w:t>Các nhà lãnh đạo lĩnh vực là những người quan trọng nhất cần được nâng cao kỹ năng.</w:t>
      </w:r>
      <w:r>
        <w:rPr>
          <w:b w:val="0"/>
          <w:i w:val="0"/>
        </w:rPr>
        <w:t xml:space="preserve"> Những lãnh đạo cấp cao này vốn đã điều hành các quy trình kinh doanh chính của bạn, nên họ nắm giữ kiến thức lĩnh vực quý giá. Sau khi được nâng cao kỹ năng, họ sẽ dẫn dắt các nỗ lực tái tưởng tượng và ứng dụng công nghệ để đạt được trải nghiệm khách hàng tốt hơn và chi phí đơn vị thấp hơn. Hãy đầu tư mạnh mẽ vào việc xây dựng kỹ năng công nghệ cho họ.</w:t>
      </w:r>
    </w:p>
    <w:p>
      <w:pPr>
        <w:spacing w:after="80"/>
      </w:pPr>
      <w:r>
        <w:rPr>
          <w:b/>
          <w:i w:val="0"/>
        </w:rPr>
        <w:t>Mở rộng tác động của Công nghệ &amp; AI sẽ đòi hỏi phải chuyển đổi IT.</w:t>
      </w:r>
      <w:r>
        <w:rPr>
          <w:b w:val="0"/>
          <w:i w:val="0"/>
        </w:rPr>
        <w:t xml:space="preserve"> Bạn nên tuân theo các dịch chuyển 30–70 khi thúc đẩy ba thay đổi quan trọng nhất trong cơ cấu nhân tài IT của mình: 70%+ nhân tài nên là nội bộ, 70%+ trong số đó nên là kỹ sư "làm thực", và 70%+ trong số đó nên ở mức thành thạo hoặc chuyên gia.</w:t>
      </w:r>
    </w:p>
    <w:p>
      <w:pPr>
        <w:spacing w:after="80"/>
      </w:pPr>
      <w:r>
        <w:rPr>
          <w:b/>
          <w:i w:val="0"/>
        </w:rPr>
        <w:t>Xây dựng hệ thống quản lý công nghệ của bạn xoay quanh kỹ năng, không phải vai trò.</w:t>
      </w:r>
      <w:r>
        <w:rPr>
          <w:b w:val="0"/>
          <w:i w:val="0"/>
        </w:rPr>
        <w:t xml:space="preserve"> Thiết lập các dấu mốc năng lực rõ ràng cho các nhóm công việc khác nhau để đảm bảo tuyển dụng chất lượng, trả lương công bằng và phát triển sự nghiệp cho nhân tài công nghệ. Việc này cần thời gian để triển khai nhưng rất đáng đầu tư để đảm bảo nhân tài công nghệ của bạn phát triển mạnh.</w:t>
      </w:r>
    </w:p>
    <w:p>
      <w:pPr>
        <w:spacing w:after="80"/>
      </w:pPr>
      <w:r>
        <w:rPr>
          <w:b/>
          <w:i w:val="0"/>
        </w:rPr>
        <w:t>Đừng phản ứng thái quá với cơn sốt agentic AI nhưng hãy chuẩn bị cho nó.</w:t>
      </w:r>
      <w:r>
        <w:rPr>
          <w:b w:val="0"/>
          <w:i w:val="0"/>
        </w:rPr>
        <w:t xml:space="preserve"> Vai trò của quản lý, chuyên gia và lãnh đạo doanh nghiệp có thể thay đổi đáng kể trong một thế giới agentic, và các mô hình tổ chức cũng vậy. Nhanh đến mức nào thì chưa rõ, nhưng tư thế đúng là giữ mở các lựa chọn bằng cách đầu tư vào các sáng kiến nhân tài mang lại giá trị hôm nay và xây dựng năng lực bạn cần cho ngày mai.</w:t>
      </w:r>
    </w:p>
    <w:p>
      <w:pPr>
        <w:pStyle w:val="Heading2"/>
      </w:pPr>
      <w:r>
        <w:rPr>
          <w:rFonts w:ascii="Calibri" w:hAnsi="Calibri"/>
          <w:b/>
          <w:i w:val="0"/>
          <w:sz w:val="32"/>
        </w:rPr>
        <w:t>Bạn đang ở đâu trên hành trình?</w:t>
      </w:r>
    </w:p>
    <w:p>
      <w:pPr>
        <w:spacing w:after="80"/>
      </w:pPr>
      <w:r>
        <w:rPr>
          <w:b w:val="0"/>
          <w:i w:val="0"/>
        </w:rPr>
        <w:t>Những câu hỏi này có thể giúp làm rõ bạn đang ở đâu trên hành trình so với những đơn vị dẫn đầu. Hãy quét mã QR ở cuối nếu bạn muốn làm bài đánh giá trực tuyến.</w:t>
      </w:r>
    </w:p>
    <w:p>
      <w:pPr>
        <w:spacing w:after="80"/>
      </w:pPr>
      <w:r>
        <w:rPr>
          <w:b/>
          <w:i w:val="0"/>
        </w:rPr>
        <w:t>Q1. Công ty bạn có những nhà lãnh đạo kinh doanh cấp cao với "cơ bắp công nghệ" không?</w:t>
      </w:r>
    </w:p>
    <w:p>
      <w:pPr>
        <w:spacing w:after="80"/>
      </w:pPr>
      <w:r>
        <w:rPr>
          <w:b/>
          <w:i w:val="0"/>
        </w:rPr>
        <w:t>Dẫn đầu:</w:t>
      </w:r>
      <w:r>
        <w:rPr>
          <w:b w:val="0"/>
          <w:i w:val="0"/>
        </w:rPr>
        <w:t xml:space="preserve"> Hầu hết các nhà lãnh đạo kinh doanh cấp cao của chúng tôi đều có khả năng tái tưởng tượng các lĩnh vực kinh doanh bằng công nghệ và AI, giám sát việc triển khai công nghệ, và đảm bảo hiện thực hóa giá trị.</w:t>
      </w:r>
    </w:p>
    <w:p>
      <w:pPr>
        <w:spacing w:after="80"/>
      </w:pPr>
      <w:r>
        <w:rPr>
          <w:b/>
          <w:i w:val="0"/>
        </w:rPr>
        <w:t>Q2: Công ty bạn đã hiện đại hóa và nâng cao kỹ năng cho nhân tài IT để có thể hỗ trợ hiệu quả các tham vọng kinh doanh của bạn bằng công nghệ và AI chưa?</w:t>
      </w:r>
    </w:p>
    <w:p>
      <w:pPr>
        <w:spacing w:after="80"/>
      </w:pPr>
      <w:r>
        <w:rPr>
          <w:b/>
          <w:i w:val="0"/>
        </w:rPr>
        <w:t>Dẫn đầu:</w:t>
      </w:r>
      <w:r>
        <w:rPr>
          <w:b w:val="0"/>
          <w:i w:val="0"/>
        </w:rPr>
        <w:t xml:space="preserve"> 70% hoặc hơn nhân tài kỹ thuật là nội bộ; 70% hoặc hơn có mức năng lực cao; 70% hoặc hơn là kỹ sư, không phải quản lý.</w:t>
      </w:r>
    </w:p>
    <w:p>
      <w:pPr>
        <w:spacing w:after="80"/>
      </w:pPr>
      <w:r>
        <w:rPr>
          <w:b/>
          <w:i w:val="0"/>
        </w:rPr>
        <w:t>Q3. Công ty bạn có thể quản lý nhân tài kỹ thuật tốt không?</w:t>
      </w:r>
    </w:p>
    <w:p>
      <w:pPr>
        <w:spacing w:after="80"/>
      </w:pPr>
      <w:r>
        <w:rPr>
          <w:b/>
          <w:i w:val="0"/>
        </w:rPr>
        <w:t>Dẫn đầu:</w:t>
      </w:r>
      <w:r>
        <w:rPr>
          <w:b w:val="0"/>
          <w:i w:val="0"/>
        </w:rPr>
        <w:t xml:space="preserve"> Các thực hành HR của chúng tôi sánh ngang với các công ty công nghệ hàng đầu, bao gồm việc sử dụng các dấu mốc năng lực kỹ năng, lộ trình sự nghiệp kỹ thuật vận hành tốt, và trả lương ở mức phù hợp với kỹ năng và thị trường.</w:t>
      </w:r>
    </w:p>
    <w:p>
      <w:pPr>
        <w:spacing w:after="80"/>
      </w:pPr>
      <w:r>
        <w:rPr>
          <w:b/>
          <w:i w:val="0"/>
        </w:rPr>
        <w:t>Câu hỏi 4. Bạn có đang thử nghiệm tác động tiềm tàng của AI dạng tác tử (agentic AI) lên lực lượng lao động của mình không?</w:t>
      </w:r>
    </w:p>
    <w:p>
      <w:pPr>
        <w:spacing w:after="80"/>
      </w:pPr>
      <w:r>
        <w:rPr>
          <w:b/>
          <w:i w:val="0"/>
        </w:rPr>
        <w:t>Đẳng cấp nhất:</w:t>
      </w:r>
      <w:r>
        <w:rPr>
          <w:b w:val="0"/>
          <w:i w:val="0"/>
        </w:rPr>
        <w:t xml:space="preserve"> Chúng tôi đã đưa các quy trình tác tử vào vận hành thực tế ở quy mô lớn, với vai trò và trách nhiệm được phân định rõ ràng cho con người khi làm việc cùng, giám sát hoặc quản lý các tác tử.</w:t>
      </w:r>
    </w:p>
    <w:p>
      <w:pPr>
        <w:jc w:val="center"/>
      </w:pPr>
      <w:r>
        <w:drawing>
          <wp:inline xmlns:a="http://schemas.openxmlformats.org/drawingml/2006/main" xmlns:pic="http://schemas.openxmlformats.org/drawingml/2006/picture">
            <wp:extent cx="1990725" cy="2047875"/>
            <wp:docPr id="76" name="Picture 76"/>
            <wp:cNvGraphicFramePr>
              <a:graphicFrameLocks noChangeAspect="1"/>
            </wp:cNvGraphicFramePr>
            <a:graphic>
              <a:graphicData uri="http://schemas.openxmlformats.org/drawingml/2006/picture">
                <pic:pic>
                  <pic:nvPicPr>
                    <pic:cNvPr id="0" name="c11qr001.png"/>
                    <pic:cNvPicPr/>
                  </pic:nvPicPr>
                  <pic:blipFill>
                    <a:blip r:embed="rId62"/>
                    <a:stretch>
                      <a:fillRect/>
                    </a:stretch>
                  </pic:blipFill>
                  <pic:spPr>
                    <a:xfrm>
                      <a:off x="0" y="0"/>
                      <a:ext cx="1990725" cy="2047875"/>
                    </a:xfrm>
                    <a:prstGeom prst="rect"/>
                  </pic:spPr>
                </pic:pic>
              </a:graphicData>
            </a:graphic>
          </wp:inline>
        </w:drawing>
      </w:r>
    </w:p>
    <w:p>
      <w:pPr>
        <w:spacing w:after="80"/>
      </w:pPr>
      <w:r>
        <w:rPr>
          <w:b/>
          <w:i w:val="0"/>
        </w:rPr>
        <w:t xml:space="preserve">Hãy làm bài đánh giá </w:t>
      </w:r>
      <w:r>
        <w:rPr>
          <w:b/>
          <w:i/>
        </w:rPr>
        <w:t>Rewired</w:t>
      </w:r>
    </w:p>
    <w:p>
      <w:pPr>
        <w:spacing w:after="80"/>
      </w:pPr>
      <w:r>
        <w:rPr>
          <w:b/>
          <w:i w:val="0"/>
        </w:rPr>
        <w:t>McKinsey.com/RewiredAssessment</w:t>
      </w:r>
    </w:p>
    <w:p>
      <w:pPr>
        <w:pStyle w:val="Heading2"/>
      </w:pPr>
      <w:r>
        <w:rPr>
          <w:rFonts w:ascii="Calibri" w:hAnsi="Calibri"/>
          <w:b/>
          <w:i w:val="0"/>
          <w:sz w:val="32"/>
        </w:rPr>
        <w:t>Ghi chú</w:t>
      </w:r>
    </w:p>
    <w:p>
      <w:pPr>
        <w:spacing w:after="80"/>
        <w:ind w:left="360"/>
      </w:pPr>
      <w:r>
        <w:t xml:space="preserve">1. </w:t>
      </w:r>
      <w:r>
        <w:rPr>
          <w:b w:val="0"/>
          <w:i w:val="0"/>
        </w:rPr>
        <w:t xml:space="preserve">1   Alexander Sukharevsky, Dave Kerr, Klemens Hjartar, Lari Hämäläinen, Stéphane Bout, Vito Di Leo, “Seizing the agentic AI advantage,” </w:t>
      </w:r>
      <w:r>
        <w:rPr>
          <w:b w:val="0"/>
          <w:i/>
        </w:rPr>
        <w:t>McKinsey Quarterly</w:t>
      </w:r>
      <w:r>
        <w:rPr>
          <w:b w:val="0"/>
          <w:i w:val="0"/>
        </w:rPr>
        <w:t>, June 13, 2025.</w:t>
      </w:r>
    </w:p>
    <w:p>
      <w:pPr>
        <w:spacing w:after="80"/>
        <w:ind w:left="360"/>
      </w:pPr>
      <w:r>
        <w:t xml:space="preserve">2. </w:t>
      </w:r>
      <w:r>
        <w:rPr>
          <w:b w:val="0"/>
          <w:i w:val="0"/>
        </w:rPr>
        <w:t>2   Lareina Yee, Anu Madgavkar, Sven Smit, Alexis Krivkovich, Michael Chui, María Jesús Ramírez, and Diego Castresana, “Agents, robots, and us: Skill partnerships in the age of AI”, McKinsey, November 25, 2025.</w:t>
      </w:r>
    </w:p>
    <w:p>
      <w:pPr>
        <w:pStyle w:val="Heading1"/>
      </w:pPr>
      <w:r>
        <w:rPr>
          <w:rFonts w:ascii="Calibri" w:hAnsi="Calibri"/>
          <w:b/>
          <w:i w:val="0"/>
          <w:sz w:val="40"/>
        </w:rPr>
        <w:t>PHẦN BA</w:t>
      </w:r>
      <w:r>
        <w:rPr>
          <w:rFonts w:ascii="Calibri" w:hAnsi="Calibri"/>
          <w:b/>
          <w:i w:val="0"/>
          <w:sz w:val="40"/>
        </w:rPr>
      </w:r>
      <w:r>
        <w:rPr>
          <w:rFonts w:ascii="Calibri" w:hAnsi="Calibri"/>
          <w:b/>
          <w:i w:val="0"/>
          <w:sz w:val="40"/>
        </w:rPr>
        <w:t>Một mô hình vận hành vượt mặt đối thủ</w:t>
      </w:r>
    </w:p>
    <w:p>
      <w:pPr>
        <w:jc w:val="center"/>
      </w:pPr>
      <w:r>
        <w:drawing>
          <wp:inline xmlns:a="http://schemas.openxmlformats.org/drawingml/2006/main" xmlns:pic="http://schemas.openxmlformats.org/drawingml/2006/picture">
            <wp:extent cx="5486400" cy="3427155"/>
            <wp:docPr id="77" name="Picture 77"/>
            <wp:cNvGraphicFramePr>
              <a:graphicFrameLocks noChangeAspect="1"/>
            </wp:cNvGraphicFramePr>
            <a:graphic>
              <a:graphicData uri="http://schemas.openxmlformats.org/drawingml/2006/picture">
                <pic:pic>
                  <pic:nvPicPr>
                    <pic:cNvPr id="0" name="p03f001.png"/>
                    <pic:cNvPicPr/>
                  </pic:nvPicPr>
                  <pic:blipFill>
                    <a:blip r:embed="rId63"/>
                    <a:stretch>
                      <a:fillRect/>
                    </a:stretch>
                  </pic:blipFill>
                  <pic:spPr>
                    <a:xfrm>
                      <a:off x="0" y="0"/>
                      <a:ext cx="5486400" cy="3427155"/>
                    </a:xfrm>
                    <a:prstGeom prst="rect"/>
                  </pic:spPr>
                </pic:pic>
              </a:graphicData>
            </a:graphic>
          </wp:inline>
        </w:drawing>
      </w:r>
    </w:p>
    <w:p>
      <w:pPr>
        <w:pStyle w:val="Heading2"/>
      </w:pPr>
      <w:r>
        <w:rPr>
          <w:rFonts w:ascii="Calibri" w:hAnsi="Calibri"/>
          <w:b/>
          <w:i w:val="0"/>
          <w:sz w:val="32"/>
        </w:rPr>
        <w:t>Tái kiến trúc tổ chức của bạn để nhanh nhẹn và linh hoạt</w:t>
      </w:r>
    </w:p>
    <w:p>
      <w:pPr>
        <w:spacing w:after="80"/>
      </w:pPr>
      <w:r>
        <w:rPr>
          <w:b w:val="0"/>
          <w:i/>
        </w:rPr>
        <w:t>Với sự cộng tác của Julie Goran, Stacey Haas, Deepak Mahadevan, và Lama Sabbagh</w:t>
      </w:r>
    </w:p>
    <w:p>
      <w:pPr>
        <w:spacing w:after="80"/>
      </w:pPr>
      <w:r>
        <w:rPr>
          <w:b w:val="0"/>
          <w:i w:val="0"/>
        </w:rPr>
        <w:t>Nhiều CEO của các công ty lớn đều đối mặt với cùng một thực tế dai dẳng. Tổ chức của họ có cảm giác chậm chạp và chia tách thành các ốc đảo. Các quyết định mất quá nhiều thời gian, đổi mới sáng tạo khó mở rộng quy mô, và trách nhiệm giải trình thì mờ nhạt. Họ đã thử tái cơ cấu tổ chức. Họ đã thay các lãnh đạo chủ chốt. Vậy mà, dù đã nỗ lực thực sự, công ty vẫn tiến bước với tốc độ khiến người ta bực bội.</w:t>
      </w:r>
    </w:p>
    <w:p>
      <w:pPr>
        <w:spacing w:after="80"/>
      </w:pPr>
      <w:r>
        <w:rPr>
          <w:b w:val="0"/>
          <w:i w:val="0"/>
        </w:rPr>
        <w:t>Tất yếu, họ nhìn ra bên ngoài để tìm câu trả lời. Làm thế nào mà các công ty dẫn dắt bởi công nghệ—đặc biệt là những công ty đang phá vỡ các ngành truyền thống ở quy mô lớn, như Tesla, Netflix, SpaceX, hay Amazon—lại đổi mới sáng tạo nhanh gấp 10 lần so với tổ chức của họ trong một ngày đẹp trời? Điều gì khác biệt căn bản trong cách những công ty đó được xây dựng và vận hành?</w:t>
      </w:r>
    </w:p>
    <w:p>
      <w:pPr>
        <w:spacing w:after="80"/>
      </w:pPr>
      <w:r>
        <w:rPr>
          <w:b w:val="0"/>
          <w:i w:val="0"/>
        </w:rPr>
        <w:t>Những câu hỏi đó chạm đến thực tế nền tảng đang định hình cách các doanh nghiệp cạnh tranh ngày nay.</w:t>
      </w:r>
    </w:p>
    <w:p>
      <w:pPr>
        <w:spacing w:after="80"/>
      </w:pPr>
      <w:r>
        <w:rPr>
          <w:b w:val="0"/>
          <w:i w:val="0"/>
        </w:rPr>
        <w:t>Trong một thế giới mà công nghệ có mặt rộng khắp, lợi thế cạnh tranh không còn đến từ việc sở hữu công nghệ mà từ việc bạn áp dụng nó hiệu quả và nhanh chóng đến đâu để giải quyết các bài toán kinh doanh và đổi mới sáng tạo. AI vừa mới khiến thực tế này trở nên gay gắt hơn.</w:t>
      </w:r>
    </w:p>
    <w:p>
      <w:pPr>
        <w:spacing w:after="80"/>
      </w:pPr>
      <w:r>
        <w:rPr>
          <w:b/>
          <w:i/>
        </w:rPr>
        <w:t>Bạn thắng trong cuộc đua đổi mới sáng tạo khi mô hình vận hành của bạn cho phép nguồn lực chảy về những cơ hội quan trọng nhất ở quy mô lớn, khi các đội ngũ được trao quyền hành động mà không bị cản trở bởi quá nhiều sự phụ thuộc lẫn nhau, và khi các quyết định được đưa ra ngay sát nơi làm việc, nhanh chóng và rõ ràng</w:t>
      </w:r>
      <w:r>
        <w:rPr>
          <w:b/>
          <w:i w:val="0"/>
        </w:rPr>
        <w:t>.</w:t>
      </w:r>
    </w:p>
    <w:p>
      <w:pPr>
        <w:spacing w:after="80"/>
      </w:pPr>
      <w:r>
        <w:rPr>
          <w:b w:val="0"/>
          <w:i w:val="0"/>
        </w:rPr>
        <w:t>Ở đây chúng tôi tập trung vào mô hình vận hành vì điều cần thiết không chỉ là một cuộc tái cơ cấu hay việc áp dụng các cách làm việc linh hoạt (agile). Một mô hình vận hành định nghĩa cách một công ty tự tổ chức để thực thi chiến lược và tạo giá trị trong công việc hằng ngày. Nó bao gồm cơ cấu (ai làm gì), hệ thống quản lý (cách ra quyết định), quy trình (cách công việc luân chuyển), nhân tài (kỹ năng nào đi đâu), và các chuẩn mực văn hóa (điều gì định hướng hành vi).</w:t>
      </w:r>
    </w:p>
    <w:p>
      <w:pPr>
        <w:spacing w:after="80"/>
      </w:pPr>
      <w:r>
        <w:rPr>
          <w:b w:val="0"/>
          <w:i w:val="0"/>
        </w:rPr>
        <w:t>Việc phát triển và triển khai một mô hình vận hành mới như vậy có lẽ là khía cạnh phức tạp và quan trọng nhất của việc trở thành một doanh nghiệp được tái cấu trúc (rewired). Bởi vì mô hình vận hành chạm đến rất nhiều bộ phận của tổ chức, nó có sức mạnh thúc đẩy sự thay đổi ở quy mô lớn.</w:t>
      </w:r>
    </w:p>
    <w:p>
      <w:pPr>
        <w:spacing w:after="80"/>
      </w:pPr>
      <w:r>
        <w:rPr>
          <w:b w:val="0"/>
          <w:i w:val="0"/>
        </w:rPr>
        <w:t>Tin tốt là "những con voi vẫn có thể nhảy múa", theo cách nói nổi tiếng của cố CEO IBM Lou Gerstner. Chúng ta ngày càng thấy nhiều công ty lâu đời thành công trong việc chuyển đổi tổ chức của họ để trở nên nhanh nhẹn hơn, ít chia tách thành các ốc đảo (silo) hơn và đổi mới sáng tạo hơn nhiều.</w:t>
      </w:r>
    </w:p>
    <w:p>
      <w:pPr>
        <w:spacing w:after="80"/>
      </w:pPr>
      <w:r>
        <w:rPr>
          <w:b w:val="0"/>
          <w:i w:val="0"/>
        </w:rPr>
        <w:t>Đó là lý do vì sao chúng tôi đã bổ sung đáng kể phần trình bày về mô hình vận hành trong ấn bản thứ hai này. Mục tiêu của chúng tôi trong phần này là giải thích các khối xây dựng (building block) của một mô hình vận hành được thiết kế tốt, mô tả các phương án mô hình hàng đầu để cân nhắc, và chia sẻ những bài học kinh nghiệm của chúng tôi về cách thực hiện thành công quá trình chuyển đổi.</w:t>
      </w:r>
    </w:p>
    <w:p>
      <w:pPr>
        <w:spacing w:after="80"/>
      </w:pPr>
      <w:r>
        <w:rPr>
          <w:b/>
          <w:i w:val="0"/>
        </w:rPr>
        <w:t>Chương 12. Cùng lên nào đội ơi! Tầng nền của mô hình vận hành.</w:t>
      </w:r>
      <w:r>
        <w:rPr>
          <w:b w:val="0"/>
          <w:i w:val="0"/>
        </w:rPr>
        <w:t xml:space="preserve"> Xây dựng phần mềm là cốt lõi để cung cấp các giải pháp số và AI. Cách các đội làm việc nhanh chóng và lặp đi lặp lại chính là nền tảng để biến điều đó thành hiện thực. Hầu hết các công ty đều đã quen thuộc với những khái niệm ở đây nhưng nhiều công ty vẫn còn vấp ngã khi triển khai.</w:t>
      </w:r>
    </w:p>
    <w:p>
      <w:pPr>
        <w:spacing w:after="80"/>
      </w:pPr>
      <w:r>
        <w:rPr>
          <w:b/>
          <w:i w:val="0"/>
        </w:rPr>
        <w:t>Chương 13. Ý tưởng mang tính cách mạng: Đưa nhân tài kỹ thuật vào trong hoạt động kinh doanh.</w:t>
      </w:r>
      <w:r>
        <w:rPr>
          <w:b w:val="0"/>
          <w:i w:val="0"/>
        </w:rPr>
        <w:t xml:space="preserve"> Các tổ chức được tái cấu trúc đưa năng lực cung cấp công nghệ vào trong hoạt động kinh doanh để thúc đẩy các chu kỳ đổi mới sáng tạo hiệu quả và nhanh chóng hơn. Đây là một thay đổi lớn trong cách các công ty vận hành. Ba biến thể của mô hình phân tán này đã xuất hiện: Nhà máy Số (Digital Factory), Lĩnh vực &amp; Nền tảng (Domain &amp; Platform), và Toàn Doanh nghiệp (Enterprise-Wide).</w:t>
      </w:r>
    </w:p>
    <w:p>
      <w:pPr>
        <w:spacing w:after="80"/>
      </w:pPr>
      <w:r>
        <w:rPr>
          <w:b/>
          <w:i w:val="0"/>
        </w:rPr>
        <w:t>Chương 14. Bản thiết kế cho một doanh nghiệp nhanh nhẹn hơn.</w:t>
      </w:r>
      <w:r>
        <w:rPr>
          <w:b w:val="0"/>
          <w:i w:val="0"/>
        </w:rPr>
        <w:t xml:space="preserve"> Việc chuyển đổi sang một mô hình vận hành mới đòi hỏi sự rõ ràng về ý định. Các mảng kinh doanh và các chức năng sẽ phải làm việc theo cách khác đi, và do đó, một bản thiết kế trạng thái mục tiêu (target-state blueprint) toàn diện và được đồng thuận rộng rãi là điều thiết yếu trước khi bạn bắt đầu quá trình chuyển đổi.</w:t>
      </w:r>
    </w:p>
    <w:p>
      <w:pPr>
        <w:spacing w:after="80"/>
      </w:pPr>
      <w:r>
        <w:rPr>
          <w:b/>
          <w:i w:val="0"/>
        </w:rPr>
        <w:t>Chương 15. Thực hiện chuyển đổi theo cách có kiểm soát.</w:t>
      </w:r>
      <w:r>
        <w:rPr>
          <w:b w:val="0"/>
          <w:i w:val="0"/>
        </w:rPr>
        <w:t xml:space="preserve"> Tùy thuộc vào mô hình theo đuổi, khoảng từ 20–100% nhân viên sẽ bị ảnh hưởng. Sự thay đổi ở quy mô này đòi hỏi một quá trình chuyển đổi có kiểm soát và những nỗ lực quản lý thay đổi (change management) sâu rộng.</w:t>
      </w:r>
    </w:p>
    <w:p>
      <w:pPr>
        <w:spacing w:after="80"/>
      </w:pPr>
      <w:r>
        <w:rPr>
          <w:b/>
          <w:i w:val="0"/>
        </w:rPr>
        <w:t>Chương 16. Xây dựng một mảng kinh doanh mới? Có một mô hình vận hành cho việc đó.</w:t>
      </w:r>
      <w:r>
        <w:rPr>
          <w:b w:val="0"/>
          <w:i w:val="0"/>
        </w:rPr>
        <w:t xml:space="preserve"> Mô hình vận hành cho một mảng kinh doanh mới mà công ty có thể muốn khởi động chia sẻ nhiều đặc điểm mà chúng tôi thảo luận trong chương này, nhưng có một vài khác biệt then chốt. Về bản chất, bạn muốn mảng kinh doanh mới có thể vận hành độc lập như một start-up trong khi vẫn tận dụng được những lợi thế độc quyền của công ty mẹ.</w:t>
      </w:r>
    </w:p>
    <w:p>
      <w:pPr>
        <w:pStyle w:val="Heading2"/>
      </w:pPr>
      <w:r>
        <w:rPr>
          <w:rFonts w:ascii="Calibri" w:hAnsi="Calibri"/>
          <w:b/>
          <w:i w:val="0"/>
          <w:sz w:val="32"/>
        </w:rPr>
        <w:t>Ghi chú</w:t>
      </w:r>
    </w:p>
    <w:p>
      <w:pPr>
        <w:spacing w:after="80"/>
        <w:ind w:left="360"/>
      </w:pPr>
      <w:r>
        <w:t xml:space="preserve">1. </w:t>
      </w:r>
      <w:r>
        <w:rPr>
          <w:b w:val="0"/>
          <w:i w:val="0"/>
        </w:rPr>
        <w:t>1   Julie Goran là đối tác tại văn phòng New York của McKinsey; Stacey Haas là đối tác cấp cao tại văn phòng Detroit; Deepak Mahadevan là đối tác tại văn phòng Brussels; và Lama Sabbagh là đối tác tại văn phòng Toronto.</w:t>
      </w:r>
    </w:p>
    <w:p>
      <w:pPr>
        <w:pStyle w:val="Heading2"/>
      </w:pPr>
      <w:r>
        <w:rPr>
          <w:rFonts w:ascii="Calibri" w:hAnsi="Calibri"/>
          <w:b/>
          <w:i/>
          <w:sz w:val="32"/>
        </w:rPr>
        <w:t>"Trong hầu hết các trường hợp, trở thành một ông chủ giỏi nghĩa là tuyển những người tài năng rồi sau đó tránh đường cho họ."</w:t>
      </w:r>
    </w:p>
    <w:p>
      <w:pPr>
        <w:spacing w:after="80"/>
      </w:pPr>
      <w:r>
        <w:rPr>
          <w:b/>
          <w:i w:val="0"/>
        </w:rPr>
        <w:t>— Tina Fey</w:t>
      </w:r>
    </w:p>
    <w:p>
      <w:pPr>
        <w:pStyle w:val="Heading1"/>
      </w:pPr>
      <w:r>
        <w:rPr>
          <w:rFonts w:ascii="Calibri" w:hAnsi="Calibri"/>
          <w:b/>
          <w:i w:val="0"/>
          <w:sz w:val="40"/>
        </w:rPr>
        <w:t>CHƯƠNG 12</w:t>
      </w:r>
      <w:r>
        <w:rPr>
          <w:rFonts w:ascii="Calibri" w:hAnsi="Calibri"/>
          <w:b/>
          <w:i w:val="0"/>
          <w:sz w:val="40"/>
        </w:rPr>
      </w:r>
      <w:r>
        <w:rPr>
          <w:rFonts w:ascii="Calibri" w:hAnsi="Calibri"/>
          <w:b/>
          <w:i w:val="0"/>
          <w:sz w:val="40"/>
        </w:rPr>
        <w:t>Cùng lên nào đội ơi! Tầng nền của mô hình vận hành</w:t>
      </w:r>
    </w:p>
    <w:p>
      <w:pPr>
        <w:spacing w:after="80"/>
      </w:pPr>
      <w:r>
        <w:rPr>
          <w:b w:val="0"/>
          <w:i w:val="0"/>
        </w:rPr>
        <w:t>Hạt nhân của bất kỳ mô hình vận hành nào chính là đội ngũ đa chức năng (cross-functional team) tập trung vào việc giải quyết một vấn đề kinh doanh hoặc cải thiện trải nghiệm khách hàng, thường là bằng các công nghệ phần mềm nhưng không phải lúc nào cũng vậy. Đó là lý do vì sao bất kỳ sự khám phá nào về mô hình vận hành cũng nên bắt đầu bằng việc hiểu cách các đội phát triển phần mềm vận hành hiệu quả.</w:t>
      </w:r>
    </w:p>
    <w:p>
      <w:pPr>
        <w:spacing w:after="80"/>
      </w:pPr>
      <w:r>
        <w:rPr>
          <w:b w:val="0"/>
          <w:i w:val="0"/>
        </w:rPr>
        <w:t xml:space="preserve">Ở đây chúng tôi tập trung cụ thể vào cách các đội xây dựng phần mềm, bởi vì phần mềm là "đơn vị tiền tệ" cốt lõi trong các cuộc chuyển đổi Công nghệ &amp; AI. Trong cuốn sách tuyệt vời của mình, </w:t>
      </w:r>
      <w:r>
        <w:rPr>
          <w:b w:val="0"/>
          <w:i/>
        </w:rPr>
        <w:t>Ask Your Developer: How to Harness the Power of Software Developers and Win in the 21st Century</w:t>
      </w:r>
      <w:r>
        <w:rPr>
          <w:b w:val="0"/>
          <w:i w:val="0"/>
        </w:rPr>
        <w:t>, Jeff Lawson giải thích rằng phần mềm đã chuyển từ "việc là một trung tâm chi phí sang một trung tâm lợi nhuận." Ông cũng nói thêm rằng mọi loại công ty đều có thể trở thành một công ty phần mềm miễn là tổ chức đó thấm nhuần giá trị của việc lặp đi lặp lại nhanh chóng.</w:t>
      </w:r>
    </w:p>
    <w:p>
      <w:pPr>
        <w:spacing w:after="80"/>
      </w:pPr>
      <w:r>
        <w:rPr>
          <w:b/>
          <w:i/>
        </w:rPr>
        <w:t>Lặp đi lặp lại nhanh chóng là yếu tố trung tâm để có thể làm hài lòng khách hàng hoặc giảm chi phí đơn vị nhanh hơn đối thủ cạnh tranh</w:t>
      </w:r>
      <w:r>
        <w:rPr>
          <w:b/>
          <w:i w:val="0"/>
        </w:rPr>
        <w:t>.</w:t>
      </w:r>
    </w:p>
    <w:p>
      <w:pPr>
        <w:spacing w:after="80"/>
      </w:pPr>
      <w:r>
        <w:rPr>
          <w:b w:val="0"/>
          <w:i w:val="0"/>
        </w:rPr>
        <w:t>Nhưng như Lawson giải thích, để có được khả năng lặp đi lặp lại này, trước tiên bạn cần phải xây dựng. Bạn không thể lặp lại một thứ gì đó mà bạn mua sẵn ngoài kệ hàng. Nói cách khác, bạn phải trở nên giỏi trong việc phát triển phần mềm. Mọi công ty, dù là ngân hàng, nhà sản xuất hay công ty khai khoáng, đều có thể học để trở nên giỏi trong việc phát triển các giải pháp dựa trên phần mềm. Các nghiên cứu tình huống trong cuốn sách của chúng tôi đều là những công ty đã học được cách làm điều đó.</w:t>
      </w:r>
    </w:p>
    <w:p>
      <w:pPr>
        <w:spacing w:after="80"/>
      </w:pPr>
      <w:r>
        <w:rPr>
          <w:b w:val="0"/>
          <w:i w:val="0"/>
        </w:rPr>
        <w:t>Nếu bạn mới bước vào lĩnh vực phát triển phần mềm, chương này sẽ giới thiệu cho bạn ba khái niệm cốt lõi: Quy trình để xây dựng các giải pháp phần mềm là gì? Bạn cấu hình các đội ngũ làm việc này như thế nào? Và phương pháp làm việc mà các đội ngũ này sử dụng để hoàn thành công việc của họ là gì?</w:t>
      </w:r>
    </w:p>
    <w:p>
      <w:pPr>
        <w:spacing w:after="80"/>
      </w:pPr>
      <w:r>
        <w:rPr>
          <w:b w:val="0"/>
          <w:i w:val="0"/>
        </w:rPr>
        <w:t>Nếu bạn đã quen với những điều này, bạn có thể bỏ qua chương này. Một phần trình bày nâng cao hơn về phát triển phần mềm hiện đại được đề cập trong Chương 20, nơi chúng tôi đi vào chi tiết về cách các đội ngũ đang phát triển và tích hợp AI cùng các kỹ thuật tác tử (agentic) để xây dựng phần mềm.</w:t>
      </w:r>
    </w:p>
    <w:p>
      <w:pPr>
        <w:pStyle w:val="Heading2"/>
      </w:pPr>
      <w:r>
        <w:rPr>
          <w:rFonts w:ascii="Calibri" w:hAnsi="Calibri"/>
          <w:b/>
          <w:i w:val="0"/>
          <w:sz w:val="32"/>
        </w:rPr>
        <w:t>Hiểu về vòng đời phát triển phần mềm</w:t>
      </w:r>
    </w:p>
    <w:p>
      <w:pPr>
        <w:spacing w:after="80"/>
      </w:pPr>
      <w:r>
        <w:rPr>
          <w:b w:val="0"/>
          <w:i w:val="0"/>
        </w:rPr>
        <w:t>Vòng đời phát triển phần mềm (SDLC) là quy trình biến một ý tưởng thành một sản phẩm phần mềm hoạt động được và sau đó không ngừng cải thiện nó. Để dùng một phép so sánh với nấu ăn, đó là quá trình lấy một ý tưởng cho một bữa ăn tuyệt vời, chế biến và phục vụ nó, rồi tinh chỉnh công thức theo thời gian. Hình 12.1 cho thấy các bước kinh điển của quy trình SDLC.</w:t>
      </w:r>
    </w:p>
    <w:p>
      <w:pPr>
        <w:spacing w:after="80"/>
      </w:pPr>
      <w:r>
        <w:rPr>
          <w:b w:val="0"/>
          <w:i w:val="0"/>
        </w:rPr>
        <w:t>Mục tiêu cốt lõi của SDLC là tự động hóa quy trình này càng nhiều càng tốt để tăng tốc đổi mới, cải thiện chất lượng phần mềm, giảm rủi ro và cắt giảm chi phí phát triển. Những đổi mới quan trọng bao gồm phát triển và kiểm thử tự động, thiết lập máy chủ và môi trường tự động, giám sát hiệu suất theo thời gian thực, và ngày càng nhiều hơn là phát triển có AI hỗ trợ.</w:t>
      </w:r>
    </w:p>
    <w:p>
      <w:pPr>
        <w:jc w:val="center"/>
      </w:pPr>
      <w:r>
        <w:drawing>
          <wp:inline xmlns:a="http://schemas.openxmlformats.org/drawingml/2006/main" xmlns:pic="http://schemas.openxmlformats.org/drawingml/2006/picture">
            <wp:extent cx="5486400" cy="4062202"/>
            <wp:docPr id="78" name="Picture 78"/>
            <wp:cNvGraphicFramePr>
              <a:graphicFrameLocks noChangeAspect="1"/>
            </wp:cNvGraphicFramePr>
            <a:graphic>
              <a:graphicData uri="http://schemas.openxmlformats.org/drawingml/2006/picture">
                <pic:pic>
                  <pic:nvPicPr>
                    <pic:cNvPr id="0" name="c12ex001.png"/>
                    <pic:cNvPicPr/>
                  </pic:nvPicPr>
                  <pic:blipFill>
                    <a:blip r:embed="rId64"/>
                    <a:stretch>
                      <a:fillRect/>
                    </a:stretch>
                  </pic:blipFill>
                  <pic:spPr>
                    <a:xfrm>
                      <a:off x="0" y="0"/>
                      <a:ext cx="5486400" cy="4062202"/>
                    </a:xfrm>
                    <a:prstGeom prst="rect"/>
                  </pic:spPr>
                </pic:pic>
              </a:graphicData>
            </a:graphic>
          </wp:inline>
        </w:drawing>
      </w:r>
    </w:p>
    <w:p>
      <w:pPr>
        <w:spacing w:after="160"/>
        <w:jc w:val="center"/>
      </w:pPr>
      <w:r>
        <w:rPr>
          <w:rFonts w:ascii="Calibri" w:hAnsi="Calibri"/>
          <w:b w:val="0"/>
          <w:i/>
          <w:sz w:val="19"/>
        </w:rPr>
        <w:t>HÌNH 12.1</w:t>
      </w:r>
    </w:p>
    <w:p>
      <w:pPr>
        <w:spacing w:after="80"/>
      </w:pPr>
      <w:r>
        <w:rPr>
          <w:b/>
          <w:i/>
        </w:rPr>
        <w:t>Tự động hóa việc phân phối phần mềm cho phép các đội ngũ thực hiện những thay đổi nhỏ, kiểm thử thường xuyên và lặp lại liên tục. Nếu một công ty không làm chủ được điều này, họ đơn giản là không thể cạnh tranh trong việc cung cấp các giải pháp dựa trên phần mềm</w:t>
      </w:r>
      <w:r>
        <w:rPr>
          <w:b/>
          <w:i w:val="0"/>
        </w:rPr>
        <w:t>.</w:t>
      </w:r>
    </w:p>
    <w:p>
      <w:pPr>
        <w:pStyle w:val="Heading2"/>
      </w:pPr>
      <w:r>
        <w:rPr>
          <w:rFonts w:ascii="Calibri" w:hAnsi="Calibri"/>
          <w:b/>
          <w:i w:val="0"/>
          <w:sz w:val="32"/>
        </w:rPr>
        <w:t>Chúng khớp với nhau như thế nào: SDLC và quy trình phân phối từ lĩnh vực đến giá trị</w:t>
      </w:r>
    </w:p>
    <w:p>
      <w:pPr>
        <w:spacing w:after="80"/>
      </w:pPr>
      <w:r>
        <w:rPr>
          <w:b w:val="0"/>
          <w:i w:val="0"/>
        </w:rPr>
        <w:t>Cách tiếp cận phân phối từ lĩnh vực đến giá trị (DVD) được trình bày trong Chương 4 bao quát toàn bộ quá trình từ việc tái hình dung một lĩnh vực đến việc phát triển các giải pháp để hiện thực hóa giá trị. SDLC cung cấp quy trình có kỷ luật về cách xây dựng và phát triển các giải pháp dựa trên phần mềm. Bảng dưới đây giải thích vai trò mà SDLC đảm nhận xuyên suốt năm bước của quy trình DVD.</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sz w:val="19"/>
              </w:rPr>
              <w:t>Phân phối từ lĩnh vực đến giá trị</w:t>
            </w:r>
          </w:p>
        </w:tc>
        <w:tc>
          <w:tcPr>
            <w:tcW w:type="dxa" w:w="3120"/>
          </w:tcPr>
          <w:p>
            <w:r/>
            <w:r>
              <w:rPr>
                <w:b/>
                <w:i/>
                <w:sz w:val="19"/>
              </w:rPr>
              <w:t>Những gì được thực hiện</w:t>
            </w:r>
          </w:p>
        </w:tc>
        <w:tc>
          <w:tcPr>
            <w:tcW w:type="dxa" w:w="3120"/>
          </w:tcPr>
          <w:p>
            <w:r/>
            <w:r>
              <w:rPr>
                <w:b/>
                <w:i/>
                <w:sz w:val="19"/>
              </w:rPr>
              <w:t>Vai trò của SDLC</w:t>
            </w:r>
          </w:p>
        </w:tc>
      </w:tr>
      <w:tr>
        <w:tc>
          <w:tcPr>
            <w:tcW w:type="dxa" w:w="3120"/>
          </w:tcPr>
          <w:p>
            <w:r/>
            <w:r>
              <w:rPr>
                <w:b/>
                <w:i w:val="0"/>
                <w:sz w:val="19"/>
              </w:rPr>
              <w:t>Tái hình dung lĩnh vực</w:t>
            </w:r>
          </w:p>
        </w:tc>
        <w:tc>
          <w:tcPr>
            <w:tcW w:type="dxa" w:w="3120"/>
          </w:tcPr>
          <w:p>
            <w:r/>
            <w:r>
              <w:rPr>
                <w:b w:val="0"/>
                <w:i w:val="0"/>
                <w:sz w:val="19"/>
              </w:rPr>
              <w:t>Xác định cách biến đổi một cách căn bản lĩnh vực đó</w:t>
            </w:r>
          </w:p>
        </w:tc>
        <w:tc>
          <w:tcPr>
            <w:tcW w:type="dxa" w:w="3120"/>
          </w:tcPr>
          <w:p>
            <w:r/>
            <w:r>
              <w:rPr>
                <w:b w:val="0"/>
                <w:i w:val="0"/>
                <w:sz w:val="19"/>
              </w:rPr>
              <w:t>SDLC không áp dụng</w:t>
            </w:r>
          </w:p>
        </w:tc>
      </w:tr>
      <w:tr>
        <w:tc>
          <w:tcPr>
            <w:tcW w:type="dxa" w:w="3120"/>
          </w:tcPr>
          <w:p>
            <w:r/>
            <w:r>
              <w:rPr>
                <w:b/>
                <w:i w:val="0"/>
                <w:sz w:val="19"/>
              </w:rPr>
              <w:t>Khám phá giải pháp</w:t>
            </w:r>
          </w:p>
        </w:tc>
        <w:tc>
          <w:tcPr>
            <w:tcW w:type="dxa" w:w="3120"/>
          </w:tcPr>
          <w:p>
            <w:r/>
            <w:r>
              <w:rPr>
                <w:b w:val="0"/>
                <w:i w:val="0"/>
                <w:sz w:val="19"/>
              </w:rPr>
              <w:t>Lập kế hoạch thế giới chi tiết cho một giải pháp</w:t>
            </w:r>
          </w:p>
        </w:tc>
        <w:tc>
          <w:tcPr>
            <w:tcW w:type="dxa" w:w="3120"/>
          </w:tcPr>
          <w:p>
            <w:r/>
            <w:r>
              <w:rPr>
                <w:b w:val="0"/>
                <w:i w:val="0"/>
                <w:sz w:val="19"/>
              </w:rPr>
              <w:t xml:space="preserve">SDLC </w:t>
            </w:r>
            <w:r>
              <w:rPr>
                <w:b w:val="0"/>
                <w:i/>
                <w:sz w:val="19"/>
              </w:rPr>
              <w:t>chưa</w:t>
            </w:r>
            <w:r>
              <w:rPr>
                <w:b w:val="0"/>
                <w:i w:val="0"/>
                <w:sz w:val="19"/>
              </w:rPr>
              <w:t xml:space="preserve"> áp dụng ở giai đoạn này</w:t>
            </w:r>
          </w:p>
        </w:tc>
      </w:tr>
      <w:tr>
        <w:tc>
          <w:tcPr>
            <w:tcW w:type="dxa" w:w="3120"/>
          </w:tcPr>
          <w:p>
            <w:r/>
            <w:r>
              <w:rPr>
                <w:b/>
                <w:i w:val="0"/>
                <w:sz w:val="19"/>
              </w:rPr>
              <w:t>Chứng minh khái niệm</w:t>
            </w:r>
          </w:p>
        </w:tc>
        <w:tc>
          <w:tcPr>
            <w:tcW w:type="dxa" w:w="3120"/>
          </w:tcPr>
          <w:p>
            <w:r/>
            <w:r>
              <w:rPr>
                <w:b w:val="0"/>
                <w:i w:val="0"/>
                <w:sz w:val="19"/>
              </w:rPr>
              <w:t>Chứng minh tính khả thi bằng cách phát triển nguyên mẫu/MVP</w:t>
            </w:r>
          </w:p>
        </w:tc>
        <w:tc>
          <w:tcPr>
            <w:tcW w:type="dxa" w:w="3120"/>
          </w:tcPr>
          <w:p>
            <w:r/>
            <w:r>
              <w:rPr>
                <w:b w:val="0"/>
                <w:i w:val="0"/>
                <w:sz w:val="19"/>
              </w:rPr>
              <w:t>SDLC có thể áp dụng ở mức nhẹ (các chu kỳ xây dựng nguyên mẫu)</w:t>
            </w:r>
          </w:p>
        </w:tc>
      </w:tr>
      <w:tr>
        <w:tc>
          <w:tcPr>
            <w:tcW w:type="dxa" w:w="3120"/>
          </w:tcPr>
          <w:p>
            <w:r/>
            <w:r>
              <w:rPr>
                <w:b/>
                <w:i w:val="0"/>
                <w:sz w:val="19"/>
              </w:rPr>
              <w:t>Sản xuất</w:t>
            </w:r>
          </w:p>
        </w:tc>
        <w:tc>
          <w:tcPr>
            <w:tcW w:type="dxa" w:w="3120"/>
          </w:tcPr>
          <w:p>
            <w:r/>
            <w:r>
              <w:rPr>
                <w:b w:val="0"/>
                <w:i w:val="0"/>
                <w:sz w:val="19"/>
              </w:rPr>
              <w:t>Xây dựng một giải pháp an toàn và có khả năng mở rộng</w:t>
            </w:r>
          </w:p>
        </w:tc>
        <w:tc>
          <w:tcPr>
            <w:tcW w:type="dxa" w:w="3120"/>
          </w:tcPr>
          <w:p>
            <w:r/>
            <w:r>
              <w:rPr>
                <w:b w:val="0"/>
                <w:i w:val="0"/>
                <w:sz w:val="19"/>
              </w:rPr>
              <w:t>SDLC hoạt động đầy đủ ở giai đoạn này</w:t>
            </w:r>
          </w:p>
        </w:tc>
      </w:tr>
      <w:tr>
        <w:tc>
          <w:tcPr>
            <w:tcW w:type="dxa" w:w="3120"/>
          </w:tcPr>
          <w:p>
            <w:r/>
            <w:r>
              <w:rPr>
                <w:b/>
                <w:i w:val="0"/>
                <w:sz w:val="19"/>
              </w:rPr>
              <w:t>Áp dụng và mở rộng quy mô</w:t>
            </w:r>
          </w:p>
        </w:tc>
        <w:tc>
          <w:tcPr>
            <w:tcW w:type="dxa" w:w="3120"/>
          </w:tcPr>
          <w:p>
            <w:r/>
            <w:r>
              <w:rPr>
                <w:b w:val="0"/>
                <w:i w:val="0"/>
                <w:sz w:val="19"/>
              </w:rPr>
              <w:t>Đảm bảo giải pháp được sử dụng hiệu quả và mang lại giá trị</w:t>
            </w:r>
          </w:p>
        </w:tc>
        <w:tc>
          <w:tcPr>
            <w:tcW w:type="dxa" w:w="3120"/>
          </w:tcPr>
          <w:p>
            <w:r/>
            <w:r>
              <w:rPr>
                <w:b w:val="0"/>
                <w:i w:val="0"/>
                <w:sz w:val="19"/>
              </w:rPr>
              <w:t>SDLC hỗ trợ các cải tiến tăng dần</w:t>
            </w:r>
          </w:p>
        </w:tc>
      </w:tr>
    </w:tbl>
    <w:p>
      <w:pPr>
        <w:spacing w:after="0"/>
      </w:pPr>
    </w:p>
    <w:p>
      <w:pPr>
        <w:spacing w:after="80"/>
      </w:pPr>
      <w:r>
        <w:rPr>
          <w:b w:val="0"/>
          <w:i w:val="0"/>
        </w:rPr>
        <w:t>DVD mang tính chiến lược hơn, với tầm nhìn thời gian dài hơn (theo quý và theo năm). Các chủ sở hữu lĩnh vực (domain owner) và ban lãnh đạo cấp cao dẫn dắt quá trình đó. SDLC thiên về thực thi hơn, với khung thời gian ngắn hơn (một hoặc vài sprint). Các trưởng nhóm (team leader) và chủ sở hữu lĩnh vực dẫn dắt quá trình đó.</w:t>
      </w:r>
    </w:p>
    <w:p>
      <w:pPr>
        <w:pStyle w:val="Heading2"/>
      </w:pPr>
      <w:r>
        <w:rPr>
          <w:rFonts w:ascii="Calibri" w:hAnsi="Calibri"/>
          <w:b/>
          <w:i w:val="0"/>
          <w:sz w:val="32"/>
        </w:rPr>
        <w:t>Đưa đúng người vào đội ngũ của bạn</w:t>
      </w:r>
    </w:p>
    <w:p>
      <w:pPr>
        <w:spacing w:after="80"/>
      </w:pPr>
      <w:r>
        <w:rPr>
          <w:b w:val="0"/>
          <w:i w:val="0"/>
        </w:rPr>
        <w:t>Chúng ta đã học được từ ngành công nghệ rằng cách hiệu quả nhất để phát triển các giải pháp phần mềm là thông qua các đội ngũ nhỏ, đa chức năng (đôi khi còn được gọi là pod, squad, scrum team, agile team, hay đội ngũ liên chuyên ngành). Điều này không còn gì phải bàn cãi nữa.</w:t>
      </w:r>
    </w:p>
    <w:p>
      <w:pPr>
        <w:spacing w:after="80"/>
      </w:pPr>
      <w:r>
        <w:rPr>
          <w:b w:val="0"/>
          <w:i w:val="0"/>
        </w:rPr>
        <w:t>Một đội ngũ đa chức năng gồm năm đến mười người, những người sở hữu toàn bộ quá trình phát triển và bàn giao giải pháp. Đội ngũ này thường bao gồm một trưởng nhóm, các chuyên gia về lĩnh vực (subject matter expert), các chuyên gia công nghệ, một scrum leader, và một agile coach (Hình 12.2). Như chúng ta đã đề cập ở Chương 11, số lượng con người cần thiết trong một pod sẽ giảm đi cùng với sự trỗi dậy của phát triển phần mềm bằng tác nhân (agentic software development).</w:t>
      </w:r>
    </w:p>
    <w:p>
      <w:pPr>
        <w:spacing w:after="80"/>
      </w:pPr>
      <w:r>
        <w:rPr>
          <w:b w:val="0"/>
          <w:i w:val="0"/>
        </w:rPr>
        <w:t>Hầu hết thành viên trong nhóm đều cống hiến 100% vì điều này giúp giảm thiểu sự phụ thuộc về nguồn lực với các nhóm khác và thúc đẩy tốc độ phát triển nhanh hơn. Có những ngoại lệ cho một số nguồn lực dùng chung nhất định, chẳng hạn như kiến trúc sư giải pháp (solution architect) và huấn luyện viên agile (agile coach).</w:t>
      </w:r>
    </w:p>
    <w:p>
      <w:pPr>
        <w:jc w:val="center"/>
      </w:pPr>
      <w:r>
        <w:drawing>
          <wp:inline xmlns:a="http://schemas.openxmlformats.org/drawingml/2006/main" xmlns:pic="http://schemas.openxmlformats.org/drawingml/2006/picture">
            <wp:extent cx="457200" cy="447675"/>
            <wp:docPr id="79" name="Picture 79"/>
            <wp:cNvGraphicFramePr>
              <a:graphicFrameLocks noChangeAspect="1"/>
            </wp:cNvGraphicFramePr>
            <a:graphic>
              <a:graphicData uri="http://schemas.openxmlformats.org/drawingml/2006/picture">
                <pic:pic>
                  <pic:nvPicPr>
                    <pic:cNvPr id="0" name="RULE_OF_THUMB_orange.png"/>
                    <pic:cNvPicPr/>
                  </pic:nvPicPr>
                  <pic:blipFill>
                    <a:blip r:embed="rId6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Tác động của GenAI lên phân loại vai trò</w:t>
      </w:r>
    </w:p>
    <w:p>
      <w:pPr>
        <w:spacing w:after="80"/>
      </w:pPr>
      <w:r>
        <w:rPr>
          <w:b w:val="0"/>
          <w:i w:val="0"/>
        </w:rPr>
        <w:t>Chỉ có một số ít vai trò thực sự mới khi nói đến việc xây dựng ứng dụng với các mô hình nền tảng (foundation model) (ví dụ: kỹ sư AI, trưởng bộ phận rủi ro và chất lượng AI). Hầu hết các vai trò hiện có đang tiến hóa (ví dụ: chuyên gia lĩnh vực, những người sẽ quản lý nguồn dữ liệu để cung cấp ngữ cảnh cho mô hình; chuyên viên phân tích quy trình, những người sẽ thiết kế các luồng công việc tác tử (agentic workflow)).</w:t>
      </w:r>
    </w:p>
    <w:p>
      <w:pPr>
        <w:jc w:val="center"/>
      </w:pPr>
      <w:r>
        <w:drawing>
          <wp:inline xmlns:a="http://schemas.openxmlformats.org/drawingml/2006/main" xmlns:pic="http://schemas.openxmlformats.org/drawingml/2006/picture">
            <wp:extent cx="5486400" cy="6732998"/>
            <wp:docPr id="80" name="Picture 80"/>
            <wp:cNvGraphicFramePr>
              <a:graphicFrameLocks noChangeAspect="1"/>
            </wp:cNvGraphicFramePr>
            <a:graphic>
              <a:graphicData uri="http://schemas.openxmlformats.org/drawingml/2006/picture">
                <pic:pic>
                  <pic:nvPicPr>
                    <pic:cNvPr id="0" name="c12ex002.png"/>
                    <pic:cNvPicPr/>
                  </pic:nvPicPr>
                  <pic:blipFill>
                    <a:blip r:embed="rId66"/>
                    <a:stretch>
                      <a:fillRect/>
                    </a:stretch>
                  </pic:blipFill>
                  <pic:spPr>
                    <a:xfrm>
                      <a:off x="0" y="0"/>
                      <a:ext cx="5486400" cy="6732998"/>
                    </a:xfrm>
                    <a:prstGeom prst="rect"/>
                  </pic:spPr>
                </pic:pic>
              </a:graphicData>
            </a:graphic>
          </wp:inline>
        </w:drawing>
      </w:r>
    </w:p>
    <w:p>
      <w:pPr>
        <w:spacing w:after="160"/>
        <w:jc w:val="center"/>
      </w:pPr>
      <w:r>
        <w:rPr>
          <w:rFonts w:ascii="Calibri" w:hAnsi="Calibri"/>
          <w:b w:val="0"/>
          <w:i/>
          <w:sz w:val="19"/>
        </w:rPr>
        <w:t>BẢNG 12.2</w:t>
      </w:r>
    </w:p>
    <w:p>
      <w:pPr>
        <w:spacing w:after="80"/>
      </w:pPr>
      <w:r>
        <w:rPr>
          <w:b w:val="0"/>
          <w:i w:val="0"/>
        </w:rPr>
        <w:t>Có hai cân nhắc quan trọng khi quyết định những kỹ năng mà một nhóm nên có:</w:t>
      </w:r>
    </w:p>
    <w:p>
      <w:pPr>
        <w:spacing w:after="80"/>
        <w:ind w:left="360"/>
      </w:pPr>
      <w:r>
        <w:t xml:space="preserve">1. </w:t>
      </w:r>
      <w:r>
        <w:rPr>
          <w:b/>
          <w:i w:val="0"/>
        </w:rPr>
        <w:t>Loại giải pháp đang được phát triển.</w:t>
      </w:r>
      <w:r>
        <w:rPr>
          <w:b w:val="0"/>
          <w:i w:val="0"/>
        </w:rPr>
        <w:t xml:space="preserve"> Ví dụ, một giải pháp tập trung nhiều vào học máy (machine learning) đòi hỏi chuyên môn về kỹ thuật dữ liệu (data engineering) và khoa học dữ liệu (data science). Tuy nhiên, một giải pháp hướng đến khách hàng lại cần nhiều kỹ năng hơn về thiết kế trải nghiệm người dùng (user experience design) và phát triển phần mềm. Nói chung, hầu hết các công ty sẽ định nghĩa từ ba đến sáu kiểu mẫu (archetype) giải pháp khác nhau để việc lập kế hoạch dễ dàng hơn.</w:t>
        <w:br/>
        <w:t>Bảng 12.3 cho thấy ba kiểu mẫu nhóm kinh điển, nhưng vẫn có những kiểu khác, chẳng hạn như giải pháp tiếp thị kỹ thuật số (digital marketing), giải pháp IoT, hoặc giải pháp tích hợp hệ thống cốt lõi. Đôi khi các nhóm cũng được dùng cho công việc đổi mới sáng tạo không liên quan đến công nghệ (ví dụ: phát triển chiến lược thương mại hoặc hiện đại hóa chính sách quản lý rủi ro).</w:t>
      </w:r>
    </w:p>
    <w:p>
      <w:pPr>
        <w:spacing w:after="80"/>
        <w:ind w:left="360"/>
      </w:pPr>
      <w:r>
        <w:t xml:space="preserve">2. </w:t>
      </w:r>
      <w:r>
        <w:rPr>
          <w:b/>
          <w:i w:val="0"/>
        </w:rPr>
        <w:t>Những kỹ năng cần thiết theo từng giai đoạn phát triển.</w:t>
      </w:r>
      <w:r>
        <w:rPr>
          <w:b w:val="0"/>
          <w:i w:val="0"/>
        </w:rPr>
        <w:t xml:space="preserve"> Trong giai đoạn khám phá ban đầu, bạn cần chuyên môn để xác định phạm vi vấn đề, đánh giá tính khả thi và thiết kế giải pháp. Trong giai đoạn chứng minh khái niệm (proof-of-concept), bạn cần nhiều "người xây dựng" hơn (bao gồm nhà thiết kế, kỹ sư phần mềm, hoặc nhà khoa học dữ liệu), những người có thể nhanh chóng phát triển, kiểm thử và lặp lại để tạo ra một POC.</w:t>
        <w:br/>
        <w:t>Trong giai đoạn sản xuất (production), bạn cần năng lực kỹ thuật để đảm bảo giải pháp an toàn, hoạt động hiệu quả và có thể mở rộng quy mô. Trong giai đoạn quản lý thay đổi (change management), các chuyên gia quy trình nghiệp vụ và chuyên gia thay đổi cần tiếp tục tham gia tích cực.</w:t>
      </w:r>
    </w:p>
    <w:p>
      <w:pPr>
        <w:jc w:val="center"/>
      </w:pPr>
      <w:r>
        <w:drawing>
          <wp:inline xmlns:a="http://schemas.openxmlformats.org/drawingml/2006/main" xmlns:pic="http://schemas.openxmlformats.org/drawingml/2006/picture">
            <wp:extent cx="5486400" cy="6571473"/>
            <wp:docPr id="81" name="Picture 81"/>
            <wp:cNvGraphicFramePr>
              <a:graphicFrameLocks noChangeAspect="1"/>
            </wp:cNvGraphicFramePr>
            <a:graphic>
              <a:graphicData uri="http://schemas.openxmlformats.org/drawingml/2006/picture">
                <pic:pic>
                  <pic:nvPicPr>
                    <pic:cNvPr id="0" name="c12ex003.png"/>
                    <pic:cNvPicPr/>
                  </pic:nvPicPr>
                  <pic:blipFill>
                    <a:blip r:embed="rId67"/>
                    <a:stretch>
                      <a:fillRect/>
                    </a:stretch>
                  </pic:blipFill>
                  <pic:spPr>
                    <a:xfrm>
                      <a:off x="0" y="0"/>
                      <a:ext cx="5486400" cy="6571473"/>
                    </a:xfrm>
                    <a:prstGeom prst="rect"/>
                  </pic:spPr>
                </pic:pic>
              </a:graphicData>
            </a:graphic>
          </wp:inline>
        </w:drawing>
      </w:r>
    </w:p>
    <w:p>
      <w:pPr>
        <w:spacing w:after="160"/>
        <w:jc w:val="center"/>
      </w:pPr>
      <w:r>
        <w:rPr>
          <w:rFonts w:ascii="Calibri" w:hAnsi="Calibri"/>
          <w:b w:val="0"/>
          <w:i/>
          <w:sz w:val="19"/>
        </w:rPr>
        <w:t>BẢNG 12.3</w:t>
      </w:r>
    </w:p>
    <w:p>
      <w:pPr>
        <w:spacing w:after="80"/>
      </w:pPr>
      <w:r>
        <w:rPr>
          <w:b w:val="0"/>
          <w:i w:val="0"/>
        </w:rPr>
        <w:t>Mặc dù việc bố trí nhân sự cho nhóm thay đổi qua vòng đời của một giải pháp, nhưng không bao giờ có việc bàn giao từ nhóm này sang nhóm khác. Thay vào đó, chính nhóm đó sẽ tiến hóa cấu hình của mình theo thời gian. Duy trì các vai trò then chốt, chẳng hạn như trưởng nhóm, rất quan trọng để đảm bảo tính liên tục.</w:t>
      </w:r>
    </w:p>
    <w:p>
      <w:pPr>
        <w:jc w:val="center"/>
      </w:pPr>
      <w:r>
        <w:drawing>
          <wp:inline xmlns:a="http://schemas.openxmlformats.org/drawingml/2006/main" xmlns:pic="http://schemas.openxmlformats.org/drawingml/2006/picture">
            <wp:extent cx="457200" cy="447675"/>
            <wp:docPr id="82" name="Picture 82"/>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Ước tính nhu cầu nhân tài tổng thể</w:t>
      </w:r>
    </w:p>
    <w:p>
      <w:pPr>
        <w:spacing w:after="80"/>
      </w:pPr>
      <w:r>
        <w:rPr>
          <w:b w:val="0"/>
          <w:i w:val="0"/>
        </w:rPr>
        <w:t>Các kiểu mẫu nhóm giúp bạn dễ dàng ước tính nhu cầu nguồn lực cho quá trình chuyển đổi của mình. Tối thiểu, bạn nên lên kế hoạch một nhóm cho mỗi giải pháp. Nếu giải pháp phức tạp, bạn có thể có nhiều nhóm tập trung vào các trường hợp sử dụng (use case) khác nhau. Việc gán kiểu mẫu cho các giải pháp hoặc trường hợp sử dụng cần một chút kinh nghiệm và thực hành, nhưng nó sẽ sớm trở thành phản xạ tự nhiên.</w:t>
      </w:r>
    </w:p>
    <w:p>
      <w:pPr>
        <w:spacing w:after="80"/>
      </w:pPr>
      <w:r>
        <w:rPr>
          <w:b w:val="0"/>
          <w:i w:val="0"/>
        </w:rPr>
        <w:t>Khi bạn đã gán các kiểu mẫu nhóm, việc hiểu nhu cầu nhân tài tổng thể của nỗ lực này trở nên đơn giản, hoặc ít nhất là cho khoảng 12 đến 18 tháng tới. Những nhu cầu này sẽ tiến hóa theo thời gian khi các giải pháp trưởng thành và những giải pháp mới được thêm vào. Bạn nên xem xét lại quy trình này hàng quý.</w:t>
      </w:r>
    </w:p>
    <w:p>
      <w:pPr>
        <w:pStyle w:val="Heading2"/>
      </w:pPr>
      <w:r>
        <w:rPr>
          <w:rFonts w:ascii="Calibri" w:hAnsi="Calibri"/>
          <w:b/>
          <w:i w:val="0"/>
          <w:sz w:val="32"/>
        </w:rPr>
        <w:t>Điều gì thực sự 'agile' trong phát triển phần mềm agile</w:t>
      </w:r>
    </w:p>
    <w:p>
      <w:pPr>
        <w:spacing w:after="80"/>
      </w:pPr>
      <w:r>
        <w:rPr>
          <w:b w:val="0"/>
          <w:i w:val="0"/>
        </w:rPr>
        <w:t>Mặc dù thuật ngữ "agile" đã bị lạm dụng đến mức gần như nhại lại, nó vẫn là cách tốt nhất để mô tả phương pháp làm việc lý tưởng cho việc phát triển phần mềm. Khi được triển khai đúng cách, nó có thể thúc đẩy những cải thiện thực sự về chất lượng của giải pháp đang được phát triển và tốc độ phát triển.</w:t>
      </w:r>
    </w:p>
    <w:p>
      <w:pPr>
        <w:spacing w:after="80"/>
      </w:pPr>
      <w:r>
        <w:rPr>
          <w:b w:val="0"/>
          <w:i w:val="0"/>
        </w:rPr>
        <w:t>Agile là một cách làm việc giúp mang lại giá trị nhanh chóng thông qua các chu kỳ nhỏ, lặp đi lặp lại, học hỏi liên tục và cộng tác chặt chẽ với người dùng cuối (Triển lãm 12.4). Đây không chỉ là chuyện của bộ phận IT; agile chính là cách mà doanh nghiệp của bạn nên vận hành.</w:t>
      </w:r>
    </w:p>
    <w:p>
      <w:pPr>
        <w:jc w:val="center"/>
      </w:pPr>
      <w:r>
        <w:drawing>
          <wp:inline xmlns:a="http://schemas.openxmlformats.org/drawingml/2006/main" xmlns:pic="http://schemas.openxmlformats.org/drawingml/2006/picture">
            <wp:extent cx="5486400" cy="3197972"/>
            <wp:docPr id="83" name="Picture 83"/>
            <wp:cNvGraphicFramePr>
              <a:graphicFrameLocks noChangeAspect="1"/>
            </wp:cNvGraphicFramePr>
            <a:graphic>
              <a:graphicData uri="http://schemas.openxmlformats.org/drawingml/2006/picture">
                <pic:pic>
                  <pic:nvPicPr>
                    <pic:cNvPr id="0" name="c12ex004.png"/>
                    <pic:cNvPicPr/>
                  </pic:nvPicPr>
                  <pic:blipFill>
                    <a:blip r:embed="rId69"/>
                    <a:stretch>
                      <a:fillRect/>
                    </a:stretch>
                  </pic:blipFill>
                  <pic:spPr>
                    <a:xfrm>
                      <a:off x="0" y="0"/>
                      <a:ext cx="5486400" cy="3197972"/>
                    </a:xfrm>
                    <a:prstGeom prst="rect"/>
                  </pic:spPr>
                </pic:pic>
              </a:graphicData>
            </a:graphic>
          </wp:inline>
        </w:drawing>
      </w:r>
    </w:p>
    <w:p>
      <w:pPr>
        <w:spacing w:after="160"/>
        <w:jc w:val="center"/>
      </w:pPr>
      <w:r>
        <w:rPr>
          <w:rFonts w:ascii="Calibri" w:hAnsi="Calibri"/>
          <w:b w:val="0"/>
          <w:i/>
          <w:sz w:val="19"/>
        </w:rPr>
        <w:t>TRIỂN LÃM 12.4</w:t>
      </w:r>
    </w:p>
    <w:p>
      <w:pPr>
        <w:spacing w:after="80"/>
      </w:pPr>
      <w:r>
        <w:rPr>
          <w:b w:val="0"/>
          <w:i w:val="0"/>
        </w:rPr>
        <w:t>Trong quy trình thác nước (waterfall), người ta giả định rằng toàn bộ phạm vi công việc phải được bàn giao, và các kế hoạch được xây dựng tương ứng, bao gồm cả yêu cầu về nguồn lực và thời gian (Triển lãm 12.5). Theo lời của Clay Shirky, tác giả và học giả về công nghệ internet: "Bằng cách đặt việc lập kế hoạch nghiêm túc nhất lên đầu, rồi mọi công việc tiếp theo đều bắt nguồn từ kế hoạch đó, phương pháp thác nước thực chất là một lời cam kết của tất cả các bên rằng sẽ không học hỏi được gì trong khi làm công việc thực tế." Điều đó rõ ràng là vô lý trong môi trường thay đổi nhanh chóng và đầy bất định.</w:t>
      </w:r>
    </w:p>
    <w:p>
      <w:pPr>
        <w:spacing w:after="80"/>
      </w:pPr>
      <w:r>
        <w:rPr>
          <w:b w:val="0"/>
          <w:i w:val="0"/>
        </w:rPr>
        <w:t>Trong phương pháp agile, nguồn lực và khoảng thời gian được cố định (thường theo từng giai đoạn ba tháng), còn phạm vi được xác định để tối đa hóa giá trị bàn giao trong một khoảng thời gian cố định. Khi có thông tin mới về nhu cầu hoặc ràng buộc của người dùng, phạm vi sẽ được điều chỉnh theo từng khoảng thời gian mới.</w:t>
      </w:r>
    </w:p>
    <w:p>
      <w:pPr>
        <w:jc w:val="center"/>
      </w:pPr>
      <w:r>
        <w:drawing>
          <wp:inline xmlns:a="http://schemas.openxmlformats.org/drawingml/2006/main" xmlns:pic="http://schemas.openxmlformats.org/drawingml/2006/picture">
            <wp:extent cx="5486400" cy="2752871"/>
            <wp:docPr id="84" name="Picture 84"/>
            <wp:cNvGraphicFramePr>
              <a:graphicFrameLocks noChangeAspect="1"/>
            </wp:cNvGraphicFramePr>
            <a:graphic>
              <a:graphicData uri="http://schemas.openxmlformats.org/drawingml/2006/picture">
                <pic:pic>
                  <pic:nvPicPr>
                    <pic:cNvPr id="0" name="c12ex005.png"/>
                    <pic:cNvPicPr/>
                  </pic:nvPicPr>
                  <pic:blipFill>
                    <a:blip r:embed="rId70"/>
                    <a:stretch>
                      <a:fillRect/>
                    </a:stretch>
                  </pic:blipFill>
                  <pic:spPr>
                    <a:xfrm>
                      <a:off x="0" y="0"/>
                      <a:ext cx="5486400" cy="2752871"/>
                    </a:xfrm>
                    <a:prstGeom prst="rect"/>
                  </pic:spPr>
                </pic:pic>
              </a:graphicData>
            </a:graphic>
          </wp:inline>
        </w:drawing>
      </w:r>
    </w:p>
    <w:p>
      <w:pPr>
        <w:spacing w:after="160"/>
        <w:jc w:val="center"/>
      </w:pPr>
      <w:r>
        <w:rPr>
          <w:rFonts w:ascii="Calibri" w:hAnsi="Calibri"/>
          <w:b w:val="0"/>
          <w:i/>
          <w:sz w:val="19"/>
        </w:rPr>
        <w:t>TRIỂN LÃM 12.5</w:t>
      </w:r>
    </w:p>
    <w:p>
      <w:pPr>
        <w:spacing w:after="80"/>
      </w:pPr>
      <w:r>
        <w:rPr>
          <w:b w:val="0"/>
          <w:i w:val="0"/>
        </w:rPr>
        <w:t>Hầu hết các công ty đều đã thử nghiệm agile trong hoặc ngoài tổ chức IT của mình. Đáng tiếc là một số công ty đã gặp vấn đề với các phương pháp agile vì họ quá tập trung vào agile như một quy trình mà không đủ chú trọng đến agile như một cách mới để ưu tiên và tập trung nguồn lực vào những điều thực sự quan trọng.</w:t>
      </w:r>
    </w:p>
    <w:p>
      <w:pPr>
        <w:spacing w:after="80"/>
      </w:pPr>
      <w:r>
        <w:rPr>
          <w:b/>
          <w:i/>
        </w:rPr>
        <w:t>Chỉ đơn thuần thực hiện các nghi thức agile mà không thay đổi tương ứng cách đặt mục tiêu, tổ chức đội nhóm và thực thi trách nhiệm giải trình về kết quả sẽ dẫn đến những kết quả kém</w:t>
      </w:r>
      <w:r>
        <w:rPr>
          <w:b/>
          <w:i w:val="0"/>
        </w:rPr>
        <w:t>.</w:t>
      </w:r>
    </w:p>
    <w:p>
      <w:pPr>
        <w:spacing w:after="80"/>
      </w:pPr>
      <w:r>
        <w:rPr>
          <w:b w:val="0"/>
          <w:i w:val="0"/>
        </w:rPr>
        <w:t>Mặc dù có nhiều biến thể của các phương pháp agile, chúng tôi cho rằng việc gọi tên không quan trọng. Điều thực sự quan trọng là giữ đúng bốn đặc điểm then chốt sau đây của agile:</w:t>
      </w:r>
    </w:p>
    <w:p>
      <w:pPr>
        <w:spacing w:after="80"/>
      </w:pPr>
      <w:r>
        <w:rPr>
          <w:b/>
          <w:i w:val="0"/>
        </w:rPr>
        <w:t>Sứ mệnh rõ ràng với kết quả đo lường được.</w:t>
      </w:r>
      <w:r>
        <w:rPr>
          <w:b w:val="0"/>
          <w:i w:val="0"/>
        </w:rPr>
        <w:t xml:space="preserve"> Ban lãnh đạo giao cho mỗi đội một sứ mệnh rõ ràng tập trung vào kết quả (được gọi là mục tiêu và kết quả then chốt, hay OKRs) có thể đo lường và đạt được trong một khung thời gian hợp lý (tính bằng tháng hoặc quý, không phải bằng năm). Triển lãm 12.6 cung cấp một ví dụ về OKRs cho một giải pháp phần mềm nhân sự.</w:t>
      </w:r>
    </w:p>
    <w:p>
      <w:pPr>
        <w:spacing w:after="80"/>
      </w:pPr>
      <w:r>
        <w:rPr>
          <w:b/>
          <w:i w:val="0"/>
        </w:rPr>
        <w:t>Con người tận tâm với kỹ năng đa chức năng.</w:t>
      </w:r>
      <w:r>
        <w:rPr>
          <w:b w:val="0"/>
          <w:i w:val="0"/>
        </w:rPr>
        <w:t xml:space="preserve"> Các đội được bố trí một hỗn hợp chuyên gia về kinh doanh, công nghệ và nghiệp vụ với những kỹ năng phù hợp. Đội nên có, càng nhiều càng tốt, mọi nguồn lực cần thiết để hoàn thành sứ mệnh của mình, và những nguồn lực này nên được dành riêng để giảm thiểu sự phụ thuộc lẫn nhau.</w:t>
      </w:r>
    </w:p>
    <w:p>
      <w:pPr>
        <w:spacing w:after="80"/>
      </w:pPr>
      <w:r>
        <w:rPr>
          <w:b/>
          <w:i w:val="0"/>
        </w:rPr>
        <w:t>Tự chủ và chịu trách nhiệm về tác động.</w:t>
      </w:r>
      <w:r>
        <w:rPr>
          <w:b w:val="0"/>
          <w:i w:val="0"/>
        </w:rPr>
        <w:t xml:space="preserve"> Các đội cần quyền làm chủ đối với công việc mình làm. Quyền làm chủ này không chỉ bao gồm việc phát triển giải pháp mà còn cả việc hiện thực hóa giá trị từ nó. Các đội được trao quyền để đưa ra các lựa chọn phát triển nhằm đạt được OKRs. Người chủ sở hữu đội liên tục ưu tiên công việc để đạt được kết quả mục tiêu.</w:t>
      </w:r>
    </w:p>
    <w:p>
      <w:pPr>
        <w:spacing w:after="80"/>
      </w:pPr>
      <w:r>
        <w:rPr>
          <w:b/>
          <w:i w:val="0"/>
        </w:rPr>
        <w:t>Di chuyển nhanh, lặp đi lặp lại và tập trung vào nhu cầu người dùng.</w:t>
      </w:r>
      <w:r>
        <w:rPr>
          <w:b w:val="0"/>
          <w:i w:val="0"/>
        </w:rPr>
        <w:t xml:space="preserve"> Cách tiếp cận làm việc cơ bản của một đội agile là thử nghiệm, học hỏi và không ngừng cải thiện một giải pháp. Các đội làm việc để tạo ra điều gì đó mới, thử nghiệm với người dùng cuối, và lập lại kế hoạch phạm vi cho sprint tiếp theo.</w:t>
      </w:r>
    </w:p>
    <w:p>
      <w:pPr>
        <w:jc w:val="center"/>
      </w:pPr>
      <w:r>
        <w:drawing>
          <wp:inline xmlns:a="http://schemas.openxmlformats.org/drawingml/2006/main" xmlns:pic="http://schemas.openxmlformats.org/drawingml/2006/picture">
            <wp:extent cx="5486400" cy="4651858"/>
            <wp:docPr id="85" name="Picture 85"/>
            <wp:cNvGraphicFramePr>
              <a:graphicFrameLocks noChangeAspect="1"/>
            </wp:cNvGraphicFramePr>
            <a:graphic>
              <a:graphicData uri="http://schemas.openxmlformats.org/drawingml/2006/picture">
                <pic:pic>
                  <pic:nvPicPr>
                    <pic:cNvPr id="0" name="c12ex006.png"/>
                    <pic:cNvPicPr/>
                  </pic:nvPicPr>
                  <pic:blipFill>
                    <a:blip r:embed="rId71"/>
                    <a:stretch>
                      <a:fillRect/>
                    </a:stretch>
                  </pic:blipFill>
                  <pic:spPr>
                    <a:xfrm>
                      <a:off x="0" y="0"/>
                      <a:ext cx="5486400" cy="4651858"/>
                    </a:xfrm>
                    <a:prstGeom prst="rect"/>
                  </pic:spPr>
                </pic:pic>
              </a:graphicData>
            </a:graphic>
          </wp:inline>
        </w:drawing>
      </w:r>
    </w:p>
    <w:p>
      <w:pPr>
        <w:spacing w:after="160"/>
        <w:jc w:val="center"/>
      </w:pPr>
      <w:r>
        <w:rPr>
          <w:rFonts w:ascii="Calibri" w:hAnsi="Calibri"/>
          <w:b w:val="0"/>
          <w:i/>
          <w:sz w:val="19"/>
        </w:rPr>
        <w:t>TRIỂN LÃM 12.6</w:t>
      </w:r>
    </w:p>
    <w:p>
      <w:pPr>
        <w:spacing w:after="80"/>
      </w:pPr>
      <w:r>
        <w:rPr>
          <w:b w:val="0"/>
          <w:i w:val="0"/>
        </w:rPr>
        <w:t>Quản lý đội nhóm hiệu quả chủ yếu dựa vào ba "nghi thức" agile, một thuật ngữ mô tả các cuộc họp với tần suất, thời lượng và mục tiêu được xác định. Làm đúng những điều này thì bạn sẽ thành công với việc triển khai agile của mình.</w:t>
      </w:r>
    </w:p>
    <w:p>
      <w:pPr>
        <w:spacing w:after="80"/>
        <w:ind w:left="360"/>
      </w:pPr>
      <w:r>
        <w:t xml:space="preserve">1. </w:t>
      </w:r>
      <w:r>
        <w:rPr>
          <w:b/>
          <w:i w:val="0"/>
        </w:rPr>
        <w:t>Đặt ra sứ mệnh và OKRs</w:t>
      </w:r>
      <w:r>
        <w:rPr>
          <w:b w:val="0"/>
          <w:i w:val="0"/>
        </w:rPr>
        <w:br/>
        <w:t>Đặt ra sứ mệnh và OKRs là nghi thức quan trọng nhất vì đây là lúc ban lãnh đạo đưa ra định hướng và đặt ra kỳ vọng. Sứ mệnh là công việc mà một đội thực hiện trong một năm hoặc lâu hơn. Ban lãnh đạo và mỗi người chủ sở hữu đội chia nhỏ một sứ mệnh thành các mục tiêu và kết quả then chốt (OKRs) và đặt ra các mục tiêu cụ thể theo quý cho đội.</w:t>
        <w:br/>
        <w:t>Trên thực tế, việc đặt OKRs khó hơn vẻ ngoài của nó và thường là một điểm thất bại lớn trong các đợt triển khai agile. Các kết quả then chốt nên mang tính tham vọng, đến mức đôi khi không đạt được. Thực tế, chúng có lẽ được đặt quá thấp nếu các đội lúc nào cũng đạt được. Các kết quả then chốt nên dễ theo dõi, định lượng được và gắn với giá trị kinh doanh.</w:t>
        <w:br/>
        <w:t>Mỗi OKR đều gắn với các kết quả kinh doanh mà mọi người trong đội cùng chia sẻ. Hãy giữ số lượng mục tiêu ở mức dễ quản lý—càng ít càng tốt (thường từ một đến ba). Các mục tiêu chỉ nên được thay đổi sau khi cân nhắc kỹ lưỡng. Việc phát triển OKRs cần luyện tập trước khi ban lãnh đạo có thể làm tốt.</w:t>
      </w:r>
    </w:p>
    <w:p>
      <w:pPr>
        <w:spacing w:after="80"/>
        <w:ind w:left="360"/>
      </w:pPr>
      <w:r>
        <w:t xml:space="preserve">2. </w:t>
      </w:r>
      <w:r>
        <w:rPr>
          <w:b/>
          <w:i w:val="0"/>
        </w:rPr>
        <w:t>Tiến triển qua các buổi đánh giá và ưu tiên danh sách tồn đọng</w:t>
      </w:r>
      <w:r>
        <w:rPr>
          <w:b w:val="0"/>
          <w:i w:val="0"/>
        </w:rPr>
        <w:br/>
        <w:t>Sprint thường là một nỗ lực kéo dài hai tuần để phát triển một tập hợp các tính năng của một giải pháp (các nghi thức cụ thể của một sprint được mô tả trong Triển lãm 12.7). Nhiều sprint hợp thành một giai đoạn phát triển (thường là ba tháng). Trưởng nhóm ưu tiên công việc của đội cho một sprint bằng cách xây dựng một danh sách việc cần làm được tổ chức tốt (còn gọi là danh sách tồn đọng, hay backlog) gồm tất cả các hạng mục bàn giao cần thiết để hoàn thành sprint hiện tại và một đến hai sprint tiếp theo.</w:t>
        <w:br/>
        <w:br/>
        <w:br/>
        <w:br/>
        <w:br/>
        <w:br/>
        <w:t xml:space="preserve"> THEO LỜI CỦA HỌ</w:t>
        <w:br/>
        <w:br/>
        <w:t xml:space="preserve"> OKRs và việc thống nhất về điều quan trọng nhất</w:t>
        <w:br/>
        <w:t>"OKRs là một cách để thống nhất về điều quan trọng nhất ngay lúc này rồi lặp đi lặp lại trên đó, bởi vì nó không hề cố định. Các công ty khởi nghiệp, như một đặc quyền bẩm sinh, liên tục cân bằng giữa một tham vọng khổng lồ với nguồn lực rất ít ỏi.</w:t>
        <w:br/>
        <w:t>Năng lực của họ so với tham vọng của họ hoàn toàn không tương xứng, đó vừa là phần thú vị vừa là phần đáng sợ của việc ở trong một công ty khởi nghiệp. Họ không có thời gian, tiền bạc và nguồn lực vô hạn. Vậy nên, nếu phải đánh đổi xem điều gì quan trọng nhất, chúng ta sẽ đánh đổi cái gì vào, đánh đổi cái gì ra?</w:t>
        <w:br/>
        <w:t>OKRs là một kỹ thuật để các công ty lớn hơn vận hành với cùng khái niệm về sự ràng buộc, và chính sự ràng buộc đó giúp định hướng các lựa chọn.</w:t>
        <w:br/>
        <w:t>Một điều khác cũng mạnh mẽ và rất khác so với những gì có trước chúng là OKRs nhấn mạnh vào việc điều tuyệt vời trông như thế nào, thay vì điều gì sẽ an toàn và có kết quả dễ dự đoán nhất. Nó đảo ngược lại thành: 'Được rồi, trong 90 ngày tới, kết quả tốt nhất có thể mà chúng ta đạt được là gì?'</w:t>
        <w:br/>
        <w:t>Đó không phải là chuyện cố gắng trông thật đẹp trong các KPI của bạn. Đó là chuyện cố gắng trở nên phi thường. Tôi thích sự kết hợp giữa việc đưa tham vọng lên hết mức, rồi với năng lực bị ràng buộc, chúng ta sẽ làm gì trước tiên? Chúng ta nghĩ điều gì tạo ra sự thay đổi, và những thay đổi nào quan trọng nhất?"</w:t>
        <w:br/>
        <w:br/>
      </w:r>
      <w:r>
        <w:rPr>
          <w:b/>
          <w:i/>
        </w:rPr>
        <w:t>— Deidre Paknad, Đồng sáng lập và CEO, WorkBoard</w:t>
      </w:r>
      <w:r>
        <w:rPr>
          <w:b w:val="0"/>
          <w:i w:val="0"/>
        </w:rPr>
        <w:br/>
        <w:br/>
        <w:br/>
        <w:br/>
        <w:br/>
        <w:t>Khả năng của một trưởng nhóm trong việc xem xét và điều chỉnh các ưu tiên, đẩy vấn đề lên cấp cao hơn khi cần, lập kế hoạch sprint và suy nghĩ thấu đáo về các mối phụ thuộc là nền tảng cho sự vận hành thành công của một đội.</w:t>
        <w:br/>
        <w:t>Một sprint hai tuần kết thúc bằng một buổi đánh giá sprint. Đây là cơ hội để đội trình bày tiến độ và thành thật về việc liệu đội có đang trên đà bàn giao hay không. Đây cũng là cơ hội để ban lãnh đạo—thường là trưởng bộ phận—tôn vinh đội, đưa ra hướng dẫn và giải quyết các rào cản.</w:t>
        <w:br/>
        <w:t>Đội không chuẩn bị những bài trình bày trang trọng, bóng bẩy cho các buổi đánh giá sprint. Điều đó sẽ quá nặng nề. Thay vào đó, đội chia sẻ công việc đã hoàn thành. Đây luôn là một thay đổi văn hóa đầy thách thức đối với các công ty lâu đời.</w:t>
        <w:br/>
        <w:t>Khi xây dựng danh sách tồn đọng của mình, các đội sản phẩm nên tập trung vào kết quả và giá trị của từng bản phát hành như một phần của lộ trình phát hành theo quý rõ ràng. Để hỗ trợ sự tập trung này, OKRs cần nêu rõ những mục tiêu này trên cơ sở hàng quý để các đội hướng tới giá trị từ mỗi bản phát hành mỗi quý. Cách tư duy này tạo ra sự khác biệt lớn.</w:t>
      </w:r>
    </w:p>
    <w:p>
      <w:pPr>
        <w:jc w:val="center"/>
      </w:pPr>
      <w:r>
        <w:drawing>
          <wp:inline xmlns:a="http://schemas.openxmlformats.org/drawingml/2006/main" xmlns:pic="http://schemas.openxmlformats.org/drawingml/2006/picture">
            <wp:extent cx="5486400" cy="3211394"/>
            <wp:docPr id="86" name="Picture 86"/>
            <wp:cNvGraphicFramePr>
              <a:graphicFrameLocks noChangeAspect="1"/>
            </wp:cNvGraphicFramePr>
            <a:graphic>
              <a:graphicData uri="http://schemas.openxmlformats.org/drawingml/2006/picture">
                <pic:pic>
                  <pic:nvPicPr>
                    <pic:cNvPr id="0" name="c12ex007.png"/>
                    <pic:cNvPicPr/>
                  </pic:nvPicPr>
                  <pic:blipFill>
                    <a:blip r:embed="rId72"/>
                    <a:stretch>
                      <a:fillRect/>
                    </a:stretch>
                  </pic:blipFill>
                  <pic:spPr>
                    <a:xfrm>
                      <a:off x="0" y="0"/>
                      <a:ext cx="5486400" cy="3211394"/>
                    </a:xfrm>
                    <a:prstGeom prst="rect"/>
                  </pic:spPr>
                </pic:pic>
              </a:graphicData>
            </a:graphic>
          </wp:inline>
        </w:drawing>
      </w:r>
    </w:p>
    <w:p>
      <w:pPr>
        <w:spacing w:after="160"/>
        <w:jc w:val="center"/>
      </w:pPr>
      <w:r>
        <w:rPr>
          <w:rFonts w:ascii="Calibri" w:hAnsi="Calibri"/>
          <w:b w:val="0"/>
          <w:i/>
          <w:sz w:val="19"/>
        </w:rPr>
        <w:t>PHỤ LỤC 12.7</w:t>
      </w:r>
    </w:p>
    <w:p>
      <w:pPr>
        <w:jc w:val="center"/>
      </w:pPr>
      <w:r>
        <w:drawing>
          <wp:inline xmlns:a="http://schemas.openxmlformats.org/drawingml/2006/main" xmlns:pic="http://schemas.openxmlformats.org/drawingml/2006/picture">
            <wp:extent cx="457200" cy="447675"/>
            <wp:docPr id="87" name="Picture 87"/>
            <wp:cNvGraphicFramePr>
              <a:graphicFrameLocks noChangeAspect="1"/>
            </wp:cNvGraphicFramePr>
            <a:graphic>
              <a:graphicData uri="http://schemas.openxmlformats.org/drawingml/2006/picture">
                <pic:pic>
                  <pic:nvPicPr>
                    <pic:cNvPr id="0" name="IN_THEIR_WORDS_orange.png"/>
                    <pic:cNvPicPr/>
                  </pic:nvPicPr>
                  <pic:blipFill>
                    <a:blip r:embed="rId73"/>
                    <a:stretch>
                      <a:fillRect/>
                    </a:stretch>
                  </pic:blipFill>
                  <pic:spPr>
                    <a:xfrm>
                      <a:off x="0" y="0"/>
                      <a:ext cx="457200" cy="447675"/>
                    </a:xfrm>
                    <a:prstGeom prst="rect"/>
                  </pic:spPr>
                </pic:pic>
              </a:graphicData>
            </a:graphic>
          </wp:inline>
        </w:drawing>
      </w:r>
    </w:p>
    <w:p>
      <w:pPr>
        <w:spacing w:after="80"/>
        <w:ind w:left="360"/>
      </w:pPr>
      <w:r>
        <w:t xml:space="preserve">3. </w:t>
      </w:r>
      <w:r>
        <w:rPr>
          <w:b/>
          <w:i w:val="0"/>
        </w:rPr>
        <w:t>Điều hành thông qua các buổi đánh giá kinh doanh hàng quý (QBR)</w:t>
      </w:r>
      <w:r>
        <w:rPr>
          <w:b w:val="0"/>
          <w:i w:val="0"/>
        </w:rPr>
        <w:br/>
        <w:t>QBR là lúc ban lãnh đạo nhìn lại tiến độ và giá trị đã mang lại, rồi điều chỉnh hướng đi cho đội nhóm nếu cần. QBR là một nghi thức chính thức giữa các trưởng nhóm và chủ sở hữu lĩnh vực (domain owner). Buổi này nhìn lại tiến độ của ba tháng vừa qua, điều chỉnh OKR cho ba tháng tiếp theo, và đảm bảo OKR được phối hợp nhịp nhàng giữa các đội nhóm (tìm hiểu thêm về cách tổ chức QBR trong Chương 14).</w:t>
        <w:br/>
        <w:t>Khi việc này đã hoàn tất ở cấp lĩnh vực, một QBR thứ hai ở cấp cao hơn sẽ quy tụ tất cả các chủ sở hữu lĩnh vực cùng với lãnh đạo đơn vị kinh doanh hoặc bộ phận kinh doanh. Đây là cơ hội để xem xét OKR, nhu cầu ngân sách và thứ tự ưu tiên giữa các lĩnh vực.</w:t>
        <w:br/>
        <w:t>Trong khi nhân sự của đội nhóm thay đổi theo vòng đời của một giải pháp, thì không bao giờ có chuyện bàn giao từ đội này sang đội khác. Thay vào đó, chính đội đó sẽ tự điều chỉnh cấu hình của mình theo thời gian. Duy trì các vai trò then chốt, như product owner, rất quan trọng để đảm bảo tính liên tục.</w:t>
      </w:r>
    </w:p>
    <w:p>
      <w:pPr>
        <w:pStyle w:val="Heading3"/>
      </w:pPr>
      <w:r>
        <w:rPr>
          <w:rFonts w:ascii="Calibri" w:hAnsi="Calibri"/>
          <w:b/>
          <w:i w:val="0"/>
          <w:sz w:val="26"/>
        </w:rPr>
        <w:t>Một lời cảnh báo</w:t>
      </w:r>
    </w:p>
    <w:p>
      <w:pPr>
        <w:spacing w:after="80"/>
      </w:pPr>
      <w:r>
        <w:rPr>
          <w:b w:val="0"/>
          <w:i w:val="0"/>
        </w:rPr>
        <w:t>Mục tiêu của các đội nhóm agile là tốc độ và hiệu quả. Nhưng qua làm việc với nhiều công ty, chúng tôi nhận thấy mọi người quá háo hức lập các đội nhóm đa chức năng (cross-functional team) và bắt tay vào làm đến mức không dành đủ thời gian để làm cho đúng. Điều đó thường có nghĩa là lứa đội nhóm agile đầu tiên thường không đạt được kết quả kinh doanh, không phát triển được phần mềm, thậm chí không đạt được cả mức độ hài lòng của nhân viên.</w:t>
      </w:r>
    </w:p>
    <w:p>
      <w:pPr>
        <w:spacing w:after="80"/>
      </w:pPr>
      <w:r>
        <w:rPr>
          <w:b w:val="0"/>
          <w:i w:val="0"/>
        </w:rPr>
        <w:t>Vấn đề thường quy về cái mà chúng tôi gọi là vấn đề "phô mai Thụy Sĩ" (Swiss cheese), nghĩa là cách thiết lập agile đầy lỗ hổng. Ví dụ, tỷ lệ kỹ sư bị lệch, tầm nhìn sản phẩm không được định nghĩa rõ ràng, các vai trò không được phân bổ 100%, hoặc đội nhóm thiếu trách nhiệm giải trình đầy đủ với kết quả đầu ra.</w:t>
      </w:r>
    </w:p>
    <w:p>
      <w:pPr>
        <w:spacing w:after="80"/>
      </w:pPr>
      <w:r>
        <w:rPr>
          <w:b w:val="0"/>
          <w:i w:val="0"/>
        </w:rPr>
        <w:t>Rất dễ để mất dấu các yếu tố khác nhau cần phải hội tụ lại với nhau.</w:t>
      </w:r>
    </w:p>
    <w:p>
      <w:pPr>
        <w:jc w:val="center"/>
      </w:pPr>
      <w:r>
        <w:drawing>
          <wp:inline xmlns:a="http://schemas.openxmlformats.org/drawingml/2006/main" xmlns:pic="http://schemas.openxmlformats.org/drawingml/2006/picture">
            <wp:extent cx="1905000" cy="95250"/>
            <wp:docPr id="88" name="Picture 88"/>
            <wp:cNvGraphicFramePr>
              <a:graphicFrameLocks noChangeAspect="1"/>
            </wp:cNvGraphicFramePr>
            <a:graphic>
              <a:graphicData uri="http://schemas.openxmlformats.org/drawingml/2006/picture">
                <pic:pic>
                  <pic:nvPicPr>
                    <pic:cNvPr id="0" name="CHAPTEREND_RULE_orange.png"/>
                    <pic:cNvPicPr/>
                  </pic:nvPicPr>
                  <pic:blipFill>
                    <a:blip r:embed="rId74"/>
                    <a:stretch>
                      <a:fillRect/>
                    </a:stretch>
                  </pic:blipFill>
                  <pic:spPr>
                    <a:xfrm>
                      <a:off x="0" y="0"/>
                      <a:ext cx="1905000" cy="95250"/>
                    </a:xfrm>
                    <a:prstGeom prst="rect"/>
                  </pic:spPr>
                </pic:pic>
              </a:graphicData>
            </a:graphic>
          </wp:inline>
        </w:drawing>
      </w:r>
    </w:p>
    <w:p>
      <w:pPr>
        <w:spacing w:after="80"/>
      </w:pPr>
      <w:r>
        <w:rPr>
          <w:b w:val="0"/>
          <w:i w:val="0"/>
        </w:rPr>
        <w:t>Nếu bạn đang bắt đầu chuyển đổi Công nghệ &amp; AI, mục tiêu của bạn trong 12–18 tháng đầu nên là thiết lập thành công 10–20 đội nhóm agile. Dấu hiệu thành công của bạn nên là việc bàn giao một vài giải pháp đang vận hành trong môi trường production (không chỉ là thử nghiệm) và làm cho các thực hành agile của bạn chín muồi hơn.</w:t>
      </w:r>
    </w:p>
    <w:p>
      <w:pPr>
        <w:spacing w:after="80"/>
      </w:pPr>
      <w:r>
        <w:rPr>
          <w:b w:val="0"/>
          <w:i w:val="0"/>
        </w:rPr>
        <w:t>Khi đã đạt được điều này, giai đoạn tiếp theo là mở rộng số lượng giải pháp và tương ứng là số lượng đội nhóm. Điều này sẽ đòi hỏi phải thay đổi mô hình vận hành của bạn, và đó chính là trọng tâm của chương tiếp theo.</w:t>
      </w:r>
    </w:p>
    <w:p>
      <w:pPr>
        <w:pStyle w:val="Heading2"/>
      </w:pPr>
      <w:r>
        <w:rPr>
          <w:rFonts w:ascii="Calibri" w:hAnsi="Calibri"/>
          <w:b/>
          <w:i w:val="0"/>
          <w:sz w:val="32"/>
        </w:rPr>
        <w:t>Ghi chú</w:t>
      </w:r>
    </w:p>
    <w:p>
      <w:pPr>
        <w:spacing w:after="80"/>
        <w:ind w:left="360"/>
      </w:pPr>
      <w:r>
        <w:t xml:space="preserve">1. </w:t>
      </w:r>
      <w:r>
        <w:rPr>
          <w:b w:val="0"/>
          <w:i w:val="0"/>
        </w:rPr>
        <w:t xml:space="preserve">1   Clay Shirky, "How willful ignorance doomed HealthCare.gov," </w:t>
      </w:r>
      <w:r>
        <w:rPr>
          <w:b w:val="0"/>
          <w:i/>
        </w:rPr>
        <w:t>Politico</w:t>
      </w:r>
      <w:r>
        <w:rPr>
          <w:b w:val="0"/>
          <w:i w:val="0"/>
        </w:rPr>
        <w:t>, ngày 13 tháng 11 năm 2013.</w:t>
      </w:r>
    </w:p>
    <w:p>
      <w:pPr>
        <w:spacing w:after="80"/>
        <w:ind w:left="360"/>
      </w:pPr>
      <w:r>
        <w:t xml:space="preserve">2. </w:t>
      </w:r>
      <w:r>
        <w:rPr>
          <w:b w:val="0"/>
          <w:i w:val="0"/>
        </w:rPr>
        <w:t xml:space="preserve">2   John Doerr, </w:t>
      </w:r>
      <w:r>
        <w:rPr>
          <w:b w:val="0"/>
          <w:i/>
        </w:rPr>
        <w:t>Measure What Matters</w:t>
      </w:r>
      <w:r>
        <w:rPr>
          <w:b w:val="0"/>
          <w:i w:val="0"/>
        </w:rPr>
        <w:t>, Penguin Random House, 2018; Matt Fitzpatrick và Kurt Strovink, "How do you measure success in digital? Five metrics for CEOs," McKinsey, ngày 29 tháng 1 năm 2021.</w:t>
      </w:r>
    </w:p>
    <w:p>
      <w:pPr>
        <w:pStyle w:val="Heading2"/>
      </w:pPr>
      <w:r>
        <w:rPr>
          <w:rFonts w:ascii="Calibri" w:hAnsi="Calibri"/>
          <w:b/>
          <w:i/>
          <w:sz w:val="32"/>
        </w:rPr>
        <w:t>"Những người làm việc mới là động lực. … Việc của tôi là tạo không gian cho họ, dọn dẹp phần còn lại của tổ chức và giữ nó tránh xa họ."</w:t>
      </w:r>
    </w:p>
    <w:p>
      <w:pPr>
        <w:spacing w:after="80"/>
      </w:pPr>
      <w:r>
        <w:rPr>
          <w:b/>
          <w:i w:val="0"/>
        </w:rPr>
        <w:t>— Steve Jobs</w:t>
      </w:r>
    </w:p>
    <w:p>
      <w:pPr>
        <w:pStyle w:val="Heading1"/>
      </w:pPr>
      <w:r>
        <w:rPr>
          <w:rFonts w:ascii="Calibri" w:hAnsi="Calibri"/>
          <w:b/>
          <w:i w:val="0"/>
          <w:sz w:val="40"/>
        </w:rPr>
        <w:t>CHƯƠNG 13</w:t>
      </w:r>
      <w:r>
        <w:rPr>
          <w:rFonts w:ascii="Calibri" w:hAnsi="Calibri"/>
          <w:b/>
          <w:i w:val="0"/>
          <w:sz w:val="40"/>
        </w:rPr>
      </w:r>
      <w:r>
        <w:rPr>
          <w:rFonts w:ascii="Calibri" w:hAnsi="Calibri"/>
          <w:b/>
          <w:i w:val="0"/>
          <w:sz w:val="40"/>
        </w:rPr>
        <w:t>Ý tưởng mang tính cách mạng: Đưa nhân tài kỹ thuật vào lòng doanh nghiệp</w:t>
      </w:r>
    </w:p>
    <w:p>
      <w:pPr>
        <w:spacing w:after="80"/>
      </w:pPr>
      <w:r>
        <w:rPr>
          <w:b w:val="0"/>
          <w:i w:val="0"/>
        </w:rPr>
        <w:t>Một CEO mới được bổ nhiệm của một công ty toàn cầu lớn thấy mình đang mải mê tìm kiếm. Dù bà và đội ngũ lãnh đạo cấp cao đều nhất trí rằng mô hình vận hành hiện tại phải thay đổi, thì việc nó nên trở thành cái gì lại mơ hồ hơn nhiều. Không có bản thiết kế rõ ràng nào để noi theo, và cũng không có một câu trả lời duy nhất nào cảm thấy phù hợp với bối cảnh và tham vọng của công ty.</w:t>
      </w:r>
    </w:p>
    <w:p>
      <w:pPr>
        <w:spacing w:after="80"/>
      </w:pPr>
      <w:r>
        <w:rPr>
          <w:b w:val="0"/>
          <w:i w:val="0"/>
        </w:rPr>
        <w:t>Thay vì vội vàng đi tìm giải pháp, bà chủ động dành thời gian để tìm hiểu xem các tổ chức khác đối mặt với thách thức tương tự đã giải quyết vấn đề này như thế nào. Trong nhiều tháng, đội ngũ lãnh đạo đã xem xét các mô hình vận hành khác nhau, tranh luận về những đánh đổi, và suy ngẫm về những gì đã—và chưa—hiệu quả ở nơi khác.</w:t>
      </w:r>
    </w:p>
    <w:p>
      <w:pPr>
        <w:spacing w:after="80"/>
      </w:pPr>
      <w:r>
        <w:rPr>
          <w:b w:val="0"/>
          <w:i w:val="0"/>
        </w:rPr>
        <w:t>Tốc độ đó là có chủ đích. Vị CEO biết rằng việc áp dụng một cách vận hành hoàn toàn mới sẽ đòi hỏi nhiều hơn là một mệnh lệnh từ ban điều hành. Nó sẽ yêu cầu sự hiểu biết chung, niềm tin và cam kết từ toàn bộ đội ngũ lãnh đạo cấp cao nếu tổ chức muốn thực hiện thành công sự chuyển dịch này.</w:t>
      </w:r>
    </w:p>
    <w:p>
      <w:pPr>
        <w:spacing w:after="80"/>
      </w:pPr>
      <w:r>
        <w:rPr>
          <w:b w:val="0"/>
          <w:i w:val="0"/>
        </w:rPr>
        <w:t>Trong chương này, chúng tôi đưa bạn vào hành trình khám phá này.</w:t>
      </w:r>
    </w:p>
    <w:p>
      <w:pPr>
        <w:pStyle w:val="Heading2"/>
      </w:pPr>
      <w:r>
        <w:rPr>
          <w:rFonts w:ascii="Calibri" w:hAnsi="Calibri"/>
          <w:b/>
          <w:i w:val="0"/>
          <w:sz w:val="32"/>
        </w:rPr>
        <w:t>Mô hình vận hành truyền thống so với mô hình phân tán</w:t>
      </w:r>
    </w:p>
    <w:p>
      <w:pPr>
        <w:spacing w:after="80"/>
      </w:pPr>
      <w:r>
        <w:rPr>
          <w:b w:val="0"/>
          <w:i w:val="0"/>
        </w:rPr>
        <w:t>Nghiên cứu gần đây đã thử nghiệm một loạt các lựa chọn mô hình vận hành phổ biến để hiểu điều gì khiến chúng thành công. Các nhà lãnh đạo được yêu cầu xác định cấu trúc nào trong sáu cấu hình điển hình gần nhất với thiết kế hiện tại của họ. Kết quả cho thấy 89% tổ chức vẫn chủ yếu sử dụng cấu trúc phân cấp truyền thống—tức là cách tiếp cận đơn vị kinh doanh/công ty mẹ, quản lý theo ma trận, hoặc tổ chức theo chức năng.</w:t>
      </w:r>
    </w:p>
    <w:p>
      <w:pPr>
        <w:spacing w:after="80"/>
      </w:pPr>
      <w:r>
        <w:rPr>
          <w:b w:val="0"/>
          <w:i w:val="0"/>
        </w:rPr>
        <w:t>Các tổ chức còn lại đã áp dụng một trong ba mô hình phân tán mới hơn: mô hình lĩnh vực &amp; nền tảng (còn gọi là sản phẩm &amp; nền tảng), mô hình agile toàn doanh nghiệp, hoặc mạng lưới phi tập trung (Hình 13.1).</w:t>
      </w:r>
    </w:p>
    <w:p>
      <w:pPr>
        <w:spacing w:after="80"/>
      </w:pPr>
      <w:r>
        <w:rPr>
          <w:b w:val="0"/>
          <w:i w:val="0"/>
        </w:rPr>
        <w:t>Khi các nhà lãnh đạo được yêu cầu đánh giá mức độ sẵn sàng của tổ chức mình để giải quyết những cơ hội và thách thức quan trọng nhất hiện nay, những người sử dụng mô hình phân tán tỏ ra vượt trội hơn về mức độ sẵn sàng ứng phó với các xu hướng chính.</w:t>
      </w:r>
    </w:p>
    <w:p>
      <w:pPr>
        <w:spacing w:after="80"/>
      </w:pPr>
      <w:r>
        <w:rPr>
          <w:b w:val="0"/>
          <w:i w:val="0"/>
        </w:rPr>
        <w:t>Khi nói đến việc triển khai công nghệ mới và tốc độ, mô hình vận hành phân tán đã chứng tỏ sự vượt trội. Thực tế đó được định hình bởi hai bước chuyển lớn trong hai thập kỷ qua đã thay đổi tận gốc cách công nghệ được xây dựng và cung cấp. Thứ nhất, kiến trúc công nghệ đã trở nên mô-đun hóa—được vận hành bởi cloud, API và các nền tảng dữ liệu hiện đại—khiến việc lắp ghép và tái sử dụng các thành phần trở nên dễ dàng hơn nhiều.</w:t>
      </w:r>
    </w:p>
    <w:p>
      <w:pPr>
        <w:spacing w:after="80"/>
      </w:pPr>
      <w:r>
        <w:rPr>
          <w:b w:val="0"/>
          <w:i w:val="0"/>
        </w:rPr>
        <w:t>Thứ hai, các thực hành kỹ thuật phần mềm hiện đại như agile và DevOps đã rút ngắn đáng kể chu kỳ giữa một nhu cầu kinh doanh và giải pháp. Cùng nhau, những bước chuyển này có nghĩa là đổi mới số và AI giờ đây có thể được phát triển trực tiếp bên trong các đơn vị kinh doanh và bộ phận chức năng như một phần của công việc hằng ngày, thay vì bị đóng khung phạm vi rồi ném qua tường cho bộ phận IT hoặc nhà cung cấp bên ngoài.</w:t>
      </w:r>
    </w:p>
    <w:p>
      <w:pPr>
        <w:jc w:val="center"/>
      </w:pPr>
      <w:r>
        <w:drawing>
          <wp:inline xmlns:a="http://schemas.openxmlformats.org/drawingml/2006/main" xmlns:pic="http://schemas.openxmlformats.org/drawingml/2006/picture">
            <wp:extent cx="5486400" cy="4907880"/>
            <wp:docPr id="89" name="Picture 89"/>
            <wp:cNvGraphicFramePr>
              <a:graphicFrameLocks noChangeAspect="1"/>
            </wp:cNvGraphicFramePr>
            <a:graphic>
              <a:graphicData uri="http://schemas.openxmlformats.org/drawingml/2006/picture">
                <pic:pic>
                  <pic:nvPicPr>
                    <pic:cNvPr id="0" name="c13ex001.png"/>
                    <pic:cNvPicPr/>
                  </pic:nvPicPr>
                  <pic:blipFill>
                    <a:blip r:embed="rId75"/>
                    <a:stretch>
                      <a:fillRect/>
                    </a:stretch>
                  </pic:blipFill>
                  <pic:spPr>
                    <a:xfrm>
                      <a:off x="0" y="0"/>
                      <a:ext cx="5486400" cy="4907880"/>
                    </a:xfrm>
                    <a:prstGeom prst="rect"/>
                  </pic:spPr>
                </pic:pic>
              </a:graphicData>
            </a:graphic>
          </wp:inline>
        </w:drawing>
      </w:r>
    </w:p>
    <w:p>
      <w:pPr>
        <w:spacing w:after="160"/>
        <w:jc w:val="center"/>
      </w:pPr>
      <w:r>
        <w:rPr>
          <w:rFonts w:ascii="Calibri" w:hAnsi="Calibri"/>
          <w:b w:val="0"/>
          <w:i/>
          <w:sz w:val="19"/>
        </w:rPr>
        <w:t>HÌNH 13.1</w:t>
      </w:r>
    </w:p>
    <w:p>
      <w:pPr>
        <w:pStyle w:val="Heading2"/>
      </w:pPr>
      <w:r>
        <w:rPr>
          <w:rFonts w:ascii="Calibri" w:hAnsi="Calibri"/>
          <w:b/>
          <w:i w:val="0"/>
          <w:sz w:val="32"/>
        </w:rPr>
        <w:t>Giải phẫu một mô hình phân tán và giá trị của nó</w:t>
      </w:r>
    </w:p>
    <w:p>
      <w:pPr>
        <w:spacing w:after="80"/>
      </w:pPr>
      <w:r>
        <w:rPr>
          <w:b w:val="0"/>
          <w:i w:val="0"/>
        </w:rPr>
        <w:t>Cách mô hình này hiện thực hóa có thể khác nhau (chúng ta sẽ bàn đến điều đó sau một chút). Nhưng tất cả các biến thể của mô hình cung cấp phân tán này đều chia sẻ những yếu tố chung hoạt động như các khối xây dựng—bạn xếp chúng lên nhau để phát triển một mô hình vận hành (Hình 13.2).</w:t>
      </w:r>
    </w:p>
    <w:p>
      <w:pPr>
        <w:spacing w:after="80"/>
      </w:pPr>
      <w:r>
        <w:rPr>
          <w:b w:val="0"/>
          <w:i w:val="0"/>
        </w:rPr>
        <w:t>Các yếu tố đó là:</w:t>
      </w:r>
    </w:p>
    <w:p>
      <w:pPr>
        <w:spacing w:after="80"/>
        <w:ind w:left="360"/>
      </w:pPr>
      <w:r>
        <w:t xml:space="preserve">• </w:t>
      </w:r>
      <w:r>
        <w:rPr>
          <w:b/>
          <w:i w:val="0"/>
        </w:rPr>
        <w:t>Các lĩnh vực kinh doanh sở hữu trải nghiệm khách hàng hoặc người dùng.</w:t>
      </w:r>
      <w:r>
        <w:rPr>
          <w:b w:val="0"/>
          <w:i w:val="0"/>
        </w:rPr>
        <w:t xml:space="preserve"> Các lĩnh vực kinh doanh chịu trách nhiệm về những giải pháp được hỗ trợ bởi công nghệ mà khách hàng hoặc nhân viên của họ dựa vào. Ví dụ, ứng dụng di động của một nhà bán lẻ sẽ thuộc lĩnh vực thương mại điện tử; một mô hình tối ưu hóa sản xuất sẽ do lĩnh vực sản xuất sở hữu. Các lĩnh vực kinh doanh được dẫn dắt bởi những người sở hữu lĩnh vực (Chương 8).</w:t>
        <w:br/>
        <w:t>Những lĩnh vực này không chỉ định hình tầm nhìn cho các giải pháp họ cung cấp, mà còn sở hữu việc phát triển và tiến hóa liên tục của chúng. Để cung cấp hiệu quả, các kỹ sư, nhà thiết kế và các chuyên gia khác được nhúng vào hoạt động kinh doanh và làm việc trong các nhóm đa chức năng cùng với các nhà lãnh đạo lĩnh vực để xây dựng và cải thiện các giải pháp số và AI. Điều chúng tôi muốn nói với 'nhúng' ở đây là những nhóm này nhận chỉ đạo từ nhà lãnh đạo lĩnh vực mà họ được phân công, ngay cả khi tuyến báo cáo chính thức của họ là về những người trong bộ phận công nghệ hoặc bộ phận kiểm soát.</w:t>
      </w:r>
    </w:p>
    <w:p>
      <w:pPr>
        <w:spacing w:after="80"/>
        <w:ind w:left="360"/>
      </w:pPr>
      <w:r>
        <w:t xml:space="preserve">• </w:t>
      </w:r>
      <w:r>
        <w:rPr>
          <w:b/>
          <w:i w:val="0"/>
        </w:rPr>
        <w:t>Các nền tảng giúp mở rộng quy mô những năng lực có thể tái sử dụng.</w:t>
      </w:r>
      <w:r>
        <w:rPr>
          <w:b w:val="0"/>
          <w:i w:val="0"/>
        </w:rPr>
        <w:t xml:space="preserve"> Nhiều nhóm hoặc đơn vị kinh doanh có thể chia sẻ các năng lực để tăng tốc phát triển nội bộ hoặc để vận hành các dịch vụ hướng đến khách hàng. Các nền tảng giải quyết những vấn đề chung một lần, cung cấp các khối xây dựng được chuẩn hóa, và tạo ra đòn bẩy trên toàn doanh nghiệp.</w:t>
        <w:br/>
        <w:t>Các nền tảng bao gồm ứng dụng, các nhóm phát triển và nguồn tài trợ; và chúng chịu trách nhiệm cung cấp một danh mục công việc nhằm cải thiện và giảm chi phí cho các dịch vụ mà chúng hỗ trợ.</w:t>
        <w:br/>
        <w:t>Trong hầu hết các tổ chức, nền tảng có hai loại riêng biệt:</w:t>
      </w:r>
    </w:p>
    <w:p>
      <w:pPr>
        <w:jc w:val="center"/>
      </w:pPr>
      <w:r>
        <w:drawing>
          <wp:inline xmlns:a="http://schemas.openxmlformats.org/drawingml/2006/main" xmlns:pic="http://schemas.openxmlformats.org/drawingml/2006/picture">
            <wp:extent cx="5486400" cy="6741617"/>
            <wp:docPr id="90" name="Picture 90"/>
            <wp:cNvGraphicFramePr>
              <a:graphicFrameLocks noChangeAspect="1"/>
            </wp:cNvGraphicFramePr>
            <a:graphic>
              <a:graphicData uri="http://schemas.openxmlformats.org/drawingml/2006/picture">
                <pic:pic>
                  <pic:nvPicPr>
                    <pic:cNvPr id="0" name="c13ex002.png"/>
                    <pic:cNvPicPr/>
                  </pic:nvPicPr>
                  <pic:blipFill>
                    <a:blip r:embed="rId76"/>
                    <a:stretch>
                      <a:fillRect/>
                    </a:stretch>
                  </pic:blipFill>
                  <pic:spPr>
                    <a:xfrm>
                      <a:off x="0" y="0"/>
                      <a:ext cx="5486400" cy="6741617"/>
                    </a:xfrm>
                    <a:prstGeom prst="rect"/>
                  </pic:spPr>
                </pic:pic>
              </a:graphicData>
            </a:graphic>
          </wp:inline>
        </w:drawing>
      </w:r>
    </w:p>
    <w:p>
      <w:pPr>
        <w:spacing w:after="160"/>
        <w:jc w:val="center"/>
      </w:pPr>
      <w:r>
        <w:rPr>
          <w:rFonts w:ascii="Calibri" w:hAnsi="Calibri"/>
          <w:b w:val="0"/>
          <w:i/>
          <w:sz w:val="19"/>
        </w:rPr>
        <w:t>HÌNH 13.2</w:t>
      </w:r>
    </w:p>
    <w:p>
      <w:pPr>
        <w:spacing w:after="80"/>
        <w:ind w:left="720"/>
      </w:pPr>
      <w:r>
        <w:t xml:space="preserve">• </w:t>
      </w:r>
      <w:r>
        <w:rPr>
          <w:b/>
          <w:i w:val="0"/>
        </w:rPr>
        <w:t>Nền tảng hỗ trợ nội bộ:</w:t>
      </w:r>
      <w:r>
        <w:rPr>
          <w:b w:val="0"/>
          <w:i w:val="0"/>
        </w:rPr>
        <w:t xml:space="preserve"> Những năng lực dùng chung trên toàn doanh nghiệp—như danh tính, truy cập dữ liệu, công cụ phát triển, điều phối AI agent, hoặc cung cấp hạ tầng—giúp các nhóm nội bộ xây dựng nhanh hơn, an toàn hơn và ít trùng lặp hơn. "Khách hàng" của chúng là các nhóm giải pháp bên trong công ty, và giá trị của chúng đến từ tốc độ, tính chuẩn hóa và giảm độ phức tạp.</w:t>
      </w:r>
    </w:p>
    <w:p>
      <w:pPr>
        <w:spacing w:after="80"/>
        <w:ind w:left="720"/>
      </w:pPr>
      <w:r>
        <w:t xml:space="preserve">• </w:t>
      </w:r>
      <w:r>
        <w:rPr>
          <w:b/>
          <w:i w:val="0"/>
        </w:rPr>
        <w:t>Nền tảng kinh doanh hướng đến khách hàng:</w:t>
      </w:r>
      <w:r>
        <w:rPr>
          <w:b w:val="0"/>
          <w:i w:val="0"/>
        </w:rPr>
        <w:t xml:space="preserve"> Các năng lực tạo doanh thu—như thanh toán, chấm điểm rủi ro, chương trình khách hàng thân thiết—được cung cấp trực tiếp cho khách hàng bên ngoài như một phần trong sản phẩm dịch vụ của công ty. Những nền tảng này vận hành như các sản phẩm phần mềm: chúng có lộ trình phát triển, SLA, OKR và KPI, đồng thời phải cạnh tranh về độ tin cậy, hiệu năng và tính năng.</w:t>
      </w:r>
    </w:p>
    <w:p>
      <w:pPr>
        <w:spacing w:after="80"/>
        <w:ind w:left="360"/>
      </w:pPr>
      <w:r>
        <w:t xml:space="preserve">• </w:t>
      </w:r>
      <w:r>
        <w:rPr>
          <w:b/>
          <w:i w:val="0"/>
        </w:rPr>
        <w:t>Các chapter xây dựng chuyên môn nhân tài.</w:t>
      </w:r>
      <w:r>
        <w:rPr>
          <w:b w:val="0"/>
          <w:i w:val="0"/>
        </w:rPr>
        <w:t xml:space="preserve"> Chapter—đôi khi còn gọi là practice hay community—tập hợp những người có cùng chuyên môn (ví dụ: nhà thiết kế, nhà khoa học dữ liệu và kỹ sư dữ liệu). Không có chapter mạnh, các đội phân tán rất dễ trôi dạt vào tình trạng phân mảnh, với các đội sản phẩm riêng lẻ xây dựng, thiết kế hoặc triển khai theo cách khác nhau, làm xói mòn chất lượng và làm chậm quá trình tích hợp.</w:t>
        <w:br/>
        <w:t>Chapter có hai chức năng chính về con người. Thứ nhất là phân bổ nhân tài cho các đội một cách hiệu quả. Điều này đòi hỏi phải ưu tiên và quản lý các yêu cầu nhân tài đến, quản lý cung và cầu, và có quy trình phân bổ chi phí để theo dõi và quản lý chi phí. Thứ hai là phát triển con người trong chapter của mình (thường phối hợp với HR), đảm bảo họ được nuôi dưỡng và phát triển hết tiềm năng.</w:t>
        <w:br/>
        <w:t>Theo nghĩa này, chapter về cơ bản đóng vai trò là điểm kết nối giữa HR và những người hành nghề. Phối hợp chặt chẽ với HR, trưởng chapter tạo ra các kế hoạch thu hút nhân tài, lộ trình sự nghiệp theo loại vai trò, khung năng lực, giới hạn lương thưởng, chương trình học tập và phát triển (L&amp;D), cùng các sáng kiến học việc và cố vấn. Việc báo cáo lên chapter mang lại cho nhân tài mối liên hệ chính thức với những người cấp cao hơn để họ có thể xây dựng kỹ năng và học cách thăng tiến.</w:t>
        <w:br/>
        <w:br/>
      </w:r>
      <w:r>
        <w:rPr>
          <w:b/>
          <w:i/>
        </w:rPr>
        <w:t>Với chapter, tổ chức có được điều tốt nhất của cả hai thế giới: tốc độ và sự linh hoạt của các đội đa chức năng tự chủ, cùng sự mạch lạc và hỗ trợ cho sự xuất sắc trong tay nghề của một mái nhà chức năng vững mạnh</w:t>
      </w:r>
      <w:r>
        <w:rPr>
          <w:b/>
          <w:i w:val="0"/>
        </w:rPr>
        <w:t>.</w:t>
      </w:r>
      <w:r>
        <w:rPr>
          <w:b w:val="0"/>
          <w:i w:val="0"/>
        </w:rPr>
        <w:t xml:space="preserve"> </w:t>
        <w:br/>
        <w:t>Đừng nhầm lẫn chapter với mô hình dịch vụ chia sẻ. Dù nhân tài báo cáo lên ban lãnh đạo chapter, khi được phân vào một đội giải pháp, họ cống hiến 100% và chịu trách nhiệm trước chủ sở hữu lĩnh vực, người dẫn dắt công việc.”</w:t>
        <w:br/>
        <w:t>Khi bạn ghép tất cả những mảnh này của một mô hình vận hành phân tán lại với nhau, bạn có thể tạo ra giá trị theo sáu cách cụ thể:</w:t>
      </w:r>
    </w:p>
    <w:p>
      <w:pPr>
        <w:spacing w:after="80"/>
        <w:ind w:left="720"/>
      </w:pPr>
      <w:r>
        <w:t xml:space="preserve">1. </w:t>
      </w:r>
      <w:r>
        <w:rPr>
          <w:b/>
          <w:i w:val="0"/>
        </w:rPr>
        <w:t>Đổi mới kinh doanh nhanh hơn.</w:t>
      </w:r>
      <w:r>
        <w:rPr>
          <w:b w:val="0"/>
          <w:i w:val="0"/>
        </w:rPr>
        <w:t xml:space="preserve"> Với kỹ sư, nhà thiết kế và chuyên gia dữ liệu được nhúng trực tiếp vào các lĩnh vực kinh doanh, các đội làm việc sát cánh cùng đối tác kinh doanh và luôn gần gũi với khách hàng và người dùng. Điều này rút ngắn đáng kể chu kỳ lặp và tăng tốc nhịp độ đổi mới số và AI.</w:t>
      </w:r>
    </w:p>
    <w:p>
      <w:pPr>
        <w:spacing w:after="80"/>
        <w:ind w:left="720"/>
      </w:pPr>
      <w:r>
        <w:t xml:space="preserve">2. </w:t>
      </w:r>
      <w:r>
        <w:rPr>
          <w:b/>
          <w:i w:val="0"/>
        </w:rPr>
        <w:t>Tự động hóa cao hơn và vận hành xuất sắc hơn.</w:t>
      </w:r>
      <w:r>
        <w:rPr>
          <w:b w:val="0"/>
          <w:i w:val="0"/>
        </w:rPr>
        <w:t xml:space="preserve"> Vì các đội phát triển làm việc với các đơn vị vận hành, họ có thể nhanh chóng nhận diện điểm đau, cùng thiết kế giải pháp và kiểm thử cải tiến trong thời gian thực, dẫn đến việc kích hoạt công nghệ cho các quy trình cốt lõi hiệu quả hơn và mức độ tự động hóa đầu-cuối cao hơn.</w:t>
      </w:r>
    </w:p>
    <w:p>
      <w:pPr>
        <w:spacing w:after="80"/>
        <w:ind w:left="720"/>
      </w:pPr>
      <w:r>
        <w:t xml:space="preserve">3. </w:t>
      </w:r>
      <w:r>
        <w:rPr>
          <w:b/>
          <w:i w:val="0"/>
        </w:rPr>
        <w:t>Hệ thống công nghệ gọn gàng hơn, dễ mở rộng hơn.</w:t>
      </w:r>
      <w:r>
        <w:rPr>
          <w:b w:val="0"/>
          <w:i w:val="0"/>
        </w:rPr>
        <w:t xml:space="preserve"> Các nền tảng hợp nhất những ứng dụng và dịch vụ tương tự dưới quyền những chủ sở hữu nền tảng chịu trách nhiệm, những người quản lý chúng như sản phẩm. Điều này thúc đẩy tái sử dụng, giảm phân mảnh, quản lý nợ công nghệ một cách có hệ thống và giảm chi phí vận hành lẫn chi phí thay đổi theo thời gian.</w:t>
      </w:r>
    </w:p>
    <w:p>
      <w:pPr>
        <w:spacing w:after="80"/>
        <w:ind w:left="720"/>
      </w:pPr>
      <w:r>
        <w:t xml:space="preserve">4. </w:t>
      </w:r>
      <w:r>
        <w:rPr>
          <w:b/>
          <w:i w:val="0"/>
        </w:rPr>
        <w:t>Giảm rủi ro doanh nghiệp.</w:t>
      </w:r>
      <w:r>
        <w:rPr>
          <w:b w:val="0"/>
          <w:i w:val="0"/>
        </w:rPr>
        <w:t xml:space="preserve"> Các nền tảng thực thi các tiêu chuẩn nhất quán về bảo mật, khả năng phục hồi, chất lượng dữ liệu và tuân thủ trên tất cả các giải pháp. Điều này giảm rủi ro mạng, vận hành và pháp lý.</w:t>
      </w:r>
    </w:p>
    <w:p>
      <w:pPr>
        <w:spacing w:after="80"/>
        <w:ind w:left="720"/>
      </w:pPr>
      <w:r>
        <w:t xml:space="preserve">5. </w:t>
      </w:r>
      <w:r>
        <w:rPr>
          <w:b/>
          <w:i w:val="0"/>
        </w:rPr>
        <w:t>Phát triển và giữ chân nhân tài tốt hơn.</w:t>
      </w:r>
      <w:r>
        <w:rPr>
          <w:b w:val="0"/>
          <w:i w:val="0"/>
        </w:rPr>
        <w:t xml:space="preserve"> Mô hình này tạo ra lộ trình sự nghiệp rõ ràng hơn, cộng đồng mạnh hơn (chapter) và công việc ý nghĩa hơn, dẫn đến việc ứng dụng nhân tài tốt hơn và tỷ lệ nghỉ việc thấp hơn.</w:t>
      </w:r>
    </w:p>
    <w:p>
      <w:pPr>
        <w:spacing w:after="80"/>
        <w:ind w:left="720"/>
      </w:pPr>
      <w:r>
        <w:t xml:space="preserve">6. </w:t>
      </w:r>
      <w:r>
        <w:rPr>
          <w:b/>
          <w:i w:val="0"/>
        </w:rPr>
        <w:t>Phân phối giá trị dễ dự đoán và minh bạch hơn.</w:t>
      </w:r>
      <w:r>
        <w:rPr>
          <w:b w:val="0"/>
          <w:i w:val="0"/>
        </w:rPr>
        <w:t xml:space="preserve"> Bằng cách tổ chức quanh các lĩnh vực và nền tảng ổn định, các đội có được trách nhiệm rõ ràng hơn, sự gắn kết chặt chẽ hơn giữa kinh doanh và công nghệ, cùng chu kỳ phân phối dễ dự đoán hơn—cải thiện việc lập kế hoạch, ngân sách và quản lý hiệu suất.</w:t>
      </w:r>
    </w:p>
    <w:p>
      <w:pPr>
        <w:pStyle w:val="Heading2"/>
      </w:pPr>
      <w:r>
        <w:rPr>
          <w:rFonts w:ascii="Calibri" w:hAnsi="Calibri"/>
          <w:b/>
          <w:i w:val="0"/>
          <w:sz w:val="32"/>
        </w:rPr>
        <w:t>Loại mô hình vận hành phân tán nào phù hợp nhất với doanh nghiệp của bạn?</w:t>
      </w:r>
    </w:p>
    <w:p>
      <w:pPr>
        <w:spacing w:after="80"/>
      </w:pPr>
      <w:r>
        <w:rPr>
          <w:b w:val="0"/>
          <w:i w:val="0"/>
        </w:rPr>
        <w:t>Theo kinh nghiệm của chúng tôi, có ba loại mô hình vận hành phân tán chính: nhà máy số, lĩnh vực &amp; nền tảng, và toàn doanh nghiệp (Sơ đồ 13.3). Chúng khác nhau chủ yếu ở mức độ tích hợp các nguồn lực kinh doanh, vận hành và công nghệ, và ở mức độ triển khai rộng rãi của mô hình để bao phủ cả các hoạt động phi công nghệ. Mỗi mô hình này đều được xây dựng từ cùng những khối cấu thành mà chúng tôi đã mô tả trước đó, nên bạn có thể tiến từ mô hình này sang mô hình kế tiếp, và nhiều công ty đã làm như vậy.</w:t>
      </w:r>
    </w:p>
    <w:p>
      <w:pPr>
        <w:spacing w:after="80"/>
      </w:pPr>
      <w:r>
        <w:rPr>
          <w:b/>
          <w:i/>
        </w:rPr>
        <w:t>Không có mô hình vận hành nào tốt hơn những mô hình khác. Điều quan trọng là chọn một mô hình phù hợp nhất với ý định chiến lược của bạn</w:t>
      </w:r>
      <w:r>
        <w:rPr>
          <w:b/>
          <w:i w:val="0"/>
        </w:rPr>
        <w:t>.</w:t>
      </w:r>
    </w:p>
    <w:p>
      <w:pPr>
        <w:jc w:val="center"/>
      </w:pPr>
      <w:r>
        <w:drawing>
          <wp:inline xmlns:a="http://schemas.openxmlformats.org/drawingml/2006/main" xmlns:pic="http://schemas.openxmlformats.org/drawingml/2006/picture">
            <wp:extent cx="5486400" cy="4930979"/>
            <wp:docPr id="91" name="Picture 91"/>
            <wp:cNvGraphicFramePr>
              <a:graphicFrameLocks noChangeAspect="1"/>
            </wp:cNvGraphicFramePr>
            <a:graphic>
              <a:graphicData uri="http://schemas.openxmlformats.org/drawingml/2006/picture">
                <pic:pic>
                  <pic:nvPicPr>
                    <pic:cNvPr id="0" name="c13ex003.png"/>
                    <pic:cNvPicPr/>
                  </pic:nvPicPr>
                  <pic:blipFill>
                    <a:blip r:embed="rId77"/>
                    <a:stretch>
                      <a:fillRect/>
                    </a:stretch>
                  </pic:blipFill>
                  <pic:spPr>
                    <a:xfrm>
                      <a:off x="0" y="0"/>
                      <a:ext cx="5486400" cy="4930979"/>
                    </a:xfrm>
                    <a:prstGeom prst="rect"/>
                  </pic:spPr>
                </pic:pic>
              </a:graphicData>
            </a:graphic>
          </wp:inline>
        </w:drawing>
      </w:r>
    </w:p>
    <w:p>
      <w:pPr>
        <w:spacing w:after="160"/>
        <w:jc w:val="center"/>
      </w:pPr>
      <w:r>
        <w:rPr>
          <w:rFonts w:ascii="Calibri" w:hAnsi="Calibri"/>
          <w:b w:val="0"/>
          <w:i/>
          <w:sz w:val="19"/>
        </w:rPr>
        <w:t>SƠ ĐỒ 13.3</w:t>
      </w:r>
    </w:p>
    <w:p>
      <w:pPr>
        <w:pStyle w:val="Heading3"/>
      </w:pPr>
      <w:r>
        <w:rPr>
          <w:rFonts w:ascii="Calibri" w:hAnsi="Calibri"/>
          <w:b/>
          <w:i w:val="0"/>
          <w:sz w:val="26"/>
        </w:rPr>
        <w:t>Mô hình nhà máy số</w:t>
      </w:r>
    </w:p>
    <w:p>
      <w:pPr>
        <w:spacing w:after="80"/>
      </w:pPr>
      <w:r>
        <w:rPr>
          <w:b w:val="0"/>
          <w:i w:val="0"/>
        </w:rPr>
        <w:t>Mô hình này thường là nơi tốt nhất để bắt đầu xây dựng một mô hình vận hành mới vì nó khép kín hơn và tương đối nhanh để thiết lập (thường 9–18 tháng trước khi hoạt động đầy đủ). Nó được gọi là nhà máy số nhưng thực tế, nó có thể tạo ra bất kỳ đổi mới nào dựa trên công nghệ, bao gồm cả các ứng dụng AI.</w:t>
      </w:r>
    </w:p>
    <w:p>
      <w:pPr>
        <w:spacing w:after="80"/>
      </w:pPr>
      <w:r>
        <w:rPr>
          <w:b w:val="0"/>
          <w:i w:val="0"/>
        </w:rPr>
        <w:t>Nhà máy số là một đơn vị tổ chức chính thức, thường báo cáo lên giám đốc kỹ thuật số (chief digital officer). Nó bao gồm các đội lĩnh vực và đội nền tảng, và chứa đựng tất cả chuyên môn liên quan. Đây là một đơn vị riêng biệt nơi các nhà lãnh đạo kinh doanh và chuyên gia công nghệ cùng nhau đổi mới.</w:t>
      </w:r>
    </w:p>
    <w:p>
      <w:pPr>
        <w:spacing w:after="80"/>
      </w:pPr>
      <w:r>
        <w:rPr>
          <w:b w:val="0"/>
          <w:i w:val="0"/>
        </w:rPr>
        <w:t>Các chủ sở hữu lĩnh vực bảo trợ công việc được thực hiện trong nhà máy. Họ ưu tiên các cơ hội, đặt ra các OKR và cung cấp nguồn vốn. Họ cũng cung cấp trưởng nhóm và chuyên gia chủ đề. Về bản chất, họ đảm bảo năng lực của nhà máy cho các nhu cầu số và AI của mình. Đổi lại, nhà máy cung cấp cho họ chuyên môn công nghệ, dịch vụ nền tảng (như dịch vụ đám mây, nền tảng dữ liệu, công cụ dành cho nhà phát triển, API) và không gian vật lý.</w:t>
      </w:r>
    </w:p>
    <w:p>
      <w:pPr>
        <w:spacing w:after="80"/>
      </w:pPr>
      <w:r>
        <w:rPr>
          <w:b w:val="0"/>
          <w:i w:val="0"/>
        </w:rPr>
        <w:t>Italgas, nhà điều hành phân phối khí đốt hàng đầu châu Âu, mang đến cho chúng ta một ví dụ đáng chú ý về tác động mà một nhà máy số (digital factory) có thể tạo ra. Năm 2017, CEO kiêm Tổng Giám đốc Paolo Gallo và đội ngũ lãnh đạo của ông đã khởi động một cuộc chuyển đổi số toàn diện (xem khung bên lề, "Italgas: Từ tiện ích đến nhà tiên phong công nghệ mạng lưới," để biết thêm chi tiết). Mục tiêu là tái tạo cấu trúc cách công ty vận hành—số hóa mọi tài sản, mọi quy trình và mọi vai trò để xây dựng một mạng lưới thông minh, tự giám sát và một tổ chức dựa trên dữ liệu.</w:t>
      </w:r>
    </w:p>
    <w:p>
      <w:pPr>
        <w:spacing w:after="80"/>
      </w:pPr>
      <w:r>
        <w:rPr>
          <w:b w:val="0"/>
          <w:i w:val="0"/>
        </w:rPr>
        <w:t>Kết quả thật ấn tượng: hơn €500 triệu cải thiện EBITDA nhờ giảm 40% chi phí vận hành và giảm 41% khí thải carbon trên mỗi km đường ống. Cụ thể:</w:t>
      </w:r>
    </w:p>
    <w:p>
      <w:pPr>
        <w:spacing w:after="80"/>
        <w:ind w:left="360"/>
      </w:pPr>
      <w:r>
        <w:t xml:space="preserve">• </w:t>
      </w:r>
      <w:r>
        <w:rPr>
          <w:b/>
          <w:i w:val="0"/>
        </w:rPr>
        <w:t>Hiệu quả vận hành</w:t>
      </w:r>
      <w:r>
        <w:rPr>
          <w:b w:val="0"/>
          <w:i w:val="0"/>
        </w:rPr>
        <w:t xml:space="preserve"> được cải thiện nhờ quản lý từ xa và bảo trì dự đoán, giảm thời gian ngừng hoạt động và tổn thất trên mạng lưới.</w:t>
      </w:r>
    </w:p>
    <w:p>
      <w:pPr>
        <w:spacing w:after="80"/>
        <w:ind w:left="360"/>
      </w:pPr>
      <w:r>
        <w:t xml:space="preserve">• </w:t>
      </w:r>
      <w:r>
        <w:rPr>
          <w:b/>
          <w:i w:val="0"/>
        </w:rPr>
        <w:t>Chất lượng dịch vụ</w:t>
      </w:r>
      <w:r>
        <w:rPr>
          <w:b w:val="0"/>
          <w:i w:val="0"/>
        </w:rPr>
        <w:t xml:space="preserve"> và khả năng đáp ứng khách hàng tăng lên, với việc phát hiện bất thường nhanh hơn và lên lịch tối ưu cho các đội hiện trường.</w:t>
      </w:r>
    </w:p>
    <w:p>
      <w:pPr>
        <w:spacing w:after="80"/>
        <w:ind w:left="360"/>
      </w:pPr>
      <w:r>
        <w:t xml:space="preserve">• </w:t>
      </w:r>
      <w:r>
        <w:rPr>
          <w:b/>
          <w:i w:val="0"/>
        </w:rPr>
        <w:t>Năng suất lao động</w:t>
      </w:r>
      <w:r>
        <w:rPr>
          <w:b w:val="0"/>
          <w:i w:val="0"/>
        </w:rPr>
        <w:t xml:space="preserve"> tăng khi các kỹ thuật viên được trang bị công cụ di động và quyền truy cập vào các quy trình làm việc số.</w:t>
      </w:r>
    </w:p>
    <w:p>
      <w:pPr>
        <w:spacing w:after="80"/>
        <w:ind w:left="360"/>
      </w:pPr>
      <w:r>
        <w:t xml:space="preserve">• </w:t>
      </w:r>
      <w:r>
        <w:rPr>
          <w:b/>
          <w:i w:val="0"/>
        </w:rPr>
        <w:t>Tính bền vững</w:t>
      </w:r>
      <w:r>
        <w:rPr>
          <w:b w:val="0"/>
          <w:i w:val="0"/>
        </w:rPr>
        <w:t xml:space="preserve"> được cải thiện vì mạng lưới số có thể linh hoạt quản lý các loại khí tái tạo như biomethane và hydrogen, hỗ trợ mục tiêu giảm carbon của Ý.</w:t>
      </w:r>
    </w:p>
    <w:p>
      <w:pPr>
        <w:spacing w:after="80"/>
      </w:pPr>
      <w:r>
        <w:rPr>
          <w:b w:val="0"/>
          <w:i w:val="0"/>
        </w:rPr>
        <w:t>Trọng tâm của thành công này là việc tạo ra nhà máy số Italgas—một cỗ máy đổi mới được xây dựng có mục đích, thiết kế để biến ý tưởng thành giải pháp hoạt động với tốc độ công nghiệp. Được thành lập năm 2018 dưới công ty con số Bludigit, nhà máy số kết hợp tư duy thiết kế (design thinking), triển khai linh hoạt (agile delivery) và cộng tác đa chức năng.</w:t>
      </w:r>
    </w:p>
    <w:p>
      <w:pPr>
        <w:spacing w:after="80"/>
      </w:pPr>
      <w:r>
        <w:rPr>
          <w:b w:val="0"/>
          <w:i w:val="0"/>
        </w:rPr>
        <w:t>Mô hình rất đơn giản nhưng mạnh mẽ (Exhibit 13.4). Mỗi "phòng số" (hay nhóm đa chức năng) quy tụ các kỹ sư, nhà khoa học dữ liệu, chuyên gia IT và chuyên gia kinh doanh cùng tập trung vào một thách thức cụ thể. Trong vài tháng, họ cùng tạo ra một sản phẩm khả thi tối thiểu (MVP - minimum viable product) được thử nghiệm và tinh chỉnh trực tiếp với người dùng cuối trước khi được mở rộng vào hoạt động kinh doanh cốt lõi.</w:t>
      </w:r>
    </w:p>
    <w:p>
      <w:pPr>
        <w:spacing w:after="80"/>
      </w:pPr>
      <w:r>
        <w:rPr>
          <w:b w:val="0"/>
          <w:i w:val="0"/>
        </w:rPr>
        <w:t>Nhà máy hoạt động liên tục, tung ra nhiều MVP mỗi quý, tạo nên một bánh đà đổi mới. Nhà máy cũng nâng cao các thực hành kỹ thuật phần mềm, giúp giảm một nửa thời gian chu kỳ bàn giao.</w:t>
      </w:r>
    </w:p>
    <w:p>
      <w:pPr>
        <w:spacing w:after="80"/>
      </w:pPr>
      <w:r>
        <w:rPr>
          <w:b w:val="0"/>
          <w:i w:val="0"/>
        </w:rPr>
        <w:t>Năng lực số và AI mới này cũng giúp Italgas trở thành người dẫn đầu trong việc hợp nhất phân phối khí đốt ở châu Âu bằng cách tạo ra các hiệp lực giá trị cao hơn từ các công ty mà họ mua lại.</w:t>
      </w:r>
    </w:p>
    <w:p>
      <w:pPr>
        <w:spacing w:after="80"/>
      </w:pPr>
      <w:r>
        <w:rPr>
          <w:b w:val="0"/>
          <w:i w:val="0"/>
        </w:rPr>
        <w:t>Nhà máy số không chỉ xây dựng các ứng dụng—nó còn định hình lại cách Italgas làm việc. Nó nuôi dưỡng tư duy linh hoạt, phá vỡ các rào cản giữa IT và vận hành, và biến đổi mới thành một kỷ luật hàng ngày. Các không gian cộng tác của nó—cả vật lý lẫn số—trở thành hiện thân của sự chuyển dịch văn hóa công ty: từ một tiện ích truyền thống thành một tổ chức học hỏi được thúc đẩy bởi thử nghiệm và tốc độ.</w:t>
      </w:r>
    </w:p>
    <w:p>
      <w:pPr>
        <w:jc w:val="center"/>
      </w:pPr>
      <w:r>
        <w:drawing>
          <wp:inline xmlns:a="http://schemas.openxmlformats.org/drawingml/2006/main" xmlns:pic="http://schemas.openxmlformats.org/drawingml/2006/picture">
            <wp:extent cx="457200" cy="447675"/>
            <wp:docPr id="92" name="Picture 92"/>
            <wp:cNvGraphicFramePr>
              <a:graphicFrameLocks noChangeAspect="1"/>
            </wp:cNvGraphicFramePr>
            <a:graphic>
              <a:graphicData uri="http://schemas.openxmlformats.org/drawingml/2006/picture">
                <pic:pic>
                  <pic:nvPicPr>
                    <pic:cNvPr id="0" name="CASE_STUDY_orange.png"/>
                    <pic:cNvPicPr/>
                  </pic:nvPicPr>
                  <pic:blipFill>
                    <a:blip r:embed="rId7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Italgas: Từ tiện ích đến nhà tiên phong công nghệ mạng lưới</w:t>
      </w:r>
    </w:p>
    <w:p>
      <w:pPr>
        <w:spacing w:after="80"/>
      </w:pPr>
      <w:r>
        <w:rPr>
          <w:b w:val="0"/>
          <w:i w:val="0"/>
        </w:rPr>
        <w:t>Được thành lập năm 1837, Italgas là nhà điều hành phân phối khí đốt hàng đầu châu Âu, quản lý hơn 156.000 km mạng lưới và phục vụ gần 13 triệu khách hàng. Dù có nguồn gốc sâu xa trong lịch sử công nghiệp của Ý, công ty luôn phát triển nhờ hiện đại hóa—đưa khí đốt đến các thành phố, đổi mới trong hạ tầng năng lượng, và đảm bảo dịch vụ an toàn, đáng tin cậy cho các hộ gia đình và ngành công nghiệp.</w:t>
      </w:r>
    </w:p>
    <w:p>
      <w:pPr>
        <w:spacing w:after="80"/>
      </w:pPr>
      <w:r>
        <w:rPr>
          <w:b w:val="0"/>
          <w:i w:val="0"/>
        </w:rPr>
        <w:t>Năm 2017, CEO Paolo Gallo và đội ngũ lãnh đạo của ông đã khởi động một cuộc chuyển đổi số toàn diện với một tiền đề đơn giản nhưng sâu sắc: "Bất cứ điều gì chúng ta có thể đo lường, chúng ta có thể quản lý." Trong vài năm, Italgas đã số hóa gần như toàn bộ tài sản của mình, triển khai hàng chục nghìn cảm biến IoT, đồng hồ thông minh và hệ thống đo từ xa tiên tiến trên khắp mạng lưới phân phối. Các luồng dữ liệu này đổ vào một nền tảng độc quyền cho phép giám sát thời gian thực, bảo trì dự đoán và cân bằng mạng lưới tự động.</w:t>
      </w:r>
    </w:p>
    <w:p>
      <w:pPr>
        <w:spacing w:after="80"/>
      </w:pPr>
      <w:r>
        <w:rPr>
          <w:b w:val="0"/>
          <w:i w:val="0"/>
        </w:rPr>
        <w:t>Những tiến bộ này đã đưa Italgas trở thành công ty tiện ích khí đốt đầu tiên trên thế giới vận hành một mạng lưới được số hóa hoàn toàn, và là chuẩn mực cho chuyển đổi hạ tầng số trong toàn ngành năng lượng. Nhà máy số đóng vai trò trung tâm trong việc tận dụng các khoản đầu tư hạ tầng này để xây dựng một loạt giải pháp nhằm vận hành tiện ích tốt hơn.</w:t>
      </w:r>
    </w:p>
    <w:p>
      <w:pPr>
        <w:spacing w:after="80"/>
      </w:pPr>
      <w:r>
        <w:rPr>
          <w:b w:val="0"/>
          <w:i w:val="0"/>
        </w:rPr>
        <w:t>Italgas đã xây dựng một trong những mạng lưới tiện ích số hóa nhất châu Âu, và giờ đây công ty đang dùng chính nền tảng đó để mở rộng quy mô trí tuệ nhân tạo. Hạ tầng dữ liệu của công ty—truyền phát trực tiếp từ hàng triệu thiết bị được kết nối—tạo nên một phòng thí nghiệm tự nhiên cho việc tối ưu hóa bằng AI.</w:t>
      </w:r>
    </w:p>
    <w:p>
      <w:pPr>
        <w:spacing w:after="80"/>
      </w:pPr>
      <w:r>
        <w:rPr>
          <w:b w:val="0"/>
          <w:i w:val="0"/>
        </w:rPr>
        <w:t>Các ứng dụng AI đang xuất hiện khắp chuỗi giá trị: những mô hình bảo trì dự đoán có thể lường trước sự cố đường ống trước khi chúng xảy ra; các hệ thống dự báo nhu cầu giúp cân bằng nguồn cung và mức tiêu thụ theo thời gian thực; và việc lập lịch nguồn lực thông minh giúp triển khai các đội hiện trường dựa trên mức độ ưu tiên linh hoạt. Công ty cũng đang thử nghiệm mạnh mẽ với các quy trình tác tử (agentic workflows) để tạo ra một làn sóng đổi mới năng suất tiếp theo.</w:t>
      </w:r>
    </w:p>
    <w:p>
      <w:pPr>
        <w:spacing w:after="80"/>
      </w:pPr>
      <w:r>
        <w:rPr>
          <w:b w:val="0"/>
          <w:i w:val="0"/>
        </w:rPr>
        <w:t>Năm 2025, Italgas công bố giai đoạn tiếp theo của quá trình chuyển đổi: đưa AI vào tất cả các quy trình vận hành chính và mở rộng mô hình nhà máy số thành nhà máy AI. Gallo đã mô tả sự tiến hóa này là “sự tiếp nối hành trình của chúng tôi—từ một tiện ích truyền thống, thành một công ty số, rồi thành một công ty thông minh.”</w:t>
      </w:r>
    </w:p>
    <w:p>
      <w:pPr>
        <w:spacing w:after="80"/>
      </w:pPr>
      <w:r>
        <w:rPr>
          <w:b w:val="0"/>
          <w:i w:val="0"/>
        </w:rPr>
        <w:t>Trong một ngành thường bị coi là chậm chạp và bảo thủ, Italgas nổi bật như một bằng chứng cho thấy chuyển đổi số và chuyển đổi AI không phải là đặc quyền của các công ty công nghệ—chúng đang định nghĩa lại ý nghĩa của việc trở thành một nhà vận hành hạ tầng hiện đại.</w:t>
      </w:r>
    </w:p>
    <w:p>
      <w:pPr>
        <w:jc w:val="center"/>
      </w:pPr>
      <w:r>
        <w:drawing>
          <wp:inline xmlns:a="http://schemas.openxmlformats.org/drawingml/2006/main" xmlns:pic="http://schemas.openxmlformats.org/drawingml/2006/picture">
            <wp:extent cx="5486400" cy="6657464"/>
            <wp:docPr id="93" name="Picture 93"/>
            <wp:cNvGraphicFramePr>
              <a:graphicFrameLocks noChangeAspect="1"/>
            </wp:cNvGraphicFramePr>
            <a:graphic>
              <a:graphicData uri="http://schemas.openxmlformats.org/drawingml/2006/picture">
                <pic:pic>
                  <pic:nvPicPr>
                    <pic:cNvPr id="0" name="c13ex004.png"/>
                    <pic:cNvPicPr/>
                  </pic:nvPicPr>
                  <pic:blipFill>
                    <a:blip r:embed="rId79"/>
                    <a:stretch>
                      <a:fillRect/>
                    </a:stretch>
                  </pic:blipFill>
                  <pic:spPr>
                    <a:xfrm>
                      <a:off x="0" y="0"/>
                      <a:ext cx="5486400" cy="6657464"/>
                    </a:xfrm>
                    <a:prstGeom prst="rect"/>
                  </pic:spPr>
                </pic:pic>
              </a:graphicData>
            </a:graphic>
          </wp:inline>
        </w:drawing>
      </w:r>
    </w:p>
    <w:p>
      <w:pPr>
        <w:spacing w:after="160"/>
        <w:jc w:val="center"/>
      </w:pPr>
      <w:r>
        <w:rPr>
          <w:rFonts w:ascii="Calibri" w:hAnsi="Calibri"/>
          <w:b w:val="0"/>
          <w:i/>
          <w:sz w:val="19"/>
        </w:rPr>
        <w:t>TRIỂN LÃM 13.4</w:t>
      </w:r>
    </w:p>
    <w:p>
      <w:pPr>
        <w:spacing w:after="80"/>
      </w:pPr>
      <w:r>
        <w:rPr>
          <w:b w:val="0"/>
          <w:i w:val="0"/>
        </w:rPr>
        <w:t>Nhà máy số được vận hành tách biệt khỏi tổ chức IT truyền thống, dù vẫn có những liên kết về hạ tầng, bảo mật và quyền truy cập vào các hệ thống cốt lõi. Sự tách biệt này giúp dựng nhà máy nhanh hơn, nhưng cũng có thể tạo ra một văn hóa tổ chức “hai tốc độ” với bộ phận IT. Đó là một điểm yếu của mô hình này.</w:t>
      </w:r>
    </w:p>
    <w:p>
      <w:pPr>
        <w:spacing w:after="80"/>
      </w:pPr>
      <w:r>
        <w:rPr>
          <w:b w:val="0"/>
          <w:i w:val="0"/>
        </w:rPr>
        <w:t>Một điểm yếu khác là vì việc cung cấp công nghệ tách rời khỏi hoạt động kinh doanh, nó có thể tạo ra nhiều thách thức hơn trong việc phát triển các giải pháp công nghệ tập trung vào thúc đẩy hiệu suất vận hành. Italgas giải quyết vấn đề này bằng cách đưa các nhà lãnh đạo vận hành vào trong nhà máy để làm việc trên những giải pháp cụ thể theo các vòng luân chuyển bốn tháng.</w:t>
      </w:r>
    </w:p>
    <w:p>
      <w:pPr>
        <w:spacing w:after="80"/>
      </w:pPr>
      <w:r>
        <w:rPr>
          <w:b/>
          <w:i/>
        </w:rPr>
        <w:t>Mô hình nhà máy số phù hợp nhất với những công ty đang ở giai đoạn đầu của hành trình chuyển đổi, hoặc với những công ty mà công nghệ là động lực quan trọng (nhưng có lẽ không phải quan trọng nhất) tạo nên sự khác biệt cạnh tranh. Nó mang lại một cách tuyệt vời để các đơn vị kinh doanh và các phòng ban nhanh chóng nắm bắt được năng lực cung cấp công nghệ đẳng cấp thế giới</w:t>
      </w:r>
      <w:r>
        <w:rPr>
          <w:b/>
          <w:i w:val="0"/>
        </w:rPr>
        <w:t>.</w:t>
      </w:r>
    </w:p>
    <w:p>
      <w:pPr>
        <w:pStyle w:val="Heading3"/>
      </w:pPr>
      <w:r>
        <w:rPr>
          <w:rFonts w:ascii="Calibri" w:hAnsi="Calibri"/>
          <w:b/>
          <w:i w:val="0"/>
          <w:sz w:val="26"/>
        </w:rPr>
        <w:t>Mô hình lĩnh vực &amp; nền tảng</w:t>
      </w:r>
    </w:p>
    <w:p>
      <w:pPr>
        <w:spacing w:after="80"/>
      </w:pPr>
      <w:r>
        <w:rPr>
          <w:b w:val="0"/>
          <w:i w:val="0"/>
        </w:rPr>
        <w:t>Mô hình lĩnh vực &amp; nền tảng (domain &amp; platform - D&amp;P) (còn được gọi là sản phẩm và nền tảng) được sử dụng bởi hầu hết các công ty phần mềm, các nhà bán lẻ toàn cầu hàng đầu như Amazon, các ngân hàng hàng đầu như DBS, TD Bank và JPMorgan Chase, các công ty viễn thông hàng đầu như Verizon, các công ty khoa học đời sống như Johnson &amp; Johnson, và các công ty bảo hiểm hàng đầu như Chubb.</w:t>
      </w:r>
    </w:p>
    <w:p>
      <w:pPr>
        <w:spacing w:after="80"/>
      </w:pPr>
      <w:r>
        <w:rPr>
          <w:b w:val="0"/>
          <w:i w:val="0"/>
        </w:rPr>
        <w:t>Mỗi công ty đều áp dụng một phiên bản của mô hình này vì nó gắn kết kinh doanh, vận hành và công nghệ lại gần nhau hơn để thúc đẩy đổi mới kinh doanh và mở rộng quy mô nhanh hơn. Mô hình D&amp;P là lý tưởng khi một tổ chức tìm kiếm tốc độ, quyền tự chủ, khả năng tái sử dụng và khả năng mở rộng—và khi giá trị kinh doanh được tạo ra thông qua phần mềm, dữ liệu và các trải nghiệm số.</w:t>
      </w:r>
    </w:p>
    <w:p>
      <w:pPr>
        <w:jc w:val="center"/>
      </w:pPr>
      <w:r>
        <w:drawing>
          <wp:inline xmlns:a="http://schemas.openxmlformats.org/drawingml/2006/main" xmlns:pic="http://schemas.openxmlformats.org/drawingml/2006/picture">
            <wp:extent cx="5486400" cy="6706733"/>
            <wp:docPr id="94" name="Picture 94"/>
            <wp:cNvGraphicFramePr>
              <a:graphicFrameLocks noChangeAspect="1"/>
            </wp:cNvGraphicFramePr>
            <a:graphic>
              <a:graphicData uri="http://schemas.openxmlformats.org/drawingml/2006/picture">
                <pic:pic>
                  <pic:nvPicPr>
                    <pic:cNvPr id="0" name="c13ex005.png"/>
                    <pic:cNvPicPr/>
                  </pic:nvPicPr>
                  <pic:blipFill>
                    <a:blip r:embed="rId80"/>
                    <a:stretch>
                      <a:fillRect/>
                    </a:stretch>
                  </pic:blipFill>
                  <pic:spPr>
                    <a:xfrm>
                      <a:off x="0" y="0"/>
                      <a:ext cx="5486400" cy="6706733"/>
                    </a:xfrm>
                    <a:prstGeom prst="rect"/>
                  </pic:spPr>
                </pic:pic>
              </a:graphicData>
            </a:graphic>
          </wp:inline>
        </w:drawing>
      </w:r>
    </w:p>
    <w:p>
      <w:pPr>
        <w:spacing w:after="160"/>
        <w:jc w:val="center"/>
      </w:pPr>
      <w:r>
        <w:rPr>
          <w:rFonts w:ascii="Calibri" w:hAnsi="Calibri"/>
          <w:b w:val="0"/>
          <w:i/>
          <w:sz w:val="19"/>
        </w:rPr>
        <w:t>TRIỂN LÃM 13.5</w:t>
      </w:r>
    </w:p>
    <w:p>
      <w:pPr>
        <w:jc w:val="center"/>
      </w:pPr>
      <w:r>
        <w:drawing>
          <wp:inline xmlns:a="http://schemas.openxmlformats.org/drawingml/2006/main" xmlns:pic="http://schemas.openxmlformats.org/drawingml/2006/picture">
            <wp:extent cx="457200" cy="447675"/>
            <wp:docPr id="95" name="Picture 95"/>
            <wp:cNvGraphicFramePr>
              <a:graphicFrameLocks noChangeAspect="1"/>
            </wp:cNvGraphicFramePr>
            <a:graphic>
              <a:graphicData uri="http://schemas.openxmlformats.org/drawingml/2006/picture">
                <pic:pic>
                  <pic:nvPicPr>
                    <pic:cNvPr id="0" name="RULE_OF_THUMB_orange.png"/>
                    <pic:cNvPicPr/>
                  </pic:nvPicPr>
                  <pic:blipFill>
                    <a:blip r:embed="rId6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Lộ trình chuyển đổi sang mô hình D&amp;P</w:t>
      </w:r>
    </w:p>
    <w:p>
      <w:pPr>
        <w:spacing w:after="80"/>
      </w:pPr>
      <w:r>
        <w:rPr>
          <w:b w:val="0"/>
          <w:i w:val="0"/>
        </w:rPr>
        <w:t>Việc chuyển đổi sang mô hình D&amp;P thường mất một đến hai năm, tùy thuộc vào quy mô công ty, và thêm một đến hai năm nữa để đạt được độ chín vận hành đầy đủ.</w:t>
      </w:r>
    </w:p>
    <w:p>
      <w:pPr>
        <w:spacing w:after="80"/>
      </w:pPr>
      <w:r>
        <w:rPr>
          <w:b w:val="0"/>
          <w:i w:val="0"/>
        </w:rPr>
        <w:t>Trong khi một mô hình nhà máy số có thể có 10–50 đội, thì mô hình D&amp;P thường sẽ có vài trăm đội và đôi khi hơn một nghìn đội đối với các công ty lớn. Đó là vì mô hình này chạm tới tất cả các nguồn lực công nghệ, và cả một phần đáng kể nguồn lực của bộ phận kinh doanh và vận hành nữa. Triển lãm 13.5 cho thấy thiết kế dạng tấm lót (placemat) của một mô hình D&amp;P với hơn 1.000 đội cho một ngân hàng quốc tế hàng đầu.</w:t>
      </w:r>
    </w:p>
    <w:p>
      <w:pPr>
        <w:spacing w:after="80"/>
      </w:pPr>
      <w:r>
        <w:rPr>
          <w:b w:val="0"/>
          <w:i w:val="0"/>
        </w:rPr>
        <w:t>Mô hình D&amp;P khác với nhà máy kỹ thuật số ở năm điểm:</w:t>
      </w:r>
    </w:p>
    <w:p>
      <w:pPr>
        <w:spacing w:after="80"/>
        <w:ind w:left="360"/>
      </w:pPr>
      <w:r>
        <w:t xml:space="preserve">1. </w:t>
      </w:r>
      <w:r>
        <w:rPr>
          <w:b/>
          <w:i w:val="0"/>
        </w:rPr>
        <w:t>Toàn bộ chức năng công nghệ được tổ chức lại</w:t>
      </w:r>
      <w:r>
        <w:rPr>
          <w:b w:val="0"/>
          <w:i w:val="0"/>
        </w:rPr>
        <w:t xml:space="preserve"> với các chuyên gia phát triển và bảo trì ứng dụng thường tham gia vào các domain (lĩnh vực nghiệp vụ), trong khi các chuyên gia về hạ tầng và hệ thống lõi tham gia vào các platform (nền tảng).</w:t>
      </w:r>
    </w:p>
    <w:p>
      <w:pPr>
        <w:spacing w:after="80"/>
        <w:ind w:left="360"/>
      </w:pPr>
      <w:r>
        <w:t xml:space="preserve">2. </w:t>
      </w:r>
      <w:r>
        <w:rPr>
          <w:b/>
          <w:i w:val="0"/>
        </w:rPr>
        <w:t>Công nghệ trải qua một quá trình hiện đại hóa lớn,</w:t>
      </w:r>
      <w:r>
        <w:rPr>
          <w:b w:val="0"/>
          <w:i w:val="0"/>
        </w:rPr>
        <w:t xml:space="preserve"> nghĩa là chuyển sang kiến trúc mô-đun hơn, di chuyển ứng dụng lên cloud, nâng cao kỹ năng cho nhân sự IT, và áp dụng các phương thức phát triển phần mềm hiện đại (để biết thêm về những thay đổi này trong công nghệ, xem Mục Bốn).</w:t>
      </w:r>
    </w:p>
    <w:p>
      <w:pPr>
        <w:spacing w:after="80"/>
        <w:ind w:left="360"/>
      </w:pPr>
      <w:r>
        <w:t xml:space="preserve">3. </w:t>
      </w:r>
      <w:r>
        <w:rPr>
          <w:b/>
          <w:i w:val="0"/>
        </w:rPr>
        <w:t>Các chức năng kiểm soát</w:t>
      </w:r>
      <w:r>
        <w:rPr>
          <w:b w:val="0"/>
          <w:i w:val="0"/>
        </w:rPr>
        <w:t xml:space="preserve"> như quản lý rủi ro, an ninh mạng, và tuân thủ được nhúng vào các domain và platform. Điều này đưa chúng vào quy trình phát triển sớm hơn, nhờ đó tránh được việc làm lại và đảm bảo kiểm soát tổng thể tốt hơn.</w:t>
      </w:r>
    </w:p>
    <w:p>
      <w:pPr>
        <w:spacing w:after="80"/>
        <w:ind w:left="360"/>
      </w:pPr>
      <w:r>
        <w:t xml:space="preserve">4. </w:t>
      </w:r>
      <w:r>
        <w:rPr>
          <w:b/>
          <w:i w:val="0"/>
        </w:rPr>
        <w:t>Vận hành</w:t>
      </w:r>
      <w:r>
        <w:rPr>
          <w:b w:val="0"/>
          <w:i w:val="0"/>
        </w:rPr>
        <w:t xml:space="preserve"> được đưa vào các domain và platform liên quan. Bằng cách đưa công việc vận hành kinh doanh (run-the-business) vào phạm vi của các domain và platform, tổ chức đảm bảo quyền sở hữu đầu-cuối (end-to-end) trên tất cả các yếu tố.</w:t>
      </w:r>
    </w:p>
    <w:p>
      <w:pPr>
        <w:spacing w:after="80"/>
        <w:ind w:left="360"/>
      </w:pPr>
      <w:r>
        <w:t xml:space="preserve">5. </w:t>
      </w:r>
      <w:r>
        <w:rPr>
          <w:b/>
          <w:i w:val="0"/>
        </w:rPr>
        <w:t>Bộ phận kinh doanh làm rõ các chủ sở hữu domain chịu trách nhiệm</w:t>
      </w:r>
      <w:r>
        <w:rPr>
          <w:b w:val="0"/>
          <w:i w:val="0"/>
        </w:rPr>
        <w:t xml:space="preserve"> và những người đối tác D&amp;P của họ sẽ là ai trong suốt vòng đời phát triển.</w:t>
        <w:br/>
        <w:t>Khi các công ty chuyển sang mô hình D&amp;P, họ đang đưa ra một quyết định chiến lược lớn nhằm tái cấu trúc lại phần lớn tổ chức để khai thác công nghệ tốt hơn trong hoạt động kinh doanh cốt lõi. Việc chuyển đổi sang mô hình D&amp;P thể hiện một cam kết lớn mà chỉ CEO—với sự đồng thuận chặt chẽ từ ban điều hành cấp cao (C-suite)—mới có thể đưa ra.</w:t>
      </w:r>
    </w:p>
    <w:p>
      <w:pPr>
        <w:spacing w:after="80"/>
      </w:pPr>
      <w:r>
        <w:rPr>
          <w:b/>
          <w:i/>
        </w:rPr>
        <w:t>Chúng tôi tin rằng mô hình D&amp;P đang trở thành mô hình thống trị trong các ngành mà công nghệ là yếu tố tạo khác biệt chính về hiệu suất</w:t>
      </w:r>
      <w:r>
        <w:rPr>
          <w:b/>
          <w:i w:val="0"/>
        </w:rPr>
        <w:t>.</w:t>
      </w:r>
    </w:p>
    <w:p>
      <w:pPr>
        <w:pStyle w:val="Heading3"/>
      </w:pPr>
      <w:r>
        <w:rPr>
          <w:rFonts w:ascii="Calibri" w:hAnsi="Calibri"/>
          <w:b/>
          <w:i w:val="0"/>
          <w:sz w:val="26"/>
        </w:rPr>
        <w:t>Mô hình toàn doanh nghiệp</w:t>
      </w:r>
    </w:p>
    <w:p>
      <w:pPr>
        <w:spacing w:after="80"/>
      </w:pPr>
      <w:r>
        <w:rPr>
          <w:b w:val="0"/>
          <w:i w:val="0"/>
        </w:rPr>
        <w:t>Những lợi ích của các nhóm nhỏ, đa chức năng, tập trung vào khách hàng, và được trao quyền không chỉ giới hạn ở các nhóm chuyên về công nghệ và AI. Gần như bất kỳ chức năng kinh doanh nào (như bán hàng, R&amp;D, marketing, và phát triển sản phẩm mới) hay chức năng hỗ trợ nào (ví dụ như HR, tài chính, hoặc pháp lý) đều có thể áp dụng, và hưởng lợi từ, cùng những tư duy và cách làm việc đó.</w:t>
      </w:r>
    </w:p>
    <w:p>
      <w:pPr>
        <w:spacing w:after="80"/>
      </w:pPr>
      <w:r>
        <w:rPr>
          <w:b w:val="0"/>
          <w:i w:val="0"/>
        </w:rPr>
        <w:t>Mô hình toàn doanh nghiệp về cơ bản là một sự mở rộng của mô hình D&amp;P.</w:t>
      </w:r>
    </w:p>
    <w:p>
      <w:pPr>
        <w:spacing w:after="80"/>
      </w:pPr>
      <w:r>
        <w:rPr>
          <w:b w:val="0"/>
          <w:i w:val="0"/>
        </w:rPr>
        <w:t>Các công ty chuyển đổi sang mô hình này như ING, Spark NZ, hay Walmart (Mexico) tập trung vào việc tái hình dung toàn bộ tổ chức như một mạng lưới các nhóm có hiệu suất cao. Họ sẽ tổ chức công việc xoay quanh bốn kiểu nhóm (Exhibit 13.6):</w:t>
      </w:r>
    </w:p>
    <w:p>
      <w:pPr>
        <w:spacing w:after="80"/>
        <w:ind w:left="360"/>
      </w:pPr>
      <w:r>
        <w:t xml:space="preserve">• </w:t>
      </w:r>
      <w:r>
        <w:rPr>
          <w:b/>
          <w:i w:val="0"/>
        </w:rPr>
        <w:t>Nhóm đa chức năng,</w:t>
      </w:r>
      <w:r>
        <w:rPr>
          <w:b w:val="0"/>
          <w:i w:val="0"/>
        </w:rPr>
        <w:t xml:space="preserve"> mà chúng tôi đã mô tả trước đó</w:t>
      </w:r>
    </w:p>
    <w:p>
      <w:pPr>
        <w:spacing w:after="80"/>
        <w:ind w:left="360"/>
      </w:pPr>
      <w:r>
        <w:t xml:space="preserve">• </w:t>
      </w:r>
      <w:r>
        <w:rPr>
          <w:b/>
          <w:i w:val="0"/>
        </w:rPr>
        <w:t>Nhóm tự quản,</w:t>
      </w:r>
      <w:r>
        <w:rPr>
          <w:b w:val="0"/>
          <w:i w:val="0"/>
        </w:rPr>
        <w:t xml:space="preserve"> được sử dụng trong môi trường vận hành như các trung tâm liên hệ (contact center) để đảm bảo quyền sở hữu đầu-cuối đối với kết quả về khách hàng và chi phí, theo cách khuyến khích cải tiến liên tục.</w:t>
      </w:r>
    </w:p>
    <w:p>
      <w:pPr>
        <w:spacing w:after="80"/>
        <w:ind w:left="360"/>
      </w:pPr>
      <w:r>
        <w:t xml:space="preserve">• </w:t>
      </w:r>
      <w:r>
        <w:rPr>
          <w:b/>
          <w:i w:val="0"/>
        </w:rPr>
        <w:t>Nhóm luân chuyển theo công việc (flow-to-work),</w:t>
      </w:r>
      <w:r>
        <w:rPr>
          <w:b w:val="0"/>
          <w:i w:val="0"/>
        </w:rPr>
        <w:t xml:space="preserve"> được sử dụng trong các chức năng hỗ trợ như tài chính, HR, và pháp lý để tập hợp các chuyên gia chức năng lại với nhau nhằm triển khai linh hoạt hơn đến những nhu cầu cấp bách nhất (gọi là "flow-to-work" vì các nguồn lực "luân chuyển" đến nơi có "công việc").</w:t>
      </w:r>
    </w:p>
    <w:p>
      <w:pPr>
        <w:spacing w:after="80"/>
        <w:ind w:left="360"/>
      </w:pPr>
      <w:r>
        <w:t xml:space="preserve">• </w:t>
      </w:r>
      <w:r>
        <w:rPr>
          <w:b/>
          <w:i w:val="0"/>
        </w:rPr>
        <w:t>Nhóm mạng lưới,</w:t>
      </w:r>
      <w:r>
        <w:rPr>
          <w:b w:val="0"/>
          <w:i w:val="0"/>
        </w:rPr>
        <w:t xml:space="preserve"> được sử dụng trong mạng lưới phân phối và bán hàng/cửa hàng để mang lại sự phối hợp và thống nhất ở cấp độ hàng ngày với ít tầng bậc hơn và lãnh đạo sát sao hơn.</w:t>
      </w:r>
    </w:p>
    <w:p>
      <w:pPr>
        <w:jc w:val="center"/>
      </w:pPr>
      <w:r>
        <w:drawing>
          <wp:inline xmlns:a="http://schemas.openxmlformats.org/drawingml/2006/main" xmlns:pic="http://schemas.openxmlformats.org/drawingml/2006/picture">
            <wp:extent cx="5486400" cy="5262928"/>
            <wp:docPr id="96" name="Picture 96"/>
            <wp:cNvGraphicFramePr>
              <a:graphicFrameLocks noChangeAspect="1"/>
            </wp:cNvGraphicFramePr>
            <a:graphic>
              <a:graphicData uri="http://schemas.openxmlformats.org/drawingml/2006/picture">
                <pic:pic>
                  <pic:nvPicPr>
                    <pic:cNvPr id="0" name="c13ex006.png"/>
                    <pic:cNvPicPr/>
                  </pic:nvPicPr>
                  <pic:blipFill>
                    <a:blip r:embed="rId81"/>
                    <a:stretch>
                      <a:fillRect/>
                    </a:stretch>
                  </pic:blipFill>
                  <pic:spPr>
                    <a:xfrm>
                      <a:off x="0" y="0"/>
                      <a:ext cx="5486400" cy="5262928"/>
                    </a:xfrm>
                    <a:prstGeom prst="rect"/>
                  </pic:spPr>
                </pic:pic>
              </a:graphicData>
            </a:graphic>
          </wp:inline>
        </w:drawing>
      </w:r>
    </w:p>
    <w:p>
      <w:pPr>
        <w:spacing w:after="160"/>
        <w:jc w:val="center"/>
      </w:pPr>
      <w:r>
        <w:rPr>
          <w:rFonts w:ascii="Calibri" w:hAnsi="Calibri"/>
          <w:b w:val="0"/>
          <w:i/>
          <w:sz w:val="19"/>
        </w:rPr>
        <w:t>EXHIBIT 13.6</w:t>
      </w:r>
    </w:p>
    <w:p>
      <w:pPr>
        <w:spacing w:after="80"/>
      </w:pPr>
      <w:r>
        <w:rPr>
          <w:b w:val="0"/>
          <w:i w:val="0"/>
        </w:rPr>
        <w:t>Hình 13.7 cho thấy góc nhìn tổng thể (placemat view) về một mô hình agile toàn doanh nghiệp dành cho một nhà khai thác viễn thông cỡ trung. Công ty này đã triển khai các nhóm agile để làm phẳng tổ chức và tăng tốc việc chia sẻ các thông lệ tốt nhất.</w:t>
      </w:r>
    </w:p>
    <w:p>
      <w:pPr>
        <w:jc w:val="center"/>
      </w:pPr>
      <w:r>
        <w:drawing>
          <wp:inline xmlns:a="http://schemas.openxmlformats.org/drawingml/2006/main" xmlns:pic="http://schemas.openxmlformats.org/drawingml/2006/picture">
            <wp:extent cx="5486400" cy="6693478"/>
            <wp:docPr id="97" name="Picture 97"/>
            <wp:cNvGraphicFramePr>
              <a:graphicFrameLocks noChangeAspect="1"/>
            </wp:cNvGraphicFramePr>
            <a:graphic>
              <a:graphicData uri="http://schemas.openxmlformats.org/drawingml/2006/picture">
                <pic:pic>
                  <pic:nvPicPr>
                    <pic:cNvPr id="0" name="c13ex007.png"/>
                    <pic:cNvPicPr/>
                  </pic:nvPicPr>
                  <pic:blipFill>
                    <a:blip r:embed="rId82"/>
                    <a:stretch>
                      <a:fillRect/>
                    </a:stretch>
                  </pic:blipFill>
                  <pic:spPr>
                    <a:xfrm>
                      <a:off x="0" y="0"/>
                      <a:ext cx="5486400" cy="6693478"/>
                    </a:xfrm>
                    <a:prstGeom prst="rect"/>
                  </pic:spPr>
                </pic:pic>
              </a:graphicData>
            </a:graphic>
          </wp:inline>
        </w:drawing>
      </w:r>
    </w:p>
    <w:p>
      <w:pPr>
        <w:spacing w:after="160"/>
        <w:jc w:val="center"/>
      </w:pPr>
      <w:r>
        <w:rPr>
          <w:rFonts w:ascii="Calibri" w:hAnsi="Calibri"/>
          <w:b w:val="0"/>
          <w:i/>
          <w:sz w:val="19"/>
        </w:rPr>
        <w:t>HÌNH 13.7</w:t>
      </w:r>
    </w:p>
    <w:p>
      <w:pPr>
        <w:spacing w:after="80"/>
      </w:pPr>
      <w:r>
        <w:rPr>
          <w:b w:val="0"/>
          <w:i w:val="0"/>
        </w:rPr>
        <w:t>Tại các trung tâm liên hệ (contact center), công ty đã triển khai các nhóm tự quản (self-managed team) để thúc đẩy trách nhiệm giải trình cao hơn đối với việc chăm sóc khách hàng, với kết quả ngoạn mục. Ở mảng các chức năng doanh nghiệp, công ty sử dụng mô hình luân chuyển theo công việc (flow-to-work) để cho phép điều chuyển nguồn lực nhanh hơn tới các dự án trọng yếu. Hoạt động kinh doanh cốt lõi được tổ chức thành các nhóm đa chức năng (cross-functional team).</w:t>
      </w:r>
    </w:p>
    <w:p>
      <w:pPr>
        <w:spacing w:after="80"/>
      </w:pPr>
      <w:r>
        <w:rPr>
          <w:b w:val="0"/>
          <w:i w:val="0"/>
        </w:rPr>
        <w:t>Mô hình này mang lại mức giảm hơn 20% tổng số nhân sự trong khi vẫn cải thiện mức độ hài lòng của khách hàng và doanh thu trên mỗi khách hàng. Quan trọng không kém, công ty đạt được kết quả này trong khi vẫn gia tăng mức độ hài lòng của nhân viên, đạt mức +78 NPS sau ba năm chuyển đổi (tăng từ +22).</w:t>
      </w:r>
    </w:p>
    <w:p>
      <w:pPr>
        <w:spacing w:after="80"/>
      </w:pPr>
      <w:r>
        <w:rPr>
          <w:b w:val="0"/>
          <w:i w:val="0"/>
        </w:rPr>
        <w:t>Một mô hình vận hành toàn doanh nghiệp không phải dành cho mọi công ty. Mức độ thay đổi đầy tham vọng này cần được cân bằng với các ưu tiên chiến lược khác của công ty.</w:t>
      </w:r>
    </w:p>
    <w:p>
      <w:pPr>
        <w:spacing w:after="80"/>
      </w:pPr>
      <w:r>
        <w:rPr>
          <w:b/>
          <w:i/>
        </w:rPr>
        <w:t>Mô hình toàn doanh nghiệp có thể là yếu tố tạo nên sự khác biệt cho những công ty mà tính lấy khách hàng làm trung tâm, sự cộng tác và tính linh hoạt trong điều chuyển nguồn lực là yếu tố tạo khác biệt về hiệu suất vượt ra ngoài các ứng dụng đòi hỏi nhiều công nghệ</w:t>
      </w:r>
      <w:r>
        <w:rPr>
          <w:b/>
          <w:i w:val="0"/>
        </w:rPr>
        <w:t>.</w:t>
      </w:r>
    </w:p>
    <w:p>
      <w:pPr>
        <w:jc w:val="center"/>
      </w:pPr>
      <w:r>
        <w:drawing>
          <wp:inline xmlns:a="http://schemas.openxmlformats.org/drawingml/2006/main" xmlns:pic="http://schemas.openxmlformats.org/drawingml/2006/picture">
            <wp:extent cx="1905000" cy="95250"/>
            <wp:docPr id="98" name="Picture 98"/>
            <wp:cNvGraphicFramePr>
              <a:graphicFrameLocks noChangeAspect="1"/>
            </wp:cNvGraphicFramePr>
            <a:graphic>
              <a:graphicData uri="http://schemas.openxmlformats.org/drawingml/2006/picture">
                <pic:pic>
                  <pic:nvPicPr>
                    <pic:cNvPr id="0" name="CHAPTEREND_RULE_orange.png"/>
                    <pic:cNvPicPr/>
                  </pic:nvPicPr>
                  <pic:blipFill>
                    <a:blip r:embed="rId74"/>
                    <a:stretch>
                      <a:fillRect/>
                    </a:stretch>
                  </pic:blipFill>
                  <pic:spPr>
                    <a:xfrm>
                      <a:off x="0" y="0"/>
                      <a:ext cx="1905000" cy="95250"/>
                    </a:xfrm>
                    <a:prstGeom prst="rect"/>
                  </pic:spPr>
                </pic:pic>
              </a:graphicData>
            </a:graphic>
          </wp:inline>
        </w:drawing>
      </w:r>
    </w:p>
    <w:p>
      <w:pPr>
        <w:spacing w:after="80"/>
      </w:pPr>
      <w:r>
        <w:rPr>
          <w:b w:val="0"/>
          <w:i w:val="0"/>
        </w:rPr>
        <w:t>Trong một mô hình cung cấp công nghệ phân tán (distributed technology delivery model), các nhóm gần gũi với hoạt động kinh doanh có thể xây dựng, kiểm thử và cải tiến giải pháp theo từng vòng lặp, rút ngắn thời gian chu kỳ và tăng tốc học hỏi. Đó chính là bản chất của việc cạnh tranh vượt trội. Không công ty nào có thể thực sự trở thành nhà đổi mới về số hóa và AI nếu không có một mô hình cung cấp công nghệ mạnh mẽ—họ sẽ đơn giản là quá chậm chạp.</w:t>
      </w:r>
    </w:p>
    <w:p>
      <w:pPr>
        <w:pStyle w:val="Heading2"/>
      </w:pPr>
      <w:r>
        <w:rPr>
          <w:rFonts w:ascii="Calibri" w:hAnsi="Calibri"/>
          <w:b/>
          <w:i w:val="0"/>
          <w:sz w:val="32"/>
        </w:rPr>
        <w:t>Ghi chú</w:t>
      </w:r>
    </w:p>
    <w:p>
      <w:pPr>
        <w:spacing w:after="80"/>
        <w:ind w:left="360"/>
      </w:pPr>
      <w:r>
        <w:t xml:space="preserve">1. </w:t>
      </w:r>
      <w:r>
        <w:rPr>
          <w:b w:val="0"/>
          <w:i w:val="0"/>
        </w:rPr>
        <w:t xml:space="preserve">1   Alexis Krivkovich, Amadeo Di Lodovico, Brooke Weddle, Dana Maor, Deepak Mahadevan, và Richard Steele, “A new operating model for a new world,” </w:t>
      </w:r>
      <w:r>
        <w:rPr>
          <w:b w:val="0"/>
          <w:i/>
        </w:rPr>
        <w:t>McKinsey Quarterly</w:t>
      </w:r>
      <w:r>
        <w:rPr>
          <w:b w:val="0"/>
          <w:i w:val="0"/>
        </w:rPr>
        <w:t>, ngày 18 tháng 6 năm 2025.</w:t>
      </w:r>
    </w:p>
    <w:p>
      <w:pPr>
        <w:spacing w:after="80"/>
        <w:ind w:left="360"/>
      </w:pPr>
      <w:r>
        <w:t xml:space="preserve">2. </w:t>
      </w:r>
      <w:r>
        <w:rPr>
          <w:b w:val="0"/>
          <w:i w:val="0"/>
        </w:rPr>
        <w:t>2   DevOps là một cách làm việc hợp nhất phát triển (development) và vận hành (operations) để cung cấp phần mềm một cách nhanh chóng và đáng tin cậy thông qua tích hợp liên tục, tự động hóa và trách nhiệm giải trình chung.</w:t>
      </w:r>
    </w:p>
    <w:p>
      <w:pPr>
        <w:spacing w:after="80"/>
        <w:ind w:left="360"/>
      </w:pPr>
      <w:r>
        <w:t xml:space="preserve">3. </w:t>
      </w:r>
      <w:r>
        <w:rPr>
          <w:b w:val="0"/>
          <w:i w:val="0"/>
        </w:rPr>
        <w:t>3   Phiên bản nhẹ hơn của một chapter—thường được gọi là guild—mang tính chất của một mạng lưới không chính thức hơn. Nó giới hạn ở việc cung cấp các trao đổi về thông lệ tốt nhất, cùng các tiêu chuẩn phát triển và hiệu suất. Việc tuyển dụng, bố trí nhân sự và đánh giá được giao cho các trưởng bộ phận (domain lead) hoặc trưởng nền tảng (platform lead). Mô hình nào là tốt nhất, nhẹ hay nặng, vẫn là một chủ đề tranh luận.</w:t>
      </w:r>
    </w:p>
    <w:p>
      <w:pPr>
        <w:pStyle w:val="Heading2"/>
      </w:pPr>
      <w:r>
        <w:rPr>
          <w:rFonts w:ascii="Calibri" w:hAnsi="Calibri"/>
          <w:b/>
          <w:i/>
          <w:sz w:val="32"/>
        </w:rPr>
        <w:t>“Nếu bạn không lập kế hoạch, bạn đang lập kế hoạch để thất bại.”</w:t>
      </w:r>
    </w:p>
    <w:p>
      <w:pPr>
        <w:spacing w:after="80"/>
      </w:pPr>
      <w:r>
        <w:rPr>
          <w:b/>
          <w:i w:val="0"/>
        </w:rPr>
        <w:t>— Benjamin Franklin</w:t>
      </w:r>
    </w:p>
    <w:p>
      <w:pPr>
        <w:pStyle w:val="Heading1"/>
      </w:pPr>
      <w:r>
        <w:rPr>
          <w:rFonts w:ascii="Calibri" w:hAnsi="Calibri"/>
          <w:b/>
          <w:i w:val="0"/>
          <w:sz w:val="40"/>
        </w:rPr>
        <w:t>CHƯƠNG 14</w:t>
      </w:r>
      <w:r>
        <w:rPr>
          <w:rFonts w:ascii="Calibri" w:hAnsi="Calibri"/>
          <w:b/>
          <w:i w:val="0"/>
          <w:sz w:val="40"/>
        </w:rPr>
      </w:r>
      <w:r>
        <w:rPr>
          <w:rFonts w:ascii="Calibri" w:hAnsi="Calibri"/>
          <w:b/>
          <w:i w:val="0"/>
          <w:sz w:val="40"/>
        </w:rPr>
        <w:t>Bản thiết kế cho một doanh nghiệp nhanh nhẹn hơn</w:t>
      </w:r>
    </w:p>
    <w:p>
      <w:pPr>
        <w:spacing w:after="80"/>
      </w:pPr>
      <w:r>
        <w:rPr>
          <w:b w:val="0"/>
          <w:i w:val="0"/>
        </w:rPr>
        <w:t>Hầu hết các nỗ lực chuyển đổi sang một mô hình vận hành mới đều thất bại không phải vì tham vọng sai, mà vì đích đến không rõ ràng. Các đội ngũ lãnh đạo khởi động các chương trình thay đổi, công bố những cách làm việc mới, hoặc sử dụng ngôn từ về tốc độ và sự nhanh nhẹn—nhưng lại chưa bao giờ thống nhất hoàn toàn về việc tổ chức thực sự được kỳ vọng sẽ trở thành như thế nào.</w:t>
      </w:r>
    </w:p>
    <w:p>
      <w:pPr>
        <w:spacing w:after="80"/>
      </w:pPr>
      <w:r>
        <w:rPr>
          <w:b w:val="0"/>
          <w:i w:val="0"/>
        </w:rPr>
        <w:t>Vấn đề nằm ở việc thiếu một bản thiết kế chung. Một doanh nghiệp nhanh nhẹn hơn không đạt được chỉ bằng một động thái cơ cấu đơn lẻ. Nó đòi hỏi những thay đổi được phối hợp đồng bộ về cách ra quyết định, cách công việc luân chuyển khắp tổ chức, cách các nhóm được bố trí nhân sự và cấp vốn, cách công nghệ được xây dựng và tái sử dụng, và cách các nhà lãnh đạo tạo ra trách nhiệm giải trình. Những lựa chọn này định hình hành vi hằng ngày—và chúng đòi hỏi sự chú ý rõ ràng. Dù bạn thực sự cần giải quyết tất cả những yếu tố này, chúng không nhất thiết phải hoàn hảo trước khi bạn bắt đầu thấy được lợi ích.</w:t>
      </w:r>
    </w:p>
    <w:p>
      <w:pPr>
        <w:spacing w:after="80"/>
      </w:pPr>
      <w:r>
        <w:rPr>
          <w:b w:val="0"/>
          <w:i w:val="0"/>
        </w:rPr>
        <w:t>Đó là lý do vì sao bản thiết kế (blueprint) lại quan trọng đến vậy. Việc thiết lập một trạng thái đích rõ ràng cho mô hình vận hành (operating model), và lôi kéo toàn bộ đội ngũ lãnh đạo cấp cao tham gia vào quá trình thiết kế nó, chính là bước đầu tiên mang tính quyết định. Khi các nhà lãnh đạo cùng nhau đồng kiến tạo bản thiết kế, họ xây dựng được một ngôn ngữ chung, sớm phát hiện ra những đánh đổi (trade-offs), và cùng cam kết hướng tới một trạng thái đích thống nhất.</w:t>
      </w:r>
    </w:p>
    <w:p>
      <w:pPr>
        <w:spacing w:after="80"/>
      </w:pPr>
      <w:r>
        <w:rPr>
          <w:b w:val="0"/>
          <w:i w:val="0"/>
        </w:rPr>
        <w:t>Chương này trình bày cách định hình bản thiết kế đó theo khung được nêu trong Hình 14.1.</w:t>
      </w:r>
    </w:p>
    <w:p>
      <w:pPr>
        <w:jc w:val="center"/>
      </w:pPr>
      <w:r>
        <w:drawing>
          <wp:inline xmlns:a="http://schemas.openxmlformats.org/drawingml/2006/main" xmlns:pic="http://schemas.openxmlformats.org/drawingml/2006/picture">
            <wp:extent cx="5486400" cy="4693419"/>
            <wp:docPr id="99" name="Picture 99"/>
            <wp:cNvGraphicFramePr>
              <a:graphicFrameLocks noChangeAspect="1"/>
            </wp:cNvGraphicFramePr>
            <a:graphic>
              <a:graphicData uri="http://schemas.openxmlformats.org/drawingml/2006/picture">
                <pic:pic>
                  <pic:nvPicPr>
                    <pic:cNvPr id="0" name="c14ex001.png"/>
                    <pic:cNvPicPr/>
                  </pic:nvPicPr>
                  <pic:blipFill>
                    <a:blip r:embed="rId83"/>
                    <a:stretch>
                      <a:fillRect/>
                    </a:stretch>
                  </pic:blipFill>
                  <pic:spPr>
                    <a:xfrm>
                      <a:off x="0" y="0"/>
                      <a:ext cx="5486400" cy="4693419"/>
                    </a:xfrm>
                    <a:prstGeom prst="rect"/>
                  </pic:spPr>
                </pic:pic>
              </a:graphicData>
            </a:graphic>
          </wp:inline>
        </w:drawing>
      </w:r>
    </w:p>
    <w:p>
      <w:pPr>
        <w:spacing w:after="160"/>
        <w:jc w:val="center"/>
      </w:pPr>
      <w:r>
        <w:rPr>
          <w:rFonts w:ascii="Calibri" w:hAnsi="Calibri"/>
          <w:b w:val="0"/>
          <w:i/>
          <w:sz w:val="19"/>
        </w:rPr>
        <w:t>HÌNH 14.1</w:t>
      </w:r>
    </w:p>
    <w:p>
      <w:pPr>
        <w:pStyle w:val="Heading2"/>
      </w:pPr>
      <w:r>
        <w:rPr>
          <w:rFonts w:ascii="Calibri" w:hAnsi="Calibri"/>
          <w:b/>
          <w:i w:val="0"/>
          <w:sz w:val="32"/>
        </w:rPr>
        <w:t>Bắt đầu với câu hỏi "Vì sao"</w:t>
      </w:r>
    </w:p>
    <w:p>
      <w:pPr>
        <w:spacing w:after="80"/>
      </w:pPr>
      <w:r>
        <w:rPr>
          <w:b w:val="0"/>
          <w:i w:val="0"/>
        </w:rPr>
        <w:t>Nếu đội ngũ lãnh đạo cấp cao đã dành thời gian khám phá các mô hình khác nhau và thảo luận về lợi ích của chúng, thì việc diễn đạt rõ "vì sao" để giúp làm sáng tỏ tầm nhìn sẽ là một việc khá đơn giản—tuy vậy vẫn vô cùng quan trọng.</w:t>
      </w:r>
    </w:p>
    <w:p>
      <w:pPr>
        <w:spacing w:after="80"/>
      </w:pPr>
      <w:r>
        <w:rPr>
          <w:b w:val="0"/>
          <w:i w:val="0"/>
        </w:rPr>
        <w:t>Dưới đây là bốn câu chuyện "vì sao" mà chúng tôi thường thấy lặp đi lặp lại nhiều nhất:</w:t>
      </w:r>
    </w:p>
    <w:p>
      <w:pPr>
        <w:spacing w:after="80"/>
        <w:ind w:left="360"/>
      </w:pPr>
      <w:r>
        <w:t xml:space="preserve">1. </w:t>
      </w:r>
      <w:r>
        <w:rPr>
          <w:b/>
          <w:i w:val="0"/>
        </w:rPr>
        <w:t>Khách hàng đang thay đổi nhanh hơn chúng ta.</w:t>
      </w:r>
      <w:r>
        <w:rPr>
          <w:b w:val="0"/>
          <w:i w:val="0"/>
        </w:rPr>
        <w:t xml:space="preserve"> Những thói quen và kỳ vọng mới của khách hàng (ưu tiên kỹ thuật số, minh bạch về giá, tiện lợi đa kênh, mua sắm bằng tác nhân AI) thúc đẩy nhu cầu phải phản ứng nhanh hơn nhiều so với khả năng mà các silo chức năng cho phép.</w:t>
      </w:r>
    </w:p>
    <w:p>
      <w:pPr>
        <w:spacing w:after="80"/>
        <w:ind w:left="360"/>
      </w:pPr>
      <w:r>
        <w:t xml:space="preserve">2. </w:t>
      </w:r>
      <w:r>
        <w:rPr>
          <w:b/>
          <w:i w:val="0"/>
        </w:rPr>
        <w:t>Các công ty thuần AI (AI natives) và đối thủ cạnh tranh đang nhanh hơn và lấy khách hàng làm trung tâm hơn.</w:t>
      </w:r>
      <w:r>
        <w:rPr>
          <w:b w:val="0"/>
          <w:i w:val="0"/>
        </w:rPr>
        <w:t xml:space="preserve"> Sự thay đổi mô hình vận hành được định hình như một cách thu hẹp khoảng cách với các công ty công nghệ và AI bằng việc tổ chức lại xoay quanh giá trị khách hàng và nhịp độ phân phối ở quy mô lớn, chứ không phải theo thứ bậc chức năng.</w:t>
      </w:r>
    </w:p>
    <w:p>
      <w:pPr>
        <w:spacing w:after="80"/>
        <w:ind w:left="360"/>
      </w:pPr>
      <w:r>
        <w:t xml:space="preserve">3. </w:t>
      </w:r>
      <w:r>
        <w:rPr>
          <w:b/>
          <w:i w:val="0"/>
        </w:rPr>
        <w:t>Chúng ta đang liên tục phát minh lại bánh xe với các giải pháp của mình.</w:t>
      </w:r>
      <w:r>
        <w:rPr>
          <w:b w:val="0"/>
          <w:i w:val="0"/>
        </w:rPr>
        <w:t xml:space="preserve"> Một số công ty định vị mô hình vận hành mới như một cách để công nghiệp hóa việc tái sử dụng. Các nền tảng dùng chung cho phép các năng lực và tình huống sử dụng AI được xây dựng một lần rồi tái sử dụng và triển khai trên toàn doanh nghiệp, thay vì phải thương lượng và xây dựng lại nhiều lần ở từng đơn vị kinh doanh.</w:t>
      </w:r>
    </w:p>
    <w:p>
      <w:pPr>
        <w:spacing w:after="80"/>
        <w:ind w:left="360"/>
      </w:pPr>
      <w:r>
        <w:t xml:space="preserve">4. </w:t>
      </w:r>
      <w:r>
        <w:rPr>
          <w:b/>
          <w:i w:val="0"/>
        </w:rPr>
        <w:t>Tổ chức của chúng ta đã tích tụ quá nhiều ma sát nội bộ đến mức không còn bền vững.</w:t>
      </w:r>
      <w:r>
        <w:rPr>
          <w:b w:val="0"/>
          <w:i w:val="0"/>
        </w:rPr>
        <w:t xml:space="preserve"> Các công ty biện minh cho mô hình vận hành mới bằng cách thừa nhận rằng sự tăng trưởng, cấu trúc ma trận và chuyên môn hóa đã tạo thêm nhiều tầng lớp và vai trò điều phối mà không còn tạo ra giá trị tương xứng nữa. Việc làm phẳng tổ chức, làm rõ quyền sở hữu xuyên suốt từ đầu đến cuối, và loại bỏ các điểm bàn giao được định hình không phải là cắt giảm chi phí, mà là loại bỏ lực cản mang tính cấu trúc để cùng số người (hoặc ít hơn) có thể tạo ra nhiều giá trị hơn.</w:t>
      </w:r>
    </w:p>
    <w:p>
      <w:pPr>
        <w:spacing w:after="80"/>
      </w:pPr>
      <w:r>
        <w:rPr>
          <w:b w:val="0"/>
          <w:i w:val="0"/>
        </w:rPr>
        <w:t>"Trong thế giới tiền-agile của chúng tôi, sẽ có bảy hoặc tám tầng lớp giữa cấp cao nhất và cấp thấp nhất của công ty. Giờ đây, ở phần lớn công ty, chúng tôi chỉ còn ba tầng. Kết quả là mọi thứ nhanh hơn rất nhiều."</w:t>
      </w:r>
    </w:p>
    <w:p>
      <w:pPr>
        <w:spacing w:after="80"/>
      </w:pPr>
      <w:r>
        <w:rPr>
          <w:b/>
          <w:i/>
        </w:rPr>
        <w:t>— Joe McCollum, cựu Giám đốc Nhân sự Tập đoàn, Spark New Zealand</w:t>
      </w:r>
    </w:p>
    <w:p>
      <w:pPr>
        <w:spacing w:after="80"/>
      </w:pPr>
      <w:r>
        <w:rPr>
          <w:b w:val="0"/>
          <w:i w:val="0"/>
        </w:rPr>
        <w:t>Khi bạn đã diễn đạt rõ "vì sao", bạn có thể giải quyết câu hỏi về việc luận chứng kinh doanh (business case) cho việc áp dụng một mô hình vận hành mới nên là gì. Nhưng việc giải quyết nó—và theo dõi giá trị từ mô hình vận hành—không hề đơn giản để đạt được, bởi vì bạn không phải lúc nào cũng có thể vẽ ra một đường thẳng trực tiếp dẫn tới các lợi ích. Mô hình vận hành là một yếu tố tạo điều kiện cho một tổ chức lấy khách hàng làm trung tâm hơn, đổi mới hơn và hiệu quả hơn.</w:t>
      </w:r>
    </w:p>
    <w:p>
      <w:pPr>
        <w:spacing w:after="80"/>
      </w:pPr>
      <w:r>
        <w:rPr>
          <w:b w:val="0"/>
          <w:i w:val="0"/>
        </w:rPr>
        <w:t>Luận chứng kinh doanh thường dựa trên bốn nguồn giá trị chính (Hình 14.2).</w:t>
      </w:r>
    </w:p>
    <w:p>
      <w:pPr>
        <w:jc w:val="center"/>
      </w:pPr>
      <w:r>
        <w:drawing>
          <wp:inline xmlns:a="http://schemas.openxmlformats.org/drawingml/2006/main" xmlns:pic="http://schemas.openxmlformats.org/drawingml/2006/picture">
            <wp:extent cx="5486400" cy="5592963"/>
            <wp:docPr id="100" name="Picture 100"/>
            <wp:cNvGraphicFramePr>
              <a:graphicFrameLocks noChangeAspect="1"/>
            </wp:cNvGraphicFramePr>
            <a:graphic>
              <a:graphicData uri="http://schemas.openxmlformats.org/drawingml/2006/picture">
                <pic:pic>
                  <pic:nvPicPr>
                    <pic:cNvPr id="0" name="c14ex002.png"/>
                    <pic:cNvPicPr/>
                  </pic:nvPicPr>
                  <pic:blipFill>
                    <a:blip r:embed="rId84"/>
                    <a:stretch>
                      <a:fillRect/>
                    </a:stretch>
                  </pic:blipFill>
                  <pic:spPr>
                    <a:xfrm>
                      <a:off x="0" y="0"/>
                      <a:ext cx="5486400" cy="5592963"/>
                    </a:xfrm>
                    <a:prstGeom prst="rect"/>
                  </pic:spPr>
                </pic:pic>
              </a:graphicData>
            </a:graphic>
          </wp:inline>
        </w:drawing>
      </w:r>
    </w:p>
    <w:p>
      <w:pPr>
        <w:spacing w:after="160"/>
        <w:jc w:val="center"/>
      </w:pPr>
      <w:r>
        <w:rPr>
          <w:rFonts w:ascii="Calibri" w:hAnsi="Calibri"/>
          <w:b w:val="0"/>
          <w:i/>
          <w:sz w:val="19"/>
        </w:rPr>
        <w:t>HÌNH 14.2</w:t>
      </w:r>
    </w:p>
    <w:p>
      <w:pPr>
        <w:jc w:val="center"/>
      </w:pPr>
      <w:r>
        <w:drawing>
          <wp:inline xmlns:a="http://schemas.openxmlformats.org/drawingml/2006/main" xmlns:pic="http://schemas.openxmlformats.org/drawingml/2006/picture">
            <wp:extent cx="457200" cy="447675"/>
            <wp:docPr id="101" name="Picture 101"/>
            <wp:cNvGraphicFramePr>
              <a:graphicFrameLocks noChangeAspect="1"/>
            </wp:cNvGraphicFramePr>
            <a:graphic>
              <a:graphicData uri="http://schemas.openxmlformats.org/drawingml/2006/picture">
                <pic:pic>
                  <pic:nvPicPr>
                    <pic:cNvPr id="0" name="RULE_OF_THUMB_orange.png"/>
                    <pic:cNvPicPr/>
                  </pic:nvPicPr>
                  <pic:blipFill>
                    <a:blip r:embed="rId6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QUY TẮC KINH NGHIỆM</w:t>
      </w:r>
    </w:p>
    <w:p>
      <w:pPr>
        <w:pStyle w:val="Heading3"/>
      </w:pPr>
      <w:r>
        <w:rPr>
          <w:rFonts w:ascii="Calibri" w:hAnsi="Calibri"/>
          <w:b/>
          <w:i w:val="0"/>
          <w:sz w:val="26"/>
        </w:rPr>
        <w:t>Phát triển một bản thiết kế mất bao lâu</w:t>
      </w:r>
    </w:p>
    <w:p>
      <w:pPr>
        <w:spacing w:after="80"/>
      </w:pPr>
      <w:r>
        <w:rPr>
          <w:b w:val="0"/>
          <w:i w:val="0"/>
        </w:rPr>
        <w:t>Theo kinh nghiệm của chúng tôi, cần ba tháng hoặc hơn làm việc nghiêm túc để thiết kế một bản thiết kế chuyển đổi mô hình vận hành. Nghe có vẻ lâu, nhưng hãy nhớ điều này: Đây không phải là một cuộc tái cơ cấu nơi bạn xáo trộn các ô và đường kẻ. Thay vào đó, đó là một bản thiết kế cho một cách vận hành công ty mới.</w:t>
      </w:r>
    </w:p>
    <w:p>
      <w:pPr>
        <w:pStyle w:val="Heading2"/>
      </w:pPr>
      <w:r>
        <w:rPr>
          <w:rFonts w:ascii="Calibri" w:hAnsi="Calibri"/>
          <w:b/>
          <w:i w:val="0"/>
          <w:sz w:val="32"/>
        </w:rPr>
        <w:t>Phạm vi và thiết kế đơn vị</w:t>
      </w:r>
    </w:p>
    <w:p>
      <w:pPr>
        <w:spacing w:after="80"/>
      </w:pPr>
      <w:r>
        <w:rPr>
          <w:b w:val="0"/>
          <w:i w:val="0"/>
        </w:rPr>
        <w:t>Thiết kế cơ cấu đòi hỏi phải xác định rõ những phần nào của công ty sẽ nằm trong mô hình (nói cách khác, là xác định phạm vi của mô hình) và thiết kế các đơn vị vận hành khác nhau.</w:t>
      </w:r>
    </w:p>
    <w:p>
      <w:pPr>
        <w:pStyle w:val="Heading3"/>
      </w:pPr>
      <w:r>
        <w:rPr>
          <w:rFonts w:ascii="Calibri" w:hAnsi="Calibri"/>
          <w:b/>
          <w:i w:val="0"/>
          <w:sz w:val="26"/>
        </w:rPr>
        <w:t>Phạm vi của mô hình: Cân bằng giữa tác động và tính dễ triển khai</w:t>
      </w:r>
    </w:p>
    <w:p>
      <w:pPr>
        <w:spacing w:after="80"/>
      </w:pPr>
      <w:r>
        <w:rPr>
          <w:b w:val="0"/>
          <w:i w:val="0"/>
        </w:rPr>
        <w:t>Việc chọn những phần nào của tổ chức sẽ chuyển sang mô hình vận hành mới không đơn giản như người ta tưởng. Những cân nhắc chính là:</w:t>
      </w:r>
    </w:p>
    <w:p>
      <w:pPr>
        <w:spacing w:after="80"/>
        <w:ind w:left="360"/>
      </w:pPr>
      <w:r>
        <w:t xml:space="preserve">• </w:t>
      </w:r>
      <w:r>
        <w:rPr>
          <w:b/>
          <w:i w:val="0"/>
        </w:rPr>
        <w:t>Phạm vi kinh doanh.</w:t>
      </w:r>
      <w:r>
        <w:rPr>
          <w:b w:val="0"/>
          <w:i w:val="0"/>
        </w:rPr>
        <w:t xml:space="preserve"> Bạn sẽ tập trung vào một bộ phận hoặc đơn vị kinh doanh cụ thể, hay áp dụng mô hình trên toàn bộ công ty? Câu trả lời thường phụ thuộc vào mức độ tách biệt giữa các mảng kinh doanh khác nhau và quan điểm của bạn về việc phần nào của doanh nghiệp sẽ hưởng lợi nhiều nhất từ mô hình này.</w:t>
      </w:r>
    </w:p>
    <w:p>
      <w:pPr>
        <w:spacing w:after="80"/>
        <w:ind w:left="360"/>
      </w:pPr>
      <w:r>
        <w:t xml:space="preserve">• </w:t>
      </w:r>
      <w:r>
        <w:rPr>
          <w:b/>
          <w:i w:val="0"/>
        </w:rPr>
        <w:t>Phạm vi thay đổi so với vận hành.</w:t>
      </w:r>
      <w:r>
        <w:rPr>
          <w:b w:val="0"/>
          <w:i w:val="0"/>
        </w:rPr>
        <w:t xml:space="preserve"> Bạn sẽ chỉ giải quyết các hoạt động thay đổi, như ra mắt sản phẩm mới, hay sẽ bao gồm cả quản lý P&amp;L đầy đủ, ví dụ như định giá và phân khúc khách hàng? Cách nhìn hẹp hơn thì dễ triển khai hơn nhưng ít gắn kết hơn với việc quản lý doanh nghiệp từ đầu đến cuối.</w:t>
      </w:r>
    </w:p>
    <w:p>
      <w:pPr>
        <w:spacing w:after="80"/>
        <w:ind w:left="360"/>
      </w:pPr>
      <w:r>
        <w:t xml:space="preserve">• </w:t>
      </w:r>
      <w:r>
        <w:rPr>
          <w:b/>
          <w:i w:val="0"/>
        </w:rPr>
        <w:t>Phạm vi vận hành.</w:t>
      </w:r>
      <w:r>
        <w:rPr>
          <w:b w:val="0"/>
          <w:i w:val="0"/>
        </w:rPr>
        <w:t xml:space="preserve"> Bạn sẽ bao gồm các nhóm tập trung vào hoạt động hàng ngày như trung tâm cuộc gọi hay dây chuyền sản xuất? Việc tích hợp những nhóm này có thể dẫn đến kết quả tốt hơn nhờ mối liên kết chặt chẽ giữa việc phát triển các giải pháp năng suất và tự động hóa với chính hoạt động vận hành nơi chúng được áp dụng. Nhưng điều này cũng làm tăng độ phức tạp khi triển khai.</w:t>
      </w:r>
    </w:p>
    <w:p>
      <w:pPr>
        <w:spacing w:after="80"/>
        <w:ind w:left="360"/>
      </w:pPr>
      <w:r>
        <w:t xml:space="preserve">• </w:t>
      </w:r>
      <w:r>
        <w:rPr>
          <w:b/>
          <w:i w:val="0"/>
        </w:rPr>
        <w:t>Phạm vi các chức năng doanh nghiệp.</w:t>
      </w:r>
      <w:r>
        <w:rPr>
          <w:b w:val="0"/>
          <w:i w:val="0"/>
        </w:rPr>
        <w:t xml:space="preserve"> Bạn sẽ đưa các chức năng doanh nghiệp vào mô hình và nếu có thì những chức năng nào? Các chức năng doanh nghiệp không chỉ là những đơn vị hỗ trợ—chúng có thể là những đơn vị tiên phong trong việc áp dụng các cách làm việc mới. Điều này hấp dẫn nhưng một lần nữa, nó cũng làm tăng độ phức tạp.</w:t>
      </w:r>
    </w:p>
    <w:p>
      <w:pPr>
        <w:spacing w:after="80"/>
      </w:pPr>
      <w:r>
        <w:rPr>
          <w:b w:val="0"/>
          <w:i w:val="0"/>
        </w:rPr>
        <w:t>Việc xác định phạm vi đòi hỏi sự hợp tác ở cấp lãnh đạo cao nhất (C-suite). Chắc chắn sẽ có những thời điểm căng thẳng và bất đồng, nhưng vượt qua được chúng chính là con đường dẫn đến sự tin tưởng và thống nhất.</w:t>
      </w:r>
    </w:p>
    <w:p>
      <w:pPr>
        <w:pStyle w:val="Heading3"/>
      </w:pPr>
      <w:r>
        <w:rPr>
          <w:rFonts w:ascii="Calibri" w:hAnsi="Calibri"/>
          <w:b/>
          <w:i w:val="0"/>
          <w:sz w:val="26"/>
        </w:rPr>
        <w:t>Thiết kế đơn vị: Trung thành với mô hình</w:t>
      </w:r>
    </w:p>
    <w:p>
      <w:pPr>
        <w:spacing w:after="80"/>
      </w:pPr>
      <w:r>
        <w:rPr>
          <w:b w:val="0"/>
          <w:i w:val="0"/>
        </w:rPr>
        <w:t>Kết quả cuối cùng của thiết kế này là cái mà chúng tôi gọi là tấm lót doanh nghiệp (enterprise placemat), tức là bản đồ hóa tất cả các đơn vị vận hành trên một trang. Hình 14.3 cung cấp một cấu trúc mô hình vận hành đơn giản hóa dưới dạng tấm lót cho ba ngành khác nhau. Dù tấm lót này chắc chắn sẽ thay đổi, việc phác thảo nó sớm là một ý tưởng hay.</w:t>
      </w:r>
    </w:p>
    <w:p>
      <w:pPr>
        <w:spacing w:after="80"/>
      </w:pPr>
      <w:r>
        <w:rPr>
          <w:b w:val="0"/>
          <w:i w:val="0"/>
        </w:rPr>
        <w:t>Mỗi đơn vị này bao gồm nhân viên, ứng dụng và ngân sách. Mỗi đơn vị có một đội ngũ lãnh đạo, một lộ trình chiến lược và các OKR. Các lĩnh vực dọc (vertical domains) quản lý và không ngừng cải thiện trải nghiệm khách hàng. Các nền tảng ngang (horizontal platforms) chứa các năng lực được chia sẻ và tái sử dụng.</w:t>
      </w:r>
    </w:p>
    <w:p>
      <w:pPr>
        <w:spacing w:after="80"/>
      </w:pPr>
      <w:r>
        <w:rPr>
          <w:b w:val="0"/>
          <w:i w:val="0"/>
        </w:rPr>
        <w:t>Các lĩnh vực dọc sở hữu các ứng dụng công nghệ đặc thù cho lĩnh vực của mình, trong khi các nền tảng ngang sở hữu các ứng dụng và dịch vụ công nghệ được chia sẻ. Các chương (chapters) thúc đẩy sự xuất sắc trong tay nghề và quản lý nguồn cung nhân tài chất lượng cho các lĩnh vực dọc và nền tảng ngang.</w:t>
      </w:r>
    </w:p>
    <w:p>
      <w:pPr>
        <w:spacing w:after="80"/>
      </w:pPr>
      <w:r>
        <w:rPr>
          <w:b w:val="0"/>
          <w:i w:val="0"/>
        </w:rPr>
        <w:t>Điều thú vị là, những thay đổi ở tầng quản lý cấp cao ngay dưới CEO thường rất ít trong kiểu chuyển đổi mô hình vận hành này. Thay đổi thực sự diễn ra ở một hoặc hai cấp dưới, nơi công việc thực sự được thực hiện. Các lĩnh vực dọc và nền tảng ngang thường sẽ báo cáo lên một vị trí N-1 hoặc N-2 trong cơ cấu tổ chức hiện tại.</w:t>
      </w:r>
    </w:p>
    <w:p>
      <w:pPr>
        <w:spacing w:after="80"/>
      </w:pPr>
      <w:r>
        <w:rPr>
          <w:b w:val="0"/>
          <w:i w:val="0"/>
        </w:rPr>
        <w:t>Mỗi lĩnh vực (domain) và nền tảng (platform) đều có cấu trúc nhất quán riêng, như thể hiện ở Phụ lục 14.4. Một đội ngũ lãnh đạo liên chức năng (cross-functional leadership team), đứng đầu là chủ sở hữu lĩnh vực (hoặc nền tảng), dẫn dắt đơn vị này. Vì những đơn vị này có thể chứa hàng trăm, đôi khi hàng nghìn người, chúng được chia nhỏ thành các nhóm hợp lý, mỗi nhóm có đội ngũ lãnh đạo riêng. Mỗi nhóm bao gồm các đội liên chức năng và các đơn vị vận hành.</w:t>
      </w:r>
    </w:p>
    <w:p>
      <w:pPr>
        <w:jc w:val="center"/>
      </w:pPr>
      <w:r>
        <w:drawing>
          <wp:inline xmlns:a="http://schemas.openxmlformats.org/drawingml/2006/main" xmlns:pic="http://schemas.openxmlformats.org/drawingml/2006/picture">
            <wp:extent cx="5486400" cy="5078186"/>
            <wp:docPr id="102" name="Picture 102"/>
            <wp:cNvGraphicFramePr>
              <a:graphicFrameLocks noChangeAspect="1"/>
            </wp:cNvGraphicFramePr>
            <a:graphic>
              <a:graphicData uri="http://schemas.openxmlformats.org/drawingml/2006/picture">
                <pic:pic>
                  <pic:nvPicPr>
                    <pic:cNvPr id="0" name="c14ex003.png"/>
                    <pic:cNvPicPr/>
                  </pic:nvPicPr>
                  <pic:blipFill>
                    <a:blip r:embed="rId85"/>
                    <a:stretch>
                      <a:fillRect/>
                    </a:stretch>
                  </pic:blipFill>
                  <pic:spPr>
                    <a:xfrm>
                      <a:off x="0" y="0"/>
                      <a:ext cx="5486400" cy="5078186"/>
                    </a:xfrm>
                    <a:prstGeom prst="rect"/>
                  </pic:spPr>
                </pic:pic>
              </a:graphicData>
            </a:graphic>
          </wp:inline>
        </w:drawing>
      </w:r>
    </w:p>
    <w:p>
      <w:pPr>
        <w:spacing w:after="160"/>
        <w:jc w:val="center"/>
      </w:pPr>
      <w:r>
        <w:rPr>
          <w:rFonts w:ascii="Calibri" w:hAnsi="Calibri"/>
          <w:b w:val="0"/>
          <w:i/>
          <w:sz w:val="19"/>
        </w:rPr>
        <w:t>PHỤ LỤC 14.3</w:t>
      </w:r>
    </w:p>
    <w:p>
      <w:pPr>
        <w:jc w:val="center"/>
      </w:pPr>
      <w:r>
        <w:drawing>
          <wp:inline xmlns:a="http://schemas.openxmlformats.org/drawingml/2006/main" xmlns:pic="http://schemas.openxmlformats.org/drawingml/2006/picture">
            <wp:extent cx="5486400" cy="6625087"/>
            <wp:docPr id="103" name="Picture 103"/>
            <wp:cNvGraphicFramePr>
              <a:graphicFrameLocks noChangeAspect="1"/>
            </wp:cNvGraphicFramePr>
            <a:graphic>
              <a:graphicData uri="http://schemas.openxmlformats.org/drawingml/2006/picture">
                <pic:pic>
                  <pic:nvPicPr>
                    <pic:cNvPr id="0" name="c14ex004.png"/>
                    <pic:cNvPicPr/>
                  </pic:nvPicPr>
                  <pic:blipFill>
                    <a:blip r:embed="rId86"/>
                    <a:stretch>
                      <a:fillRect/>
                    </a:stretch>
                  </pic:blipFill>
                  <pic:spPr>
                    <a:xfrm>
                      <a:off x="0" y="0"/>
                      <a:ext cx="5486400" cy="6625087"/>
                    </a:xfrm>
                    <a:prstGeom prst="rect"/>
                  </pic:spPr>
                </pic:pic>
              </a:graphicData>
            </a:graphic>
          </wp:inline>
        </w:drawing>
      </w:r>
    </w:p>
    <w:p>
      <w:pPr>
        <w:spacing w:after="160"/>
        <w:jc w:val="center"/>
      </w:pPr>
      <w:r>
        <w:rPr>
          <w:rFonts w:ascii="Calibri" w:hAnsi="Calibri"/>
          <w:b w:val="0"/>
          <w:i/>
          <w:sz w:val="19"/>
        </w:rPr>
        <w:t>PHỤ LỤC 14.4</w:t>
      </w:r>
    </w:p>
    <w:p>
      <w:pPr>
        <w:spacing w:after="80"/>
      </w:pPr>
      <w:r>
        <w:rPr>
          <w:b/>
          <w:i/>
        </w:rPr>
        <w:t>Ý tưởng mạnh mẽ trong cấu trúc của mô hình lĩnh vực &amp; nền tảng là gom mọi thứ cần thiết để thúc đẩy hiệu suất về dưới một mái nhà</w:t>
      </w:r>
      <w:r>
        <w:rPr>
          <w:b/>
          <w:i w:val="0"/>
        </w:rPr>
        <w:t>.</w:t>
      </w:r>
    </w:p>
    <w:p>
      <w:pPr>
        <w:spacing w:after="80"/>
      </w:pPr>
      <w:r>
        <w:rPr>
          <w:b w:val="0"/>
          <w:i w:val="0"/>
        </w:rPr>
        <w:t>Đối với mỗi loại đơn vị vận hành, cần có một bộ vai trò lãnh đạo, tỷ lệ (ví dụ, số đội trên mỗi nhóm) và các kiểu mẫu đội (archetype) được xác định rõ ràng (ví dụ: liên chức năng hoặc tự quản). Việc giữ vững lập trường đối với những rào chắn thiết kế tổ chức (organizational design guardrails) này ngay từ đầu là cực kỳ quan trọng để duy trì sự gắn kết và nhất quán (dù tất nhiên, như mọi thứ, sẽ có những ngoại lệ).</w:t>
      </w:r>
    </w:p>
    <w:p>
      <w:pPr>
        <w:jc w:val="center"/>
      </w:pPr>
      <w:r>
        <w:drawing>
          <wp:inline xmlns:a="http://schemas.openxmlformats.org/drawingml/2006/main" xmlns:pic="http://schemas.openxmlformats.org/drawingml/2006/picture">
            <wp:extent cx="457200" cy="447675"/>
            <wp:docPr id="104" name="Picture 104"/>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Hãy đảm bảo nhân tài của bạn đã sẵn sàng</w:t>
      </w:r>
    </w:p>
    <w:p>
      <w:pPr>
        <w:spacing w:after="80"/>
      </w:pPr>
      <w:r>
        <w:rPr>
          <w:b w:val="0"/>
          <w:i w:val="0"/>
        </w:rPr>
        <w:t>Chỉ đơn thuần chuyển các vai trò hiện tại sang mô hình vận hành mới sẽ hạn chế tiềm năng chuyển đổi thực sự. Trong nhiều trường hợp, nhân tài phù hợp sẽ không có sẵn ngay từ ngày đầu tiên. Đó là cơ hội để đánh giá lại và định nghĩa lại các kỹ năng và nhân tài cần thiết nhằm đảm bảo cấu trúc mới thành công.</w:t>
      </w:r>
    </w:p>
    <w:p>
      <w:pPr>
        <w:pStyle w:val="Heading2"/>
      </w:pPr>
      <w:r>
        <w:rPr>
          <w:rFonts w:ascii="Calibri" w:hAnsi="Calibri"/>
          <w:b/>
          <w:i w:val="0"/>
          <w:sz w:val="32"/>
        </w:rPr>
        <w:t>Hệ thống quản lý</w:t>
      </w:r>
    </w:p>
    <w:p>
      <w:pPr>
        <w:spacing w:after="80"/>
      </w:pPr>
      <w:r>
        <w:rPr>
          <w:b w:val="0"/>
          <w:i w:val="0"/>
        </w:rPr>
        <w:t>Khi các đơn vị tổ chức đã được xác định, câu hỏi tiếp theo là công ty sẽ quản trị công việc như thế nào. Chúng tôi gọi đây là "hệ thống quản lý" (management system).</w:t>
      </w:r>
    </w:p>
    <w:p>
      <w:pPr>
        <w:spacing w:after="80"/>
      </w:pPr>
      <w:r>
        <w:rPr>
          <w:b w:val="0"/>
          <w:i w:val="0"/>
        </w:rPr>
        <w:t>Bốn quy trình đáng được chú ý đặc biệt:</w:t>
      </w:r>
    </w:p>
    <w:p>
      <w:pPr>
        <w:spacing w:after="80"/>
      </w:pPr>
      <w:r>
        <w:rPr>
          <w:b/>
          <w:i w:val="0"/>
        </w:rPr>
        <w:t>Thiết lập quyền ra quyết định: Tạo sự gắn kết trong một mô hình phân tán.</w:t>
      </w:r>
      <w:r>
        <w:rPr>
          <w:b w:val="0"/>
          <w:i w:val="0"/>
        </w:rPr>
        <w:t xml:space="preserve"> Quyền ra quyết định (decision rights) xác định ai được quyết định điều gì. Đó là việc phân bổ quyền hạn một cách rõ ràng đối với những lựa chọn then chốt: những quyết định nào một đội có thể tự đưa ra, những quyết định nào cần sự thống nhất với người khác, và những quyết định nào phải được chuyển lên các nhà lãnh đạo cấp doanh nghiệp (Phụ lục 14.5).</w:t>
      </w:r>
    </w:p>
    <w:p>
      <w:pPr>
        <w:jc w:val="center"/>
      </w:pPr>
      <w:r>
        <w:drawing>
          <wp:inline xmlns:a="http://schemas.openxmlformats.org/drawingml/2006/main" xmlns:pic="http://schemas.openxmlformats.org/drawingml/2006/picture">
            <wp:extent cx="5486400" cy="4988359"/>
            <wp:docPr id="105" name="Picture 105"/>
            <wp:cNvGraphicFramePr>
              <a:graphicFrameLocks noChangeAspect="1"/>
            </wp:cNvGraphicFramePr>
            <a:graphic>
              <a:graphicData uri="http://schemas.openxmlformats.org/drawingml/2006/picture">
                <pic:pic>
                  <pic:nvPicPr>
                    <pic:cNvPr id="0" name="c14ex005.png"/>
                    <pic:cNvPicPr/>
                  </pic:nvPicPr>
                  <pic:blipFill>
                    <a:blip r:embed="rId87"/>
                    <a:stretch>
                      <a:fillRect/>
                    </a:stretch>
                  </pic:blipFill>
                  <pic:spPr>
                    <a:xfrm>
                      <a:off x="0" y="0"/>
                      <a:ext cx="5486400" cy="4988359"/>
                    </a:xfrm>
                    <a:prstGeom prst="rect"/>
                  </pic:spPr>
                </pic:pic>
              </a:graphicData>
            </a:graphic>
          </wp:inline>
        </w:drawing>
      </w:r>
    </w:p>
    <w:p>
      <w:pPr>
        <w:spacing w:after="160"/>
        <w:jc w:val="center"/>
      </w:pPr>
      <w:r>
        <w:rPr>
          <w:rFonts w:ascii="Calibri" w:hAnsi="Calibri"/>
          <w:b w:val="0"/>
          <w:i/>
          <w:sz w:val="19"/>
        </w:rPr>
        <w:t>PHỤ LỤC 14.5</w:t>
      </w:r>
    </w:p>
    <w:p>
      <w:pPr>
        <w:spacing w:after="80"/>
      </w:pPr>
      <w:r>
        <w:rPr>
          <w:b/>
          <w:i/>
        </w:rPr>
        <w:t>Quyền ra quyết định rõ ràng loại bỏ ma sát ẩn của các tổ chức hiện đại—những phê duyệt chậm chạp, những thương lượng ngầm, những chuyển cấp thụ động, và những khoảnh khắc "Ai thực sự sở hữu việc này?" âm thầm giết chết tốc độ</w:t>
      </w:r>
      <w:r>
        <w:rPr>
          <w:b/>
          <w:i w:val="0"/>
        </w:rPr>
        <w:t>.</w:t>
      </w:r>
    </w:p>
    <w:p>
      <w:pPr>
        <w:spacing w:after="80"/>
      </w:pPr>
      <w:r>
        <w:rPr>
          <w:b w:val="0"/>
          <w:i w:val="0"/>
        </w:rPr>
        <w:t>Trong mô hình lĩnh vực &amp; nền tảng, quyền ra quyết định càng trở nên thiết yếu hơn vì công việc được phân tán khắp nhiều đội độc lập, liên chức năng. Những đội này cần quyền hạn để ưu tiên và tung ra các cải tiến mà không phải chờ đợi các hội đồng; các đội nền tảng phải sở hữu các tiêu chuẩn, API và hạ tầng; và các nhà lãnh đạo cấp doanh nghiệp phải giữ quyền kiểm soát một số ít lựa chọn có tính rủi ro cao, mang tầm doanh nghiệp như những thay đổi kiến trúc lớn, việc phân bổ nguồn lực giữa các lĩnh vực, và các quyết định rủi ro trọng yếu.</w:t>
      </w:r>
    </w:p>
    <w:p>
      <w:pPr>
        <w:spacing w:after="80"/>
      </w:pPr>
      <w:r>
        <w:rPr>
          <w:b w:val="0"/>
          <w:i w:val="0"/>
        </w:rPr>
        <w:t>Khi những ranh giới này rõ ràng, các đội vận hành với sự tự tin và quyền tự chủ, và họ có thể tiến nhanh mà không va chạm nhau. Khi ranh giới mơ hồ, toàn bộ mô hình sụp đổ thành xung đột và trì hoãn—ngay cả khi bạn đã có những đội mạnh trong tay.</w:t>
      </w:r>
    </w:p>
    <w:p>
      <w:pPr>
        <w:spacing w:after="80"/>
      </w:pPr>
      <w:r>
        <w:rPr>
          <w:b/>
          <w:i w:val="0"/>
        </w:rPr>
        <w:t>Tài trợ liên tục dựa trên kết quả.</w:t>
      </w:r>
      <w:r>
        <w:rPr>
          <w:b w:val="0"/>
          <w:i w:val="0"/>
        </w:rPr>
        <w:t xml:space="preserve"> Như hầu hết chúng ta đều biết, mô hình lập ngân sách truyền thống thật thiếu cảm hứng. Mỗi năm, có một quy trình dài dòng trong đó các nhóm khác nhau xây dựng những hồ sơ kinh doanh chi tiết. Ngân sách được phân bổ ở cấp độ dự án. Khi một nhóm hoàn thành dự án đó, chu kỳ tài trợ lại bắt đầu từ đầu.</w:t>
      </w:r>
    </w:p>
    <w:p>
      <w:pPr>
        <w:spacing w:after="80"/>
      </w:pPr>
      <w:r>
        <w:rPr>
          <w:b w:val="0"/>
          <w:i w:val="0"/>
        </w:rPr>
        <w:t>Mỗi dự án đều trải qua các giai đoạn huy động nguồn lực - thực thi - giải tán kéo dài. Cách tiếp cận này gần như đảm bảo tiến độ chậm chạp và kết quả thiếu nhất quán hoặc kém cỏi. Chúng tôi biết mình đang hơi phóng đại, nhưng cũng không xa sự thật là mấy.</w:t>
      </w:r>
    </w:p>
    <w:p>
      <w:pPr>
        <w:spacing w:after="80"/>
      </w:pPr>
      <w:r>
        <w:rPr>
          <w:b w:val="0"/>
          <w:i w:val="0"/>
        </w:rPr>
        <w:t>Mô hình vận hành mới thay vào đó dựa trên "tài trợ liên tục". Các nhà lãnh đạo phân bổ ngân sách cho các domain (lĩnh vực) và platform (nền tảng) mỗi năm một lần dựa trên ưu tiên kinh doanh, giá trị được xác định trong lộ trình chiến lược, và thành tích của các nhóm trong việc bàn giao kết quả. Chúng tôi gọi đó là một "spend envelope" (hạn mức chi tiêu). Các domain và platform sử dụng số tiền đó để đạt được những kết quả mà họ đã nhắm tới.</w:t>
      </w:r>
    </w:p>
    <w:p>
      <w:pPr>
        <w:spacing w:after="80"/>
      </w:pPr>
      <w:r>
        <w:rPr>
          <w:b/>
          <w:i/>
        </w:rPr>
        <w:t>Các nhà lãnh đạo domain và platform có rất nhiều tự do để quyết định cách sử dụng ngân sách của mình. Họ có thể tái phân bổ khi cần thiết dựa trên kết quả và các ưu tiên thay đổi. Bạn cần những nhà lãnh đạo domain và platform biết suy nghĩ và hành động như những doanh nhân</w:t>
      </w:r>
      <w:r>
        <w:rPr>
          <w:b/>
          <w:i w:val="0"/>
        </w:rPr>
        <w:t>.</w:t>
      </w:r>
    </w:p>
    <w:p>
      <w:pPr>
        <w:spacing w:after="80"/>
      </w:pPr>
      <w:r>
        <w:rPr>
          <w:b w:val="0"/>
          <w:i w:val="0"/>
        </w:rPr>
        <w:t>Như bạn có thể đã đoán, việc chuyển sang cách tiếp cận tài trợ này không dễ như chỉ gạt một công tắc. Vì lý do này, CFO cần phải tham gia sâu vào việc thiết kế và triển khai tài trợ liên tục. Nhóm tài chính sẽ phải định nghĩa một cách tiếp cận mới cho việc lập kế hoạch kinh doanh, các phương pháp phân bổ, và theo dõi hiệu suất. Đây thường là một thử thách lớn đối với tổ chức tài chính.</w:t>
      </w:r>
    </w:p>
    <w:p>
      <w:pPr>
        <w:spacing w:after="80"/>
      </w:pPr>
      <w:r>
        <w:rPr>
          <w:b/>
          <w:i w:val="0"/>
        </w:rPr>
        <w:t>Các buổi đánh giá giúp gắn kết chiến lược với thực thi.</w:t>
      </w:r>
      <w:r>
        <w:rPr>
          <w:b w:val="0"/>
          <w:i w:val="0"/>
        </w:rPr>
        <w:t xml:space="preserve"> Nhiều công ty đối mặt với thách thức gắn kết các mục tiêu chiến lược dài hạn với các ưu tiên kỹ thuật và vận hành của các mảng kinh doanh khác nhau. Các nhóm bị chia cắt theo silo, việc quản lý các phụ thuộc phức tạp, và sự minh bạch hạn chế làm chậm tiến độ. Đây chính là lúc quy trình đánh giá kinh doanh hàng quý (QBR - quarterly business review) ra đời.</w:t>
      </w:r>
    </w:p>
    <w:p>
      <w:pPr>
        <w:spacing w:after="80"/>
      </w:pPr>
      <w:r>
        <w:rPr>
          <w:b w:val="0"/>
          <w:i w:val="0"/>
        </w:rPr>
        <w:t>QBR là nền tảng cốt lõi của việc quản lý hiệu suất tốt trong các mô hình vận hành phân tán. Chúng được thiết kế để thu hẹp khoảng cách giữa các mục tiêu chiến lược dài hạn và các ưu tiên vận hành ngắn hạn. Chúng mang lại một buổi điểm danh định kỳ nơi lãnh đạo cấp cao và các nhóm có thể làm ba việc quan trọng:</w:t>
      </w:r>
    </w:p>
    <w:p>
      <w:pPr>
        <w:spacing w:after="80"/>
        <w:ind w:left="360"/>
      </w:pPr>
      <w:r>
        <w:t xml:space="preserve">• </w:t>
      </w:r>
      <w:r>
        <w:rPr>
          <w:b/>
          <w:i w:val="0"/>
        </w:rPr>
        <w:t>Đánh giá tiến độ so với mục tiêu.</w:t>
      </w:r>
      <w:r>
        <w:rPr>
          <w:b w:val="0"/>
          <w:i w:val="0"/>
        </w:rPr>
        <w:t xml:space="preserve"> Lãnh đạo đánh giá hiệu suất so với OKR (objectives and key results - mục tiêu và kết quả then chốt) để đảm bảo các nhóm đang bàn giao kết quả trong hạn mức tài trợ liên tục cố định đã cho.</w:t>
      </w:r>
    </w:p>
    <w:p>
      <w:pPr>
        <w:spacing w:after="80"/>
        <w:ind w:left="360"/>
      </w:pPr>
      <w:r>
        <w:t xml:space="preserve">• </w:t>
      </w:r>
      <w:r>
        <w:rPr>
          <w:b/>
          <w:i w:val="0"/>
        </w:rPr>
        <w:t>Tái sắp xếp ưu tiên công việc.</w:t>
      </w:r>
      <w:r>
        <w:rPr>
          <w:b w:val="0"/>
          <w:i w:val="0"/>
        </w:rPr>
        <w:t xml:space="preserve"> Lãnh đạo tái phân bổ nguồn lực và điều chỉnh ưu tiên trong các hạn mức tài trợ dựa trên hiệu suất và những cơ hội mới nổi.</w:t>
      </w:r>
    </w:p>
    <w:p>
      <w:pPr>
        <w:spacing w:after="80"/>
        <w:ind w:left="360"/>
      </w:pPr>
      <w:r>
        <w:t xml:space="preserve">• </w:t>
      </w:r>
      <w:r>
        <w:rPr>
          <w:b/>
          <w:i w:val="0"/>
        </w:rPr>
        <w:t>Giải quyết các phụ thuộc.</w:t>
      </w:r>
      <w:r>
        <w:rPr>
          <w:b w:val="0"/>
          <w:i w:val="0"/>
        </w:rPr>
        <w:t xml:space="preserve"> Các nhà lãnh đạo xác định và xử lý mọi vấn đề phụ thuộc nghiêm trọng giữa các domain và platform. Ví dụ, nếu một sáng kiến của domain đang bị đình trệ vì một năng lực của platform chưa sẵn sàng, cuộc thảo luận trong QBR có thể xác định cần gì để tăng tốc việc phát triển đó, và biến nó thành hiện thực.</w:t>
      </w:r>
    </w:p>
    <w:p>
      <w:pPr>
        <w:spacing w:after="80"/>
      </w:pPr>
      <w:r>
        <w:rPr>
          <w:b w:val="0"/>
          <w:i w:val="0"/>
        </w:rPr>
        <w:t>QBR thường được điều hành và tổ chức một cách tập trung và thường (nhưng không phải lúc nào cũng vậy) do bộ phận tài chính dẫn dắt. Những người tham gia bao gồm các nhà lãnh đạo của domain và platform, cùng với các giám đốc cấp C (C-suite) để giúp giải quyết xung đột.</w:t>
      </w:r>
    </w:p>
    <w:p>
      <w:pPr>
        <w:spacing w:after="80"/>
      </w:pPr>
      <w:r>
        <w:rPr>
          <w:b w:val="0"/>
          <w:i w:val="0"/>
        </w:rPr>
        <w:t>Trong những ngày đầu, QBR là một trải nghiệm học hỏi. Ban đầu các nhà lãnh đạo tập trung vào việc khoe thành tích của mình. Nhưng theo thời gian, các cuộc thảo luận phát triển thành những tranh luận thẳng thắn, và đôi khi gay gắt, về các đánh đổi và ưu tiên. Những cuộc trò chuyện này không phải lúc nào cũng dễ dàng, nhưng chúng cần thiết—và chúng xây dựng một văn hóa cởi mở và tin cậy.</w:t>
      </w:r>
    </w:p>
    <w:p>
      <w:pPr>
        <w:spacing w:after="80"/>
      </w:pPr>
      <w:r>
        <w:rPr>
          <w:b w:val="0"/>
          <w:i w:val="0"/>
        </w:rPr>
        <w:t>Đến cuối năm đầu tiên, quy trình QBR nên đủ trưởng thành để trở thành một đầu mối giải quyết vấn đề, chứ không chỉ là nơi theo dõi tiến độ.</w:t>
      </w:r>
    </w:p>
    <w:p>
      <w:pPr>
        <w:spacing w:after="80"/>
      </w:pPr>
      <w:r>
        <w:rPr>
          <w:b/>
          <w:i w:val="0"/>
        </w:rPr>
        <w:t>Nhúng các chức năng kiểm soát: Thiết kế các kiểm soát hiệu quả.</w:t>
      </w:r>
      <w:r>
        <w:rPr>
          <w:b w:val="0"/>
          <w:i w:val="0"/>
        </w:rPr>
        <w:t xml:space="preserve"> Các chức năng kiểm soát phải vận hành ít giống như những gờ giảm tốc mà giống như phanh trên một chiếc xe Formula 1. Trong F1, phanh cho phép tay đua vào cua ở tốc độ cao một cách tự tin.</w:t>
      </w:r>
    </w:p>
    <w:p>
      <w:pPr>
        <w:spacing w:after="80"/>
      </w:pPr>
      <w:r>
        <w:rPr>
          <w:b/>
          <w:i/>
        </w:rPr>
        <w:t>Khi các chức năng quản lý rủi ro, tuân thủ, bảo mật, và kiểm toán cung cấp những rào chắn rõ ràng, phản hồi nhanh, và các tiêu chuẩn thông minh, các nhóm có thể đẩy mạnh hơn, bàn giao nhanh hơn, và chấp nhận những rủi ro có tính toán mà không sợ bị mất lái. Các chức năng kiểm soát trở thành những yếu tố hỗ trợ tốc độ, chứ không phải những ràng buộc kìm hãm nó</w:t>
      </w:r>
      <w:r>
        <w:rPr>
          <w:b/>
          <w:i w:val="0"/>
        </w:rPr>
        <w:t>.</w:t>
      </w:r>
    </w:p>
    <w:p>
      <w:pPr>
        <w:spacing w:after="80"/>
      </w:pPr>
      <w:r>
        <w:rPr>
          <w:b w:val="0"/>
          <w:i w:val="0"/>
        </w:rPr>
        <w:t>Chúng ta thường nghe những câu chuyện về các nhóm di chuyển nhanh phải đối mặt với quy trình phê duyệt kéo dài sáu tháng, thường do các nhóm quản lý rủi ro và tuân thủ đưa ra. Hoặc về việc các nhóm rủi ro phát hiện ra vấn đề vào phút chót, dẫn đến những sự chậm trễ lớn.</w:t>
      </w:r>
    </w:p>
    <w:p>
      <w:pPr>
        <w:spacing w:after="80"/>
      </w:pPr>
      <w:r>
        <w:rPr>
          <w:b w:val="0"/>
          <w:i w:val="0"/>
        </w:rPr>
        <w:t>Những vấn đề này thường quy về việc các chức năng kiểm soát (như quản trị rủi ro và tuân thủ) bị coi như rào cản cuối cùng mà đội phát triển phải vượt qua. Vào giai đoạn muộn đó, các vấn đề rủi ro trở nên lớn hơn mức cần thiết, và một mối quan hệ đối đầu hình thành.</w:t>
      </w:r>
    </w:p>
    <w:p>
      <w:pPr>
        <w:spacing w:after="80"/>
      </w:pPr>
      <w:r>
        <w:rPr>
          <w:b w:val="0"/>
          <w:i w:val="0"/>
        </w:rPr>
        <w:t>Luôn có một chút ma sát lành mạnh trong quá trình khi liên quan đến các chức năng kiểm soát. Nhưng việc đưa các chuyên gia kiểm soát đó vào quy trình ngay từ đầu cho phép họ nhận diện các vấn đề tiềm ẩn và tư vấn cách xử lý sớm trước khi chúng trở thành vấn đề lớn (Hình 14.6).</w:t>
      </w:r>
    </w:p>
    <w:p>
      <w:pPr>
        <w:spacing w:after="80"/>
      </w:pPr>
      <w:r>
        <w:rPr>
          <w:b w:val="0"/>
          <w:i w:val="0"/>
        </w:rPr>
        <w:t>Đây là cách QBR hoạt động. Mỗi quý, các đội thực hiện đánh giá rủi ro toàn diện đối với khối lượng công việc dự kiến của họ. Đánh giá này bao gồm tất cả các rủi ro (bao gồm bên thứ ba, tuân thủ, pháp lý, quy định, v.v.) và được hỗ trợ bởi các chuyên gia quản trị rủi ro được chỉ định cho lĩnh vực hoặc nền tảng để đảm bảo việc đánh giá được thực hiện đúng cách.</w:t>
      </w:r>
    </w:p>
    <w:p>
      <w:pPr>
        <w:jc w:val="center"/>
      </w:pPr>
      <w:r>
        <w:drawing>
          <wp:inline xmlns:a="http://schemas.openxmlformats.org/drawingml/2006/main" xmlns:pic="http://schemas.openxmlformats.org/drawingml/2006/picture">
            <wp:extent cx="5486400" cy="5246451"/>
            <wp:docPr id="106" name="Picture 106"/>
            <wp:cNvGraphicFramePr>
              <a:graphicFrameLocks noChangeAspect="1"/>
            </wp:cNvGraphicFramePr>
            <a:graphic>
              <a:graphicData uri="http://schemas.openxmlformats.org/drawingml/2006/picture">
                <pic:pic>
                  <pic:nvPicPr>
                    <pic:cNvPr id="0" name="c14ex006.png"/>
                    <pic:cNvPicPr/>
                  </pic:nvPicPr>
                  <pic:blipFill>
                    <a:blip r:embed="rId88"/>
                    <a:stretch>
                      <a:fillRect/>
                    </a:stretch>
                  </pic:blipFill>
                  <pic:spPr>
                    <a:xfrm>
                      <a:off x="0" y="0"/>
                      <a:ext cx="5486400" cy="5246451"/>
                    </a:xfrm>
                    <a:prstGeom prst="rect"/>
                  </pic:spPr>
                </pic:pic>
              </a:graphicData>
            </a:graphic>
          </wp:inline>
        </w:drawing>
      </w:r>
    </w:p>
    <w:p>
      <w:pPr>
        <w:spacing w:after="160"/>
        <w:jc w:val="center"/>
      </w:pPr>
      <w:r>
        <w:rPr>
          <w:rFonts w:ascii="Calibri" w:hAnsi="Calibri"/>
          <w:b w:val="0"/>
          <w:i/>
          <w:sz w:val="19"/>
        </w:rPr>
        <w:t>HÌNH 14.6</w:t>
      </w:r>
    </w:p>
    <w:p>
      <w:pPr>
        <w:spacing w:after="80"/>
      </w:pPr>
      <w:r>
        <w:rPr>
          <w:b/>
          <w:i/>
        </w:rPr>
        <w:t>Ý tưởng cơ bản là nhúng các chức năng kiểm soát tốt hơn vào cấu trúc của mô hình vận hành mới để khiến các đội chịu trách nhiệm về rủi ro của mình. Điều này ngăn chặn vấn đề "không phải việc của tôi" vốn có thể dẫn đến công việc cẩu thả của các đội</w:t>
      </w:r>
      <w:r>
        <w:rPr>
          <w:b/>
          <w:i w:val="0"/>
        </w:rPr>
        <w:t>.</w:t>
      </w:r>
    </w:p>
    <w:p>
      <w:pPr>
        <w:spacing w:after="80"/>
      </w:pPr>
      <w:r>
        <w:rPr>
          <w:b w:val="0"/>
          <w:i w:val="0"/>
        </w:rPr>
        <w:t>Việc đánh giá tự động kích hoạt sự tham gia của các chức năng kiểm soát chuyên biệt (tuyến phòng thủ thứ hai) tùy thuộc vào mức độ và loại rủi ro.</w:t>
      </w:r>
    </w:p>
    <w:p>
      <w:pPr>
        <w:spacing w:after="80"/>
      </w:pPr>
      <w:r>
        <w:rPr>
          <w:b w:val="0"/>
          <w:i w:val="0"/>
        </w:rPr>
        <w:t>Các cuộc thảo luận về rủi ro cần là một phần của các nghi thức nhóm thường lệ để đảm bảo chúng được giải quyết kịp thời. Trong các nghi thức này, các trưởng nhóm đảm bảo vai trò rõ ràng cho cả bản thân đội (tuyến phòng thủ thứ nhất) và chức năng kiểm soát (tuyến thứ hai) trong việc quản lý một rủi ro cụ thể. Các công ty hàng đầu không chỉ số hóa quy trình nhận diện rủi ro mà còn tự động hóa các kiểm soát rủi ro ("bảo mật dưới dạng mã", chẳng hạn).</w:t>
      </w:r>
    </w:p>
    <w:p>
      <w:pPr>
        <w:spacing w:after="80"/>
      </w:pPr>
      <w:r>
        <w:rPr>
          <w:b w:val="0"/>
          <w:i w:val="0"/>
        </w:rPr>
        <w:t>AI đã mở rộng bối cảnh rủi ro, và các quy trình cần thiết để chống lại nó. Chúng tôi đi vào chi tiết đó trong Chương 34.</w:t>
      </w:r>
    </w:p>
    <w:p>
      <w:pPr>
        <w:pStyle w:val="Heading2"/>
      </w:pPr>
      <w:r>
        <w:rPr>
          <w:rFonts w:ascii="Calibri" w:hAnsi="Calibri"/>
          <w:b/>
          <w:i w:val="0"/>
          <w:sz w:val="32"/>
        </w:rPr>
        <w:t>Cách thức làm việc</w:t>
      </w:r>
    </w:p>
    <w:p>
      <w:pPr>
        <w:spacing w:after="80"/>
      </w:pPr>
      <w:r>
        <w:rPr>
          <w:b w:val="0"/>
          <w:i w:val="0"/>
        </w:rPr>
        <w:t>Thuật ngữ "cách thức làm việc" định nghĩa cách các đội cộng tác, mang lại giá trị và thích ứng với thay đổi. Nó bao gồm vòng đời phân phối giải pháp (SDLC), các phương pháp agile, và các thực hành kỹ thuật phần mềm hiện đại. Chúng tôi thảo luận hai điều đầu tiên chi tiết hơn trong Chương 12; các thực hành kỹ thuật hiện đại được thảo luận thêm trong Chương 19.</w:t>
      </w:r>
    </w:p>
    <w:p>
      <w:pPr>
        <w:pStyle w:val="Heading2"/>
      </w:pPr>
      <w:r>
        <w:rPr>
          <w:rFonts w:ascii="Calibri" w:hAnsi="Calibri"/>
          <w:b/>
          <w:i w:val="0"/>
          <w:sz w:val="32"/>
        </w:rPr>
        <w:t>Con người và văn hóa</w:t>
      </w:r>
    </w:p>
    <w:p>
      <w:pPr>
        <w:spacing w:after="80"/>
      </w:pPr>
      <w:r>
        <w:rPr>
          <w:b w:val="0"/>
          <w:i w:val="0"/>
        </w:rPr>
        <w:t>Các công ty dấn thân vào hành trình này nhận ra sớm rằng để thực sự thay đổi cách họ vận hành, họ cần nhiều hơn là chỉ cấu trúc và quy trình mới—họ còn cần phát triển văn hóa của mình. Gieo hạt giống này từ ngày đầu tiên là điều then chốt để củng cố cách mô hình vận hành mới hoạt động.</w:t>
      </w:r>
    </w:p>
    <w:p>
      <w:pPr>
        <w:spacing w:after="80"/>
      </w:pPr>
      <w:r>
        <w:rPr>
          <w:b w:val="0"/>
          <w:i w:val="0"/>
        </w:rPr>
        <w:t>Thay đổi văn hóa là một nỗ lực phức tạp. Các chuẩn mực văn hóa hiện hữu và cách chúng cản trở trước tiên phải được hiểu rõ. Sau đó đội ngũ lãnh đạo hàng đầu phải đồng lòng về việc thay đổi những chuẩn mực nào và thay đổi chúng thành gì. Và cuối cùng, một nỗ lực thay đổi nghiêm túc phải được thực thi với sự kiên trì trong nhiều năm.</w:t>
      </w:r>
    </w:p>
    <w:p>
      <w:pPr>
        <w:spacing w:after="80"/>
      </w:pPr>
      <w:r>
        <w:rPr>
          <w:b/>
          <w:i w:val="0"/>
        </w:rPr>
        <w:t>Cách lãnh đạo mới:</w:t>
      </w:r>
      <w:r>
        <w:rPr>
          <w:b w:val="0"/>
          <w:i w:val="0"/>
        </w:rPr>
        <w:t xml:space="preserve"> Một thành phần then chốt của sự chuyển dịch văn hóa này là kêu gọi ban lãnh đạo thể hiện rõ vai trò gương mẫu trong sự thay đổi. Các ví dụ đơn giản bao gồm việc CEO và các thành viên ban điều hành khởi động mỗi làn sóng chuyển đổi khi nhân viên bước vào mô hình vận hành mới, phát biểu tại nhiều buổi họp toàn công ty mỗi năm, điều hành các nhóm thảo luận nhỏ để thu thập phản hồi, và phát biểu bên ngoài với các nhà phân tích ngành và khách hàng. Những hành động nổi bật này báo hiệu một cam kết thực sự với thay đổi và thể hiện sự thấu hiểu thực sự về cách mô hình mới này sẽ giúp tổ chức vận hành.</w:t>
      </w:r>
    </w:p>
    <w:p>
      <w:pPr>
        <w:spacing w:after="80"/>
      </w:pPr>
      <w:r>
        <w:rPr>
          <w:b/>
          <w:i w:val="0"/>
        </w:rPr>
        <w:t>Nâng cao kỹ năng nhân tài:</w:t>
      </w:r>
      <w:r>
        <w:rPr>
          <w:b w:val="0"/>
          <w:i w:val="0"/>
        </w:rPr>
        <w:t xml:space="preserve"> Để xây dựng văn hóa, việc nâng cao kỹ năng luôn đóng vai trò quan trọng. Hầu hết các công ty bắt đầu bằng việc thực hiện đánh giá nhân tài toàn diện, xác định các khoảng trống kỹ năng quan trọng và những nhân viên có tiềm năng cao có thể dẫn dắt phong trào. Họ đặc biệt tập trung vào những kỹ năng then chốt giúp mô hình vận hành nền tảng của họ hoạt động tốt.</w:t>
      </w:r>
    </w:p>
    <w:p>
      <w:pPr>
        <w:spacing w:after="80"/>
      </w:pPr>
      <w:r>
        <w:rPr>
          <w:b w:val="0"/>
          <w:i w:val="0"/>
        </w:rPr>
        <w:t>Họ khởi động một loạt chương trình nâng cao kỹ năng phù hợp với nhu cầu của các vai trò và đội khác nhau. Các kỹ sư được đào tạo về các thực hành hiện đại như DevOps và phân phối liên tục, trong khi các chủ sở hữu sản phẩm và trưởng nhóm scrum nhận được huấn luyện về các phương pháp agile.</w:t>
      </w:r>
    </w:p>
    <w:p>
      <w:pPr>
        <w:spacing w:after="80"/>
      </w:pPr>
      <w:r>
        <w:rPr>
          <w:b w:val="0"/>
          <w:i w:val="0"/>
        </w:rPr>
        <w:t>Bạn có thể đọc về việc xây dựng một nền văn hóa mới trong Chương 35.</w:t>
      </w:r>
    </w:p>
    <w:p>
      <w:pPr>
        <w:jc w:val="center"/>
      </w:pPr>
      <w:r>
        <w:drawing>
          <wp:inline xmlns:a="http://schemas.openxmlformats.org/drawingml/2006/main" xmlns:pic="http://schemas.openxmlformats.org/drawingml/2006/picture">
            <wp:extent cx="457200" cy="447675"/>
            <wp:docPr id="107" name="Picture 107"/>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Đi trước khi chạy</w:t>
      </w:r>
    </w:p>
    <w:p>
      <w:pPr>
        <w:spacing w:after="80"/>
      </w:pPr>
      <w:r>
        <w:rPr>
          <w:b w:val="0"/>
          <w:i w:val="0"/>
        </w:rPr>
        <w:t>Nếu bạn đang cân nhắc thay đổi mô hình vận hành, bạn nên nắm vững phần nào các cách làm việc mới. Cụ thể, tổ chức của bạn nên đã dựng lên được năm đến mười đội có khả năng phát triển và đưa vào vận hành các giải pháp dựa trên phần mềm.</w:t>
      </w:r>
    </w:p>
    <w:p>
      <w:pPr>
        <w:pStyle w:val="Heading2"/>
      </w:pPr>
      <w:r>
        <w:rPr>
          <w:rFonts w:ascii="Calibri" w:hAnsi="Calibri"/>
          <w:b/>
          <w:i w:val="0"/>
          <w:sz w:val="32"/>
        </w:rPr>
        <w:t>Công cụ</w:t>
      </w:r>
    </w:p>
    <w:p>
      <w:pPr>
        <w:spacing w:after="80"/>
      </w:pPr>
      <w:r>
        <w:rPr>
          <w:b w:val="0"/>
          <w:i w:val="0"/>
        </w:rPr>
        <w:t>Thật dễ dàng để quản lý năm đến mười đội agile bằng Excel và PowerPoint. Tuy nhiên, không thể quản lý hàng trăm đội bằng những công cụ đó. Công cụ là một trong những khía cạnh bị xem nhẹ nhất khi chuyển sang một mô hình vận hành mới, và đó là lý do chúng tôi biến nó thành một mục riêng trong khung của mình.</w:t>
      </w:r>
    </w:p>
    <w:p>
      <w:pPr>
        <w:spacing w:after="80"/>
      </w:pPr>
      <w:r>
        <w:rPr>
          <w:b w:val="0"/>
          <w:i w:val="0"/>
        </w:rPr>
        <w:t>Công cụ đóng vai trò then chốt trong việc hỗ trợ bốn công việc lớn:</w:t>
      </w:r>
    </w:p>
    <w:p>
      <w:pPr>
        <w:spacing w:after="80"/>
        <w:ind w:left="360"/>
      </w:pPr>
      <w:r>
        <w:t xml:space="preserve">• </w:t>
      </w:r>
      <w:r>
        <w:rPr>
          <w:b/>
          <w:i w:val="0"/>
        </w:rPr>
        <w:t>Quản lý luồng công việc của đội.</w:t>
      </w:r>
      <w:r>
        <w:rPr>
          <w:b w:val="0"/>
          <w:i w:val="0"/>
        </w:rPr>
        <w:t xml:space="preserve"> Các công cụ như Jira và Confluence cung cấp một không gian tập trung để các đội lập kế hoạch, theo dõi và quản lý công việc của mình cũng như các phụ thuộc chéo giữa các đội. Chúng được dùng ở hầu hết các công ty.</w:t>
      </w:r>
    </w:p>
    <w:p>
      <w:pPr>
        <w:spacing w:after="80"/>
        <w:ind w:left="360"/>
      </w:pPr>
      <w:r>
        <w:t xml:space="preserve">• </w:t>
      </w:r>
      <w:r>
        <w:rPr>
          <w:b/>
          <w:i w:val="0"/>
        </w:rPr>
        <w:t>Quản lý OKR và QBR.</w:t>
      </w:r>
      <w:r>
        <w:rPr>
          <w:b w:val="0"/>
          <w:i w:val="0"/>
        </w:rPr>
        <w:t xml:space="preserve"> Các nhà lãnh đạo domain và platform cần một công cụ luồng công việc và bảng điều khiển cung cấp khả năng hiển thị theo thời gian thực về OKR của các đội họ. Điều này cho phép họ nhanh chóng nhận ra các lỗ hổng và điều chỉnh hướng đi. Cùng một công cụ đó hỗ trợ quy trình QBR và làm nó nhẹ nhàng đi một cách triệt để.</w:t>
      </w:r>
    </w:p>
    <w:p>
      <w:pPr>
        <w:spacing w:after="80"/>
        <w:ind w:left="360"/>
      </w:pPr>
      <w:r>
        <w:t xml:space="preserve">• </w:t>
      </w:r>
      <w:r>
        <w:rPr>
          <w:b/>
          <w:i w:val="0"/>
        </w:rPr>
        <w:t>Bố trí nhân sự.</w:t>
      </w:r>
      <w:r>
        <w:rPr>
          <w:b w:val="0"/>
          <w:i w:val="0"/>
        </w:rPr>
        <w:t xml:space="preserve"> Cần có công cụ để khớp nguồn nhân lực sẵn có với nhu cầu đang thay đổi của các domain và platform. Điều đó đòi hỏi một cái nhìn toàn diện về cung và cầu, đi sâu đến kỹ năng, chứng chỉ, kinh nghiệm, địa điểm, phân công hiện tại và phụ cấp công tác để đưa ra các quyết định phân bổ nhân sự hiệu quả.</w:t>
      </w:r>
    </w:p>
    <w:p>
      <w:pPr>
        <w:spacing w:after="80"/>
        <w:ind w:left="360"/>
      </w:pPr>
      <w:r>
        <w:t xml:space="preserve">• </w:t>
      </w:r>
      <w:r>
        <w:rPr>
          <w:b/>
          <w:i w:val="0"/>
        </w:rPr>
        <w:t>Quản lý tài chính.</w:t>
      </w:r>
      <w:r>
        <w:rPr>
          <w:b w:val="0"/>
          <w:i w:val="0"/>
        </w:rPr>
        <w:t xml:space="preserve"> Công cụ cần theo dõi cả chi phí vận hành lẫn chi phí đầu tư, và tính đến việc phân bổ chi phí gián tiếp. Nó nên hỗ trợ việc chuyển từ tài trợ theo dự án sang tài trợ liên tục. Và cuối cùng, nó nên liên kết các phân công nhân sự với ngân sách.</w:t>
      </w:r>
    </w:p>
    <w:p>
      <w:pPr>
        <w:spacing w:after="80"/>
      </w:pPr>
      <w:r>
        <w:rPr>
          <w:b w:val="0"/>
          <w:i w:val="0"/>
        </w:rPr>
        <w:t>Điểm đột phá lớn là khi tất cả những công cụ này được tích hợp lại. Ví dụ: khi một nhà khoa học dữ liệu được phân công vào data platform, chi phí cho vai trò đó giờ đây là một phần trong hạn mức chi tiêu của data platform và công việc được theo dõi trong Jira được gắn với OKR của data platform.</w:t>
      </w:r>
    </w:p>
    <w:p>
      <w:pPr>
        <w:spacing w:after="80"/>
      </w:pPr>
      <w:r>
        <w:rPr>
          <w:b w:val="0"/>
          <w:i w:val="0"/>
        </w:rPr>
        <w:t>Đối với một digital factory, bạn thường có thể xoay xở bằng cách dùng các công cụ hiện có. Nhưng với các mô hình domain &amp; platform và toàn doanh nghiệp liên quan đến hàng nghìn người, bạn sẽ cần một bản nâng cấp.</w:t>
      </w:r>
    </w:p>
    <w:p>
      <w:pPr>
        <w:spacing w:after="80"/>
      </w:pPr>
      <w:r>
        <w:rPr>
          <w:b w:val="0"/>
          <w:i w:val="0"/>
        </w:rPr>
        <w:t>Các công cụ đóng gói sẵn đang tiến hóa nhanh chóng, nhưng công bằng mà nói thì chưa có gói SaaS nào hiện nay thực sự là cắm là chạy ngay ở quy mô lớn. Các tổ chức trải qua những thay đổi quy mô lớn này thường làm việc với các nhà cung cấp công cụ để phát triển một giải pháp riêng cho mô hình vận hành của họ.</w:t>
      </w:r>
    </w:p>
    <w:p>
      <w:pPr>
        <w:jc w:val="center"/>
      </w:pPr>
      <w:r>
        <w:drawing>
          <wp:inline xmlns:a="http://schemas.openxmlformats.org/drawingml/2006/main" xmlns:pic="http://schemas.openxmlformats.org/drawingml/2006/picture">
            <wp:extent cx="1905000" cy="95250"/>
            <wp:docPr id="108" name="Picture 108"/>
            <wp:cNvGraphicFramePr>
              <a:graphicFrameLocks noChangeAspect="1"/>
            </wp:cNvGraphicFramePr>
            <a:graphic>
              <a:graphicData uri="http://schemas.openxmlformats.org/drawingml/2006/picture">
                <pic:pic>
                  <pic:nvPicPr>
                    <pic:cNvPr id="0" name="CHAPTEREND_RULE_orange.png"/>
                    <pic:cNvPicPr/>
                  </pic:nvPicPr>
                  <pic:blipFill>
                    <a:blip r:embed="rId74"/>
                    <a:stretch>
                      <a:fillRect/>
                    </a:stretch>
                  </pic:blipFill>
                  <pic:spPr>
                    <a:xfrm>
                      <a:off x="0" y="0"/>
                      <a:ext cx="1905000" cy="95250"/>
                    </a:xfrm>
                    <a:prstGeom prst="rect"/>
                  </pic:spPr>
                </pic:pic>
              </a:graphicData>
            </a:graphic>
          </wp:inline>
        </w:drawing>
      </w:r>
    </w:p>
    <w:p>
      <w:pPr>
        <w:spacing w:after="80"/>
      </w:pPr>
      <w:r>
        <w:rPr>
          <w:b w:val="0"/>
          <w:i w:val="0"/>
        </w:rPr>
        <w:t>Việc thiết kế bản blueprint tốn thời gian, đòi hỏi phải đi vào chi tiết, và cần sự phối hợp, đồng thuận đáng kể giữa tất cả các giám đốc cấp C và những người ở cấp dưới một bậc. Phần thưởng xứng đáng với công sức bỏ ra.</w:t>
      </w:r>
    </w:p>
    <w:p>
      <w:pPr>
        <w:spacing w:after="80"/>
      </w:pPr>
      <w:r>
        <w:rPr>
          <w:b w:val="0"/>
          <w:i w:val="0"/>
        </w:rPr>
        <w:t>Với nguy cơ lặp lại chính mình, việc chuyển đổi sang một mô hình vận hành phân tán có lẽ là bước đi quan trọng nhất mà một công ty thực hiện để trở thành một doanh nghiệp được tái cấu trúc (rewired). Đó là bởi vì mô hình vận hành phân tán chính là cách bạn khai mở sức mạnh của tốc độ và công nghệ để nắm bắt giá trị kinh doanh trong kỷ nguyên AI.</w:t>
      </w:r>
    </w:p>
    <w:p>
      <w:pPr>
        <w:pStyle w:val="Heading2"/>
      </w:pPr>
      <w:r>
        <w:rPr>
          <w:rFonts w:ascii="Calibri" w:hAnsi="Calibri"/>
          <w:b/>
          <w:i w:val="0"/>
          <w:sz w:val="32"/>
        </w:rPr>
        <w:t>Ghi chú</w:t>
      </w:r>
    </w:p>
    <w:p>
      <w:pPr>
        <w:spacing w:after="80"/>
        <w:ind w:left="360"/>
      </w:pPr>
      <w:r>
        <w:t xml:space="preserve">1. </w:t>
      </w:r>
      <w:r>
        <w:rPr>
          <w:b w:val="0"/>
          <w:i w:val="0"/>
        </w:rPr>
        <w:t>1   Mức độ tham gia của các chuyên gia rủi ro sẽ thay đổi tùy theo hồ sơ rủi ro trong công việc của nhóm và kinh nghiệm của chính nhóm đó với các vấn đề rủi ro và tuân thủ.</w:t>
      </w:r>
    </w:p>
    <w:p>
      <w:pPr>
        <w:pStyle w:val="Heading2"/>
      </w:pPr>
      <w:r>
        <w:rPr>
          <w:rFonts w:ascii="Calibri" w:hAnsi="Calibri"/>
          <w:b/>
          <w:i/>
          <w:sz w:val="32"/>
        </w:rPr>
        <w:t>"Đừng bao giờ đánh giá thấp sức mạnh của một nhóm nhỏ những người tận tâm trong việc thay đổi thế giới. Thực tế, đó là điều duy nhất từng làm được điều đó."</w:t>
      </w:r>
    </w:p>
    <w:p>
      <w:pPr>
        <w:spacing w:after="80"/>
      </w:pPr>
      <w:r>
        <w:rPr>
          <w:b/>
          <w:i w:val="0"/>
        </w:rPr>
        <w:t>— Margaret Mead</w:t>
      </w:r>
      <w:r>
        <w:rPr>
          <w:b w:val="0"/>
          <w:i w:val="0"/>
        </w:rPr>
        <w:br/>
        <w:t>&lt;&lt;&lt;|</w:t>
      </w:r>
    </w:p>
    <w:p>
      <w:pPr>
        <w:pStyle w:val="Heading1"/>
      </w:pPr>
    </w:p>
    <w:p>
      <w:pPr>
        <w:spacing w:after="80"/>
      </w:pPr>
    </w:p>
    <w:p>
      <w:pPr>
        <w:spacing w:after="80"/>
      </w:pPr>
    </w:p>
    <w:p>
      <w:pPr>
        <w:spacing w:after="80"/>
        <w:ind w:left="360"/>
      </w:pPr>
      <w:r>
        <w:t xml:space="preserve">1. </w:t>
      </w:r>
    </w:p>
    <w:p>
      <w:pPr>
        <w:spacing w:after="80"/>
        <w:ind w:left="360"/>
      </w:pPr>
      <w:r>
        <w:t xml:space="preserve">2. </w:t>
      </w:r>
    </w:p>
    <w:p>
      <w:pPr>
        <w:spacing w:after="80"/>
        <w:ind w:left="360"/>
      </w:pPr>
      <w:r>
        <w:t xml:space="preserve">3. </w:t>
      </w:r>
    </w:p>
    <w:p>
      <w:pPr>
        <w:pStyle w:val="Heading2"/>
      </w:pPr>
    </w:p>
    <w:p>
      <w:pPr>
        <w:spacing w:after="80"/>
      </w:pPr>
    </w:p>
    <w:p>
      <w:pPr>
        <w:spacing w:after="80"/>
      </w:pPr>
    </w:p>
    <w:p>
      <w:pPr>
        <w:spacing w:after="80"/>
      </w:pPr>
    </w:p>
    <w:p>
      <w:pPr>
        <w:spacing w:after="80"/>
      </w:pPr>
    </w:p>
    <w:p>
      <w:pPr>
        <w:spacing w:after="80"/>
      </w:pPr>
    </w:p>
    <w:p>
      <w:pPr>
        <w:jc w:val="center"/>
      </w:pPr>
      <w:r>
        <w:drawing>
          <wp:inline xmlns:a="http://schemas.openxmlformats.org/drawingml/2006/main" xmlns:pic="http://schemas.openxmlformats.org/drawingml/2006/picture">
            <wp:extent cx="457200" cy="447675"/>
            <wp:docPr id="109" name="Picture 109"/>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Tìm một nhà lãnh đạo có kỹ năng chuyển đổi</w:t>
      </w:r>
    </w:p>
    <w:p>
      <w:pPr>
        <w:spacing w:after="80"/>
      </w:pPr>
      <w:r>
        <w:rPr>
          <w:b w:val="0"/>
          <w:i w:val="0"/>
        </w:rPr>
        <w:t>Nhiều nhà lãnh đạo cấp cao (C-suite) có thể dẫn dắt hiệu quả quá trình chuyển đổi sang một mô hình vận hành mới. Điều quan trọng là họ mang trong mình tư duy xắn tay áo vào việc, hiểu biết sâu sắc về doanh nghiệp, cách tiếp cận thực tế để giải quyết vấn đề, và sự tôn trọng từ các đồng nghiệp.</w:t>
      </w:r>
    </w:p>
    <w:p>
      <w:pPr>
        <w:jc w:val="center"/>
      </w:pPr>
      <w:r>
        <w:drawing>
          <wp:inline xmlns:a="http://schemas.openxmlformats.org/drawingml/2006/main" xmlns:pic="http://schemas.openxmlformats.org/drawingml/2006/picture">
            <wp:extent cx="5486400" cy="6693685"/>
            <wp:docPr id="110" name="Picture 110"/>
            <wp:cNvGraphicFramePr>
              <a:graphicFrameLocks noChangeAspect="1"/>
            </wp:cNvGraphicFramePr>
            <a:graphic>
              <a:graphicData uri="http://schemas.openxmlformats.org/drawingml/2006/picture">
                <pic:pic>
                  <pic:nvPicPr>
                    <pic:cNvPr id="0" name="c15ex001.png"/>
                    <pic:cNvPicPr/>
                  </pic:nvPicPr>
                  <pic:blipFill>
                    <a:blip r:embed="rId89"/>
                    <a:stretch>
                      <a:fillRect/>
                    </a:stretch>
                  </pic:blipFill>
                  <pic:spPr>
                    <a:xfrm>
                      <a:off x="0" y="0"/>
                      <a:ext cx="5486400" cy="6693685"/>
                    </a:xfrm>
                    <a:prstGeom prst="rect"/>
                  </pic:spPr>
                </pic:pic>
              </a:graphicData>
            </a:graphic>
          </wp:inline>
        </w:drawing>
      </w:r>
    </w:p>
    <w:p>
      <w:pPr>
        <w:spacing w:after="160"/>
        <w:jc w:val="center"/>
      </w:pPr>
      <w:r>
        <w:rPr>
          <w:rFonts w:ascii="Calibri" w:hAnsi="Calibri"/>
          <w:b w:val="0"/>
          <w:i/>
          <w:sz w:val="19"/>
        </w:rPr>
        <w:t>TRIỂN LÃM 15.1</w:t>
      </w:r>
    </w:p>
    <w:p>
      <w:pPr>
        <w:pStyle w:val="Heading2"/>
      </w:pPr>
      <w:r>
        <w:rPr>
          <w:rFonts w:ascii="Calibri" w:hAnsi="Calibri"/>
          <w:b/>
          <w:i w:val="0"/>
          <w:sz w:val="32"/>
        </w:rPr>
        <w:t>Tạo đà tiến từng đợt một</w:t>
      </w:r>
    </w:p>
    <w:p>
      <w:pPr>
        <w:spacing w:after="80"/>
      </w:pPr>
      <w:r>
        <w:rPr>
          <w:b w:val="0"/>
          <w:i w:val="0"/>
        </w:rPr>
        <w:t>Mọi thay đổi quy mô lớn đều cần diễn ra theo từng đợt, vì sẽ là quá sốc (và quá rủi ro) nếu cố làm tất cả cùng một lúc. Vậy câu hỏi đặt ra là làm sao xác định quy mô, thứ tự và nhịp độ của những đợt thay đổi đó. Khi được thực hiện tốt, mỗi đợt sẽ tạo đà và sự tự tin cho quá trình chuyển đổi đang diễn ra.</w:t>
      </w:r>
    </w:p>
    <w:p>
      <w:pPr>
        <w:spacing w:after="80"/>
      </w:pPr>
      <w:r>
        <w:rPr>
          <w:b w:val="0"/>
          <w:i w:val="0"/>
        </w:rPr>
        <w:t>Bước đầu tiên là xác định các nhóm lĩnh vực (domain) và nền tảng (platform) hợp lý để tạo thành một đợt. Ví dụ, toàn bộ một bộ phận kinh doanh và các nền tảng doanh nghiệp hỗ trợ nó có thể là một khu vực khép kín cho đợt đầu tiên. Bạn muốn giảm thiểu việc chuyển đổi một phần doanh nghiệp sang mô hình vận hành mới trong khi các phần khác vẫn ở mô hình cũ.</w:t>
      </w:r>
    </w:p>
    <w:p>
      <w:pPr>
        <w:jc w:val="center"/>
      </w:pPr>
      <w:r>
        <w:drawing>
          <wp:inline xmlns:a="http://schemas.openxmlformats.org/drawingml/2006/main" xmlns:pic="http://schemas.openxmlformats.org/drawingml/2006/picture">
            <wp:extent cx="457200" cy="447675"/>
            <wp:docPr id="111" name="Picture 111"/>
            <wp:cNvGraphicFramePr>
              <a:graphicFrameLocks noChangeAspect="1"/>
            </wp:cNvGraphicFramePr>
            <a:graphic>
              <a:graphicData uri="http://schemas.openxmlformats.org/drawingml/2006/picture">
                <pic:pic>
                  <pic:nvPicPr>
                    <pic:cNvPr id="0" name="RULE_OF_THUMB_orange.png"/>
                    <pic:cNvPicPr/>
                  </pic:nvPicPr>
                  <pic:blipFill>
                    <a:blip r:embed="rId6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Khi sự hào hứng với thay đổi bùng lên</w:t>
      </w:r>
    </w:p>
    <w:p>
      <w:pPr>
        <w:spacing w:after="80"/>
      </w:pPr>
      <w:r>
        <w:rPr>
          <w:b w:val="0"/>
          <w:i w:val="0"/>
        </w:rPr>
        <w:t>Các nhà lãnh đạo trong toàn tổ chức nên háo hức tham gia nỗ lực chuyển đổi vào khoảng đợt triển khai thứ ba, được truyền cảm hứng từ những kết quả rõ ràng và những câu chuyện thành công.</w:t>
      </w:r>
    </w:p>
    <w:p>
      <w:pPr>
        <w:spacing w:after="80"/>
      </w:pPr>
      <w:r>
        <w:rPr>
          <w:b w:val="0"/>
          <w:i w:val="0"/>
        </w:rPr>
        <w:t>Quá trình chuyển đổi theo từng đợt cho phép rút ra bài học từ những thành công và thách thức của mỗi đợt, chẳng hạn như cách tiếp cận để xác định và thông báo cho từng cá nhân, hay cách tiếp cận để phân xử phạm vi giữa nền tảng và lĩnh vực. Cẩm nang (playbook) được tinh chỉnh dựa trên những bài học đó cho các đợt tiếp theo.</w:t>
      </w:r>
    </w:p>
    <w:p>
      <w:pPr>
        <w:spacing w:after="80"/>
      </w:pPr>
      <w:r>
        <w:rPr>
          <w:b w:val="0"/>
          <w:i w:val="0"/>
        </w:rPr>
        <w:t>Như có thể dự đoán, nhiều nhà lãnh đạo có thể do dự khi nằm trong đợt thay đổi đầu tiên. Vì vậy, đáng để dành thời gian xác định những người có hồ sơ lãnh đạo phù hợp, cởi mở với thay đổi, ủng hộ quá trình chuyển đổi và có khả năng truyền cảm hứng cho đội ngũ của họ. Họ chính là những người có thể tạo đà tích cực cho các đợt tiếp theo.</w:t>
      </w:r>
    </w:p>
    <w:p>
      <w:pPr>
        <w:spacing w:after="80"/>
      </w:pPr>
      <w:r>
        <w:rPr>
          <w:b w:val="0"/>
          <w:i w:val="0"/>
        </w:rPr>
        <w:t>Thực tế của cách tiếp cận theo từng đợt là tổ chức sẽ cần vận hành ở trạng thái lai (hybrid), duy trì song song hai mô hình vận hành. Sự song hành này tạo thêm độ phức tạp, vì các đội phải xoay xở đồng thời với cả mô hình cũ lẫn mới. Tuy nhiên, thách thức này không phải là không thể vượt qua. Lập kế hoạch tốt và thực thi chặt chẽ có thể rút ngắn thời gian của trạng thái lai này, tăng tốc hành trình chuyển đổi.</w:t>
      </w:r>
    </w:p>
    <w:p>
      <w:pPr>
        <w:jc w:val="center"/>
      </w:pPr>
      <w:r>
        <w:drawing>
          <wp:inline xmlns:a="http://schemas.openxmlformats.org/drawingml/2006/main" xmlns:pic="http://schemas.openxmlformats.org/drawingml/2006/picture">
            <wp:extent cx="457200" cy="447675"/>
            <wp:docPr id="112" name="Picture 112"/>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Xem lại, thiết lập lại và tái cam kết để duy trì đà tiến</w:t>
      </w:r>
    </w:p>
    <w:p>
      <w:pPr>
        <w:spacing w:after="80"/>
      </w:pPr>
      <w:r>
        <w:rPr>
          <w:b w:val="0"/>
          <w:i w:val="0"/>
        </w:rPr>
        <w:t>Việc cảm thấy mất năng lượng và mất tập trung sau một hoặc hai đợt đầu tiên là điều tự nhiên. Để chống lại sự hụt hơi này cần những nỗ lực có chủ đích nhằm xem lại, thiết lập lại và tái cam kết để duy trì sự tham gia cần thiết của đội ngũ lãnh đạo điều hành. Đây là lý do vì sao việc CEO tiếp tục tham gia và tập trung là vô cùng quan trọng.</w:t>
      </w:r>
    </w:p>
    <w:p>
      <w:pPr>
        <w:pStyle w:val="Heading2"/>
      </w:pPr>
      <w:r>
        <w:rPr>
          <w:rFonts w:ascii="Calibri" w:hAnsi="Calibri"/>
          <w:b/>
          <w:i w:val="0"/>
          <w:sz w:val="32"/>
        </w:rPr>
        <w:t>Một quy trình có thể lặp lại để thiết lập các domain và nền tảng</w:t>
      </w:r>
    </w:p>
    <w:p>
      <w:pPr>
        <w:spacing w:after="80"/>
      </w:pPr>
      <w:r>
        <w:rPr>
          <w:b w:val="0"/>
          <w:i w:val="0"/>
        </w:rPr>
        <w:t>Cần phải có một quy trình có thể lặp lại để dựng lên từng domain và nền tảng, nhờ đó bạn có thể mở rộng quy mô và tăng tốc từ làn sóng này sang làn sóng tiếp theo. Ba bước của quy trình đó là: ươm mầm (incubation), huy động (mobilization), và trưởng thành (maturation).</w:t>
      </w:r>
    </w:p>
    <w:p>
      <w:pPr>
        <w:spacing w:after="80"/>
        <w:ind w:left="360"/>
      </w:pPr>
      <w:r>
        <w:t xml:space="preserve">• </w:t>
      </w:r>
      <w:r>
        <w:rPr>
          <w:b/>
          <w:i w:val="0"/>
        </w:rPr>
        <w:t>Ươm mầm: Chọn lãnh đạo cho tầm nhìn của từng domain và nền tảng.</w:t>
      </w:r>
      <w:r>
        <w:rPr>
          <w:b w:val="0"/>
          <w:i w:val="0"/>
        </w:rPr>
        <w:t xml:space="preserve"> Mỗi domain và nền tảng đều có một đội lãnh đạo liên chức năng (cross-functional) bao gồm một chủ sở hữu (owner), trưởng kỹ thuật (engineering lead), trưởng vận hành (operations lead), trưởng chiến lược (strategy lead), trưởng kiểm soát (controls lead), và trưởng agile (agile lead) (dù cấu hình này có nhiều biến thể). Những nhà lãnh đạo này xây dựng ý định chiến lược (strategic intent) cho domain hoặc nền tảng của mình, định nghĩa các nhiệm vụ của nhóm và OKR, phân công người vào các vai trò, và lập bản đồ những ứng dụng, kiểm soát, và nguồn vốn nào cần là một phần của quá trình chuyển đổi.</w:t>
      </w:r>
    </w:p>
    <w:p>
      <w:pPr>
        <w:spacing w:after="80"/>
        <w:ind w:left="360"/>
      </w:pPr>
      <w:r>
        <w:t xml:space="preserve">• </w:t>
      </w:r>
      <w:r>
        <w:rPr>
          <w:b/>
          <w:i w:val="0"/>
        </w:rPr>
        <w:t>Huy động: Chuyển sang mô hình mới.</w:t>
      </w:r>
      <w:r>
        <w:rPr>
          <w:b w:val="0"/>
          <w:i w:val="0"/>
        </w:rPr>
        <w:t xml:space="preserve"> Vào thời điểm kích hoạt, mọi người được thông báo và được chuyển từ mô hình làm việc cũ sang mô hình mới. Như có thể dự đoán, giao tiếp là cực kỳ quan trọng ở thời điểm này vì thường có sự lo lắng, phản kháng, và bối rối trong quá trình thay đổi. Việc đào tạo các nhà lãnh đạo domain hoặc nền tảng về cách làm điều này cho tốt là một thực hành tốt nhất.</w:t>
        <w:br/>
        <w:t>Hành trình chuyển đổi sang mô hình vận hành mới bắt đầu với Sprint 0, nơi các nhóm hiểu rõ OKR của mình và điều chỉnh lại khối lượng công việc (book of work) cho phù hợp. Đây là thời điểm tái hiệu chỉnh. Ba đến sáu tháng đầu tiên thường đòi hỏi việc huấn luyện (coaching) cường độ cao cho từng nhóm. QBR đầu tiên là một cột mốc quan trọng trong giai đoạn huy động. Đây là một buổi kiểm tra quan trọng về cách các nhóm mới đang làm việc, và là cơ hội để điều chỉnh hướng đi.</w:t>
      </w:r>
    </w:p>
    <w:p>
      <w:pPr>
        <w:spacing w:after="80"/>
        <w:ind w:left="360"/>
      </w:pPr>
      <w:r>
        <w:t xml:space="preserve">• </w:t>
      </w:r>
      <w:r>
        <w:rPr>
          <w:b/>
          <w:i w:val="0"/>
        </w:rPr>
        <w:t>Trưởng thành: Duy trì đà tiến.</w:t>
      </w:r>
      <w:r>
        <w:rPr>
          <w:b w:val="0"/>
          <w:i w:val="0"/>
        </w:rPr>
        <w:t xml:space="preserve"> Đo lường và theo dõi tiến độ là yếu tố then chốt để thành công. Chúng tôi nhận thấy rằng các tổ chức tốt nhất phát triển một bài đánh giá độ trưởng thành (maturity assessment) để theo dõi mức độ vận hành hiệu quả của mô hình vận hành mới và để hướng dẫn các can thiệp điều chỉnh.</w:t>
      </w:r>
    </w:p>
    <w:p>
      <w:pPr>
        <w:pStyle w:val="Heading2"/>
      </w:pPr>
      <w:r>
        <w:rPr>
          <w:rFonts w:ascii="Calibri" w:hAnsi="Calibri"/>
          <w:b/>
          <w:i w:val="0"/>
          <w:sz w:val="32"/>
        </w:rPr>
        <w:t>Những người hùng thầm lặng: Các chapter</w:t>
      </w:r>
    </w:p>
    <w:p>
      <w:pPr>
        <w:spacing w:after="80"/>
      </w:pPr>
      <w:r>
        <w:rPr>
          <w:b w:val="0"/>
          <w:i w:val="0"/>
        </w:rPr>
        <w:t>Trong một cuộc chuyển đổi mô hình vận hành, các domain và nền tảng thường chiếm vị trí trung tâm. Nhưng ở hậu trường, các chapter thực sự là những người hùng thầm lặng.</w:t>
      </w:r>
    </w:p>
    <w:p>
      <w:pPr>
        <w:spacing w:after="80"/>
      </w:pPr>
      <w:r>
        <w:rPr>
          <w:b w:val="0"/>
          <w:i w:val="0"/>
        </w:rPr>
        <w:t>Trưởng chapter bắt đầu bằng việc định nghĩa sứ mệnh và tầm nhìn của từng chapter tương ứng, trình bày rõ mục đích của nó, vai trò của nó trong tổ chức, và giá trị mà nó sẽ mang lại cho các domain và nền tảng. Nhà lãnh đạo xác định các kỹ năng và nhóm nghề nghiệp (job families) thuộc phạm vi quản lý của chapter và lập bản đồ nhóm người trong phạm vi, đảm bảo mọi người hành nghề đều có một "mái nhà".</w:t>
      </w:r>
    </w:p>
    <w:p>
      <w:pPr>
        <w:spacing w:after="80"/>
      </w:pPr>
      <w:r>
        <w:rPr>
          <w:b w:val="0"/>
          <w:i w:val="0"/>
        </w:rPr>
        <w:t>Các chapter có thể có hàng trăm hoặc thậm chí hàng nghìn người, vì vậy trưởng chapter phải tìm cách tổ chức họ. Điều đó bao gồm việc nhóm những người có bộ kỹ năng tương tự lại với nhau để họ có thể chia sẻ câu hỏi và bài học, và tạo ra các tuyến báo cáo (reporting lines) tới những đồng nghiệp cấp cao hơn. Khi cấu trúc và quy trình đã được định nghĩa, nhân viên được thông báo về việc họ thuộc chapter nào, và cách chapter vận hành. Một lần nữa, đây là một thời điểm giao tiếp quan trọng.</w:t>
      </w:r>
    </w:p>
    <w:p>
      <w:pPr>
        <w:jc w:val="center"/>
      </w:pPr>
      <w:r>
        <w:drawing>
          <wp:inline xmlns:a="http://schemas.openxmlformats.org/drawingml/2006/main" xmlns:pic="http://schemas.openxmlformats.org/drawingml/2006/picture">
            <wp:extent cx="1905000" cy="95250"/>
            <wp:docPr id="113" name="Picture 113"/>
            <wp:cNvGraphicFramePr>
              <a:graphicFrameLocks noChangeAspect="1"/>
            </wp:cNvGraphicFramePr>
            <a:graphic>
              <a:graphicData uri="http://schemas.openxmlformats.org/drawingml/2006/picture">
                <pic:pic>
                  <pic:nvPicPr>
                    <pic:cNvPr id="0" name="CHAPTEREND_RULE_orange.png"/>
                    <pic:cNvPicPr/>
                  </pic:nvPicPr>
                  <pic:blipFill>
                    <a:blip r:embed="rId74"/>
                    <a:stretch>
                      <a:fillRect/>
                    </a:stretch>
                  </pic:blipFill>
                  <pic:spPr>
                    <a:xfrm>
                      <a:off x="0" y="0"/>
                      <a:ext cx="1905000" cy="95250"/>
                    </a:xfrm>
                    <a:prstGeom prst="rect"/>
                  </pic:spPr>
                </pic:pic>
              </a:graphicData>
            </a:graphic>
          </wp:inline>
        </w:drawing>
      </w:r>
    </w:p>
    <w:p>
      <w:pPr>
        <w:spacing w:after="80"/>
      </w:pPr>
      <w:r>
        <w:rPr>
          <w:b w:val="0"/>
          <w:i w:val="0"/>
        </w:rPr>
        <w:t>Mô hình vận hành là động cơ cung cấp năng lượng cho bánh đà (flywheel) của sự đổi mới kinh doanh liên tục. Đó là cách bạn khiến nhân viên của mình làm việc tốt hơn và nhanh hơn, và tạo ra nhiều giá trị hơn. Việc xây dựng một mô hình như vậy rất khó và tốn thời gian. Nhưng khi bạn làm được, đó là lúc bạn cảm thấy gió thổi sau lưng mình.</w:t>
      </w:r>
    </w:p>
    <w:p>
      <w:pPr>
        <w:pStyle w:val="Heading2"/>
      </w:pPr>
      <w:r>
        <w:rPr>
          <w:rFonts w:ascii="Calibri" w:hAnsi="Calibri"/>
          <w:b/>
          <w:i/>
          <w:sz w:val="32"/>
        </w:rPr>
        <w:t>"Khó khăn không nằm ở việc phát triển những ý tưởng mới mà là ở việc thoát khỏi những ý tưởng cũ."</w:t>
      </w:r>
    </w:p>
    <w:p>
      <w:pPr>
        <w:spacing w:after="80"/>
      </w:pPr>
      <w:r>
        <w:rPr>
          <w:b/>
          <w:i w:val="0"/>
        </w:rPr>
        <w:t>— John Maynard Keynes</w:t>
      </w:r>
    </w:p>
    <w:p>
      <w:pPr>
        <w:pStyle w:val="Heading1"/>
      </w:pPr>
      <w:r>
        <w:rPr>
          <w:rFonts w:ascii="Calibri" w:hAnsi="Calibri"/>
          <w:b/>
          <w:i w:val="0"/>
          <w:sz w:val="40"/>
        </w:rPr>
        <w:t>CHƯƠNG 16</w:t>
      </w:r>
      <w:r>
        <w:rPr>
          <w:rFonts w:ascii="Calibri" w:hAnsi="Calibri"/>
          <w:b/>
          <w:i w:val="0"/>
          <w:sz w:val="40"/>
        </w:rPr>
      </w:r>
      <w:r>
        <w:rPr>
          <w:rFonts w:ascii="Calibri" w:hAnsi="Calibri"/>
          <w:b/>
          <w:i w:val="0"/>
          <w:sz w:val="40"/>
        </w:rPr>
        <w:t>Xây dựng một doanh nghiệp mới? Có một mô hình vận hành dành cho việc đó</w:t>
      </w:r>
    </w:p>
    <w:p>
      <w:pPr>
        <w:spacing w:after="80"/>
      </w:pPr>
      <w:r>
        <w:rPr>
          <w:b w:val="0"/>
          <w:i w:val="0"/>
        </w:rPr>
        <w:t>Vào tháng 1 năm 2022, CEO Robert B. Ford của Abbott đã bước lên sân khấu chính của Consumer Electronics Show—nhà lãnh đạo y tế đầu tiên có bài phát biểu chính tại sự kiện này—và trình bày một tầm nhìn đầy tham vọng "Human-Powered Health": số hóa và dân chủ hóa việc chăm sóc sức khỏe chủ động (thay vì thụ động).</w:t>
      </w:r>
    </w:p>
    <w:p>
      <w:pPr>
        <w:spacing w:after="80"/>
      </w:pPr>
      <w:r>
        <w:rPr>
          <w:b w:val="0"/>
          <w:i w:val="0"/>
        </w:rPr>
        <w:t>Trung tâm của tầm nhìn này là Lingo, một sản phẩm dành cho người tiêu dùng trong domain "biowearable" (thiết bị đeo sinh học) của Abbott. Lingo được thiết kế để mở rộng công nghệ theo dõi đường huyết liên tục (CGM - continuous glucose monitoring) của họ ra ngoài phạm vi bệnh tiểu đường, nhằm giúp mọi người quản lý cân nặng, năng lượng, giấc ngủ, và hiệu suất tốt hơn.</w:t>
      </w:r>
    </w:p>
    <w:p>
      <w:pPr>
        <w:spacing w:after="80"/>
      </w:pPr>
      <w:r>
        <w:rPr>
          <w:b w:val="0"/>
          <w:i w:val="0"/>
        </w:rPr>
        <w:t>Là một công ty chăm sóc sức khỏe toàn cầu đã có vị thế vững chắc, Abbott mang đến những lợi thế đáng gờm cho việc phát triển các biowearable, từ công nghệ CGM đẳng cấp thế giới, đến sự hiểu biết sâu sắc về môi trường pháp lý, cho tới một đội ngũ bán hàng hiện hữu với các mối quan hệ với chuyên gia dinh dưỡng và chuyên gia chăm sóc sức khỏe.</w:t>
      </w:r>
    </w:p>
    <w:p>
      <w:pPr>
        <w:spacing w:after="80"/>
      </w:pPr>
      <w:r>
        <w:rPr>
          <w:b w:val="0"/>
          <w:i w:val="0"/>
        </w:rPr>
        <w:t>Nhưng Ford và các nhà lãnh đạo khác của Abbott sớm nhận ra rằng để Lingo thành công, họ cần nó vận hành giống một start-up hơn. Lingo cần di chuyển nhanh để tận dụng cơ hội thị trường và xây dựng một sản phẩm mà người tiêu dùng sẽ yêu thích. Điều đó sẽ rất khó thực hiện bên trong bộ máy doanh nghiệp hiện hữu của Abbott.</w:t>
      </w:r>
    </w:p>
    <w:p>
      <w:pPr>
        <w:spacing w:after="80"/>
      </w:pPr>
      <w:r>
        <w:rPr>
          <w:b w:val="0"/>
          <w:i w:val="0"/>
        </w:rPr>
        <w:t>Vì vậy, Abbott quyết định đối xử với Lingo như một doanh nghiệp mới bằng cách xây dựng nó bên ngoài bộ phận tiểu đường để bảo vệ những mầm mống của tinh thần khởi nghiệp. Để thiết lập văn hóa và năng lực mà họ mong muốn, họ đã tuyển dụng một đội ngũ phần lớn là mới, có sự kết hợp kỹ năng phù hợp, bao gồm kinh nghiệm khởi nghiệp, quản lý sản phẩm và kỹ năng phát triển phần mềm nhanh. Đội ngũ này đã giới thiệu những cách làm việc mới và các chuẩn mực văn hóa như lấy người tiêu dùng làm trung tâm, kiểm thử nhanh và cải tiến liên tục.</w:t>
      </w:r>
    </w:p>
    <w:p>
      <w:pPr>
        <w:spacing w:after="80"/>
      </w:pPr>
      <w:r>
        <w:rPr>
          <w:b w:val="0"/>
          <w:i w:val="0"/>
        </w:rPr>
        <w:t>Dù vẫn đang trong quá trình mở rộng quy mô, Lingo đã giúp hàng trăm nghìn người quản lý quá trình trao đổi chất của họ. Ngoài việc hỗ trợ sứ mệnh rộng lớn hơn của Abbott là cải thiện chăm sóc sức khỏe, Lingo còn giúp mở ra một dòng doanh thu mới và tiếp cận nguồn nhân tài mới.</w:t>
      </w:r>
    </w:p>
    <w:p>
      <w:pPr>
        <w:spacing w:after="80"/>
      </w:pPr>
      <w:r>
        <w:rPr>
          <w:b w:val="0"/>
          <w:i w:val="0"/>
        </w:rPr>
        <w:t>Những bài học từ việc xây dựng doanh nghiệp mới này cũng đang thấm dần vào hoạt động kinh doanh cốt lõi, đáng chú ý nhất là trong các phương thức phát triển phần mềm và các sáng kiến AI của họ.</w:t>
      </w:r>
    </w:p>
    <w:p>
      <w:pPr>
        <w:spacing w:after="80"/>
      </w:pPr>
      <w:r>
        <w:rPr>
          <w:b w:val="0"/>
          <w:i w:val="0"/>
        </w:rPr>
        <w:t>Mô hình vận hành cho các doanh nghiệp mới có nhiều điểm tương đồng với mô hình vận hành của một nhà máy kỹ thuật số (digital factory). Nhưng cũng có một số khác biệt then chốt cần lưu ý, và đó là nội dung trọng tâm của chương này.</w:t>
      </w:r>
    </w:p>
    <w:p>
      <w:pPr>
        <w:pStyle w:val="Heading2"/>
      </w:pPr>
      <w:r>
        <w:rPr>
          <w:rFonts w:ascii="Calibri" w:hAnsi="Calibri"/>
          <w:b/>
          <w:i w:val="0"/>
          <w:sz w:val="32"/>
        </w:rPr>
        <w:t>Ba đặc điểm then chốt của một mô hình vận hành cho doanh nghiệp mới</w:t>
      </w:r>
    </w:p>
    <w:p>
      <w:pPr>
        <w:spacing w:after="80"/>
        <w:ind w:left="360"/>
      </w:pPr>
      <w:r>
        <w:t xml:space="preserve">1. </w:t>
      </w:r>
      <w:r>
        <w:rPr>
          <w:b/>
          <w:i w:val="0"/>
        </w:rPr>
        <w:t>Giải quyết sớm những rào cản về tốc độ để bạn có thể xử lý nhiều việc song song.</w:t>
      </w:r>
      <w:r>
        <w:rPr>
          <w:b w:val="0"/>
          <w:i w:val="0"/>
        </w:rPr>
        <w:br/>
        <w:t>Khởi động một doanh nghiệp mới là một "hương vị" xây dựng khác. Vì nó tồn tại bên ngoài khuôn khổ của tổ chức chính, nó gần giống với một nỗ lực từ con số không (greenfield) hơn nhiều.</w:t>
        <w:br/>
        <w:t>Điều đó có nghĩa là ít ràng buộc hơn (các hệ thống và quy trình cũ), nhưng cũng có kỳ vọng phải làm nhiều việc mới hơn (như chiến lược sản phẩm cho một thị trường mới, rủi ro và quy định mới, và các hồ sơ nhân tài mới), và phải làm chúng nhanh hơn nhiều với sự tích hợp chặt chẽ hơn giữa các hoạt động liên chức năng. Kết quả là, bạn sẽ cảm thấy như mình đang làm nhiều việc cùng lúc.</w:t>
        <w:br/>
        <w:br/>
      </w:r>
      <w:r>
        <w:rPr>
          <w:b/>
          <w:i/>
        </w:rPr>
        <w:t>Về bản chất, bạn đang tìm kiếm một mô hình vận hành để doanh nghiệp mới có thể vận hành như một start-up trong khi tận dụng lợi thế của công ty hiện hữu</w:t>
      </w:r>
      <w:r>
        <w:rPr>
          <w:b/>
          <w:i w:val="0"/>
        </w:rPr>
        <w:t>.</w:t>
      </w:r>
      <w:r>
        <w:rPr>
          <w:b w:val="0"/>
          <w:i w:val="0"/>
        </w:rPr>
        <w:t xml:space="preserve"> </w:t>
        <w:br/>
        <w:t>Đó là lý do tại sao việc đầu tư thiết lập một số thông lệ về quản trị và chiến lược ngay từ đầu lại quan trọng đến vậy, để tránh các vấn đề (và sự chậm trễ tốn kém) về sau.</w:t>
        <w:br/>
        <w:br/>
        <w:t>Mục tiêu không phải là hoàn thiện mọi khía cạnh ngay từ ngày đầu. Nhưng bạn cần giải quyết ngay từ đầu những thứ thường tạo ra nhiều ma sát trong hệ thống và làm chậm các dự án kinh doanh mới.</w:t>
      </w:r>
    </w:p>
    <w:p>
      <w:pPr>
        <w:spacing w:after="80"/>
        <w:ind w:left="720"/>
      </w:pPr>
      <w:r>
        <w:t xml:space="preserve">• </w:t>
      </w:r>
      <w:r>
        <w:rPr>
          <w:b/>
          <w:i w:val="0"/>
        </w:rPr>
        <w:t>Hiểu rõ lợi thế thực sự của bạn là gì.</w:t>
      </w:r>
      <w:r>
        <w:rPr>
          <w:b w:val="0"/>
          <w:i w:val="0"/>
        </w:rPr>
        <w:t xml:space="preserve"> Những doanh nghiệp mới tốt nhất nằm ở giao điểm của a) một xu hướng vĩ mô quan trọng; b) một vấn đề đáng giá để giải quyết; và c) một lợi thế thị trường mà bạn có. Hãy viết một tuyên bố giá trị dài một trang nêu rõ các phân khúc khách hàng, những công việc cụ thể cần hoàn thành, các tính năng hoặc ưu đãi bạn sẽ tung ra trong hai lần phát hành đầu tiên, lợi thế mà công ty bạn mang lại cho doanh nghiệp này, và logic định giá. Sự rõ ràng này giúp thống nhất ban lãnh đạo để hạn chế mọi nhầm lẫn (và chậm trễ) tiềm ẩn về sau.</w:t>
      </w:r>
    </w:p>
    <w:p>
      <w:pPr>
        <w:spacing w:after="80"/>
        <w:ind w:left="720"/>
      </w:pPr>
      <w:r>
        <w:t xml:space="preserve">• </w:t>
      </w:r>
      <w:r>
        <w:rPr>
          <w:b/>
          <w:i w:val="0"/>
        </w:rPr>
        <w:t>Cam kết học hỏi trước bằng các nguyên mẫu (prototype).</w:t>
      </w:r>
      <w:r>
        <w:rPr>
          <w:b w:val="0"/>
          <w:i w:val="0"/>
        </w:rPr>
        <w:t xml:space="preserve"> Giai đoạn tiền phát triển là về việc hình dung giải pháp theo cách độ phân giải thấp nhưng nhanh chóng. Hãy phác thảo câu chuyện (storyboard) trải nghiệm đầu-cuối cho giải pháp. Việc này có thể đơn giản như một loạt các trang được thiết kế. Hãy kiểm thử nó với 10–20 khách hàng thực tế để xác thực sự phù hợp giữa vấn đề và giải pháp. Khi AI tác tử (agentic AI) trở nên phổ biến hơn, việc phác thảo câu chuyện và tạo nguyên mẫu bằng code sẽ ngày càng trở nên dễ dàng.</w:t>
      </w:r>
    </w:p>
    <w:p>
      <w:pPr>
        <w:spacing w:after="80"/>
        <w:ind w:left="720"/>
      </w:pPr>
      <w:r>
        <w:t xml:space="preserve">• </w:t>
      </w:r>
      <w:r>
        <w:rPr>
          <w:b/>
          <w:i w:val="0"/>
        </w:rPr>
        <w:t>Xác định "quy tắc giao kèo" với công ty mẹ.</w:t>
      </w:r>
      <w:r>
        <w:rPr>
          <w:b w:val="0"/>
          <w:i w:val="0"/>
        </w:rPr>
        <w:t xml:space="preserve"> Hãy quyết định rõ ràng bạn sẽ truy cập những tài sản nào của công ty mẹ (dữ liệu, kênh phân phối, thương hiệu, nguồn cung và IP) và bạn sẽ tự xây dựng những gì. Với những tài sản bạn chọn tận dụng, hãy rõ ràng về cơ chế hoàn phí (chargeback), các giao thức chia sẻ dữ liệu, và hướng dẫn sử dụng thương hiệu, cùng nhiều thứ khác.</w:t>
      </w:r>
    </w:p>
    <w:p>
      <w:pPr>
        <w:spacing w:after="80"/>
        <w:ind w:left="720"/>
      </w:pPr>
      <w:r>
        <w:t xml:space="preserve">• </w:t>
      </w:r>
      <w:r>
        <w:rPr>
          <w:b/>
          <w:i w:val="0"/>
        </w:rPr>
        <w:t>Xác định và tuyển dụng cho các vai trò "người làm" then chốt.</w:t>
      </w:r>
      <w:r>
        <w:rPr>
          <w:b w:val="0"/>
          <w:i w:val="0"/>
        </w:rPr>
        <w:t xml:space="preserve"> Hãy xác định các vai trò hạt nhân và lấp đầy chúng sớm. Những vai trò đó thường là một tổng giám đốc hoặc trưởng dự án thực chiến, quản lý sản phẩm, kiến trúc sư công nghệ, kỹ sư dữ liệu và nhà thiết kế. Một trong những điều Lingo học được là việc tuyển dụng những "người làm" mạnh quan trọng hơn nhiều so với các nhà quản lý trong giai đoạn đầu.</w:t>
      </w:r>
    </w:p>
    <w:p>
      <w:pPr>
        <w:spacing w:after="80"/>
        <w:ind w:left="720"/>
      </w:pPr>
      <w:r>
        <w:t xml:space="preserve">• </w:t>
      </w:r>
      <w:r>
        <w:rPr>
          <w:b/>
          <w:i w:val="0"/>
        </w:rPr>
        <w:t>Thiết lập mô hình tài trợ vốn.</w:t>
      </w:r>
      <w:r>
        <w:rPr>
          <w:b w:val="0"/>
          <w:i w:val="0"/>
        </w:rPr>
        <w:t xml:space="preserve"> Hãy rõ ràng về mô hình tài trợ vốn và cách truy cập ngân sách. Việc tài trợ cho một dự án kinh doanh mới nên diễn ra theo từng đợt nhỏ, có cổng giai đoạn (stage-gated) gắn với bằng chứng, chứ không phải các ngân sách hàng năm lớn—các đội ngũ "giành được" khoản tiền tiếp theo bằng cách chứng minh tiến độ.</w:t>
      </w:r>
    </w:p>
    <w:p>
      <w:pPr>
        <w:spacing w:after="80"/>
        <w:ind w:left="720"/>
      </w:pPr>
      <w:r>
        <w:t xml:space="preserve">• </w:t>
      </w:r>
      <w:r>
        <w:rPr>
          <w:b/>
          <w:i w:val="0"/>
        </w:rPr>
        <w:t>Vạch ra sớm mọi rào cản pháp lý và quy định.</w:t>
      </w:r>
      <w:r>
        <w:rPr>
          <w:b w:val="0"/>
          <w:i w:val="0"/>
        </w:rPr>
        <w:t xml:space="preserve"> Các doanh nghiệp mới không nên bị "bất ngờ" bởi các quy định hay vấn đề pháp lý. Các chuyên gia pháp lý và rủi ro từ công ty mẹ nên đặc biệt hữu ích, nhưng hãy chắc chắn thách thức một số thông lệ đã được chấp nhận. Đừng để họ trở thành lý do khiến bạn "trượt một quý."</w:t>
      </w:r>
    </w:p>
    <w:p>
      <w:pPr>
        <w:spacing w:after="80"/>
        <w:ind w:left="360"/>
      </w:pPr>
      <w:r>
        <w:t xml:space="preserve">2. </w:t>
      </w:r>
      <w:r>
        <w:rPr>
          <w:b/>
          <w:i w:val="0"/>
        </w:rPr>
        <w:t>Đạt được sự cân bằng phù hợp: Một văn hóa tốc độ nhất quán với các giá trị của công ty mẹ.</w:t>
      </w:r>
      <w:r>
        <w:rPr>
          <w:b w:val="0"/>
          <w:i w:val="0"/>
        </w:rPr>
        <w:br/>
        <w:t>Những dự án kinh doanh mới thành công nhất được thiết lập ngay từ đầu với một văn hóa và nhân tài di chuyển nhanh hơn phần cốt lõi, ưu tiên kiểm thử trực tiếp hơn là phân tích, và học hỏi và thích nghi nhanh chóng. Điều đó sẽ không xảy ra nếu dự án mới thừa hưởng các chuẩn mực của công ty mẹ.</w:t>
        <w:br/>
        <w:t>Đồng thời, một dự án mới không thể bước ra theo những cách gây tác động tiêu cực đến danh tiếng, thông lệ và ràng buộc quy định, hay các giá trị của công ty mẹ.</w:t>
        <w:br/>
        <w:t>Để vừa đảm bảo tốc độ vừa bảo vệ công ty mẹ, văn hóa của một doanh nghiệp mới đòi hỏi sự thiết kế có chủ đích trên ba khía cạnh:</w:t>
        <w:br/>
        <w:br/>
        <w:br/>
        <w:br/>
        <w:br/>
        <w:br/>
        <w:br/>
        <w:t xml:space="preserve"> MẸO QUẢN LÝ</w:t>
        <w:br/>
        <w:br/>
        <w:t>Đưa dự án kinh doanh mới trở lại bên trong công ty</w:t>
        <w:br/>
        <w:t>Trong một số trường hợp, sẽ hợp lý khi đưa một doanh nghiệp mới trở lại bên trong công ty sau khi nó đã đủ chín muồi. Các công ty làm điều này khi doanh nghiệp mới có một lợi thế cạnh tranh mà doanh nghiệp cũ muốn phát huy đầy đủ hơn và/hoặc khi doanh nghiệp cũ muốn lan tỏa các năng lực mới trong tổ chức chính.</w:t>
        <w:br/>
        <w:t>Sự tích hợp này là một quá trình tinh tế—bạn muốn cẩn thận để không bóp nghẹt doanh nghiệp mới. Mặt khác, doanh nghiệp mới không nên chỉ tồn tại "độc lập" như một thực thể song song trong tổ chức cũ, vì điều đó làm mất đi ý nghĩa của việc trở thành một phần của thực thể doanh nghiệp lớn hơn ngay từ đầu.</w:t>
        <w:br/>
        <w:t>Ví dụ, LATAM Airlines có trụ sở tại Chile đã theo một con đường có kỷ luật khi họ quyết định tích hợp dự án hành khách kỹ thuật số gồm 300 người của mình vào hoạt động kinh doanh chính. Ban lãnh đạo quyết định đặt nhóm này trong chức năng thương mại, báo cáo cho giám đốc thương mại. Họ phải điều chỉnh các quy trình. Chẳng hạn, việc lập ngân sách diễn ra hàng năm và có ít tính linh hoạt trong doanh nghiệp cũ. Vì vậy, bộ phận tài chính quyết định cập nhật các quy trình của họ để cho phép các quyết định tái phân bổ ngân sách linh hoạt hơn dựa trên hiệu suất và nhu cầu.</w:t>
        <w:br/>
        <w:t>Bạn có thể đọc thêm về trải nghiệm của LATAM trong Chương 36.</w:t>
      </w:r>
    </w:p>
    <w:p>
      <w:pPr>
        <w:jc w:val="center"/>
      </w:pPr>
      <w:r>
        <w:drawing>
          <wp:inline xmlns:a="http://schemas.openxmlformats.org/drawingml/2006/main" xmlns:pic="http://schemas.openxmlformats.org/drawingml/2006/picture">
            <wp:extent cx="457200" cy="447675"/>
            <wp:docPr id="114" name="Picture 114"/>
            <wp:cNvGraphicFramePr>
              <a:graphicFrameLocks noChangeAspect="1"/>
            </wp:cNvGraphicFramePr>
            <a:graphic>
              <a:graphicData uri="http://schemas.openxmlformats.org/drawingml/2006/picture">
                <pic:pic>
                  <pic:nvPicPr>
                    <pic:cNvPr id="0" name="MANAGEMENT_TIP_orange.png"/>
                    <pic:cNvPicPr/>
                  </pic:nvPicPr>
                  <pic:blipFill>
                    <a:blip r:embed="rId68"/>
                    <a:stretch>
                      <a:fillRect/>
                    </a:stretch>
                  </pic:blipFill>
                  <pic:spPr>
                    <a:xfrm>
                      <a:off x="0" y="0"/>
                      <a:ext cx="457200" cy="447675"/>
                    </a:xfrm>
                    <a:prstGeom prst="rect"/>
                  </pic:spPr>
                </pic:pic>
              </a:graphicData>
            </a:graphic>
          </wp:inline>
        </w:drawing>
      </w:r>
    </w:p>
    <w:p>
      <w:pPr>
        <w:spacing w:after="80"/>
        <w:ind w:left="720"/>
      </w:pPr>
      <w:r>
        <w:t xml:space="preserve">• </w:t>
      </w:r>
      <w:r>
        <w:rPr>
          <w:b/>
          <w:i w:val="0"/>
        </w:rPr>
        <w:t>Tầm nhìn, mục đích và giá trị nhất quán, nhưng mang hương vị riêng.</w:t>
      </w:r>
      <w:r>
        <w:rPr>
          <w:b w:val="0"/>
          <w:i w:val="0"/>
        </w:rPr>
        <w:t xml:space="preserve"> Một doanh nghiệp mới nên có những giá trị khác biệt so với công ty mẹ nhưng không hoàn toàn xa lạ với nó. Cách tiếp cận tốt nhất là kế thừa những điều thiết yếu—như chính trực, tôn trọng, hoặc lấy khách hàng làm trung tâm—đồng thời bổ sung những giá trị mới phản ánh sứ mệnh riêng của dự án.</w:t>
        <w:br/>
        <w:t>Trong doanh nghiệp Lingo của Abbott, tầm nhìn giúp một lượng lớn người dân chủ động quản lý mức đường huyết của họ và ngăn ngừa các vấn đề sức khỏe liên quan tiềm ẩn là một thỏi nam châm thu hút nhân tài hàng đầu và cho đội ngũ một lý do để sống theo lối sống start-up.</w:t>
      </w:r>
    </w:p>
    <w:p>
      <w:pPr>
        <w:spacing w:after="80"/>
        <w:ind w:left="720"/>
      </w:pPr>
      <w:r>
        <w:t xml:space="preserve">• </w:t>
      </w:r>
      <w:r>
        <w:rPr>
          <w:b/>
          <w:i w:val="0"/>
        </w:rPr>
        <w:t>Nhân tài và những doanh nhân đóng vai trò cầu nối với tổ chức mẹ.</w:t>
      </w:r>
      <w:r>
        <w:rPr>
          <w:b w:val="0"/>
          <w:i w:val="0"/>
        </w:rPr>
        <w:t xml:space="preserve"> Các doanh nghiệp mới thường cần phần lớn là nhân tài mới—thường hơn 90% khi công ty mẹ chưa từng xây dựng một doanh nghiệp mới trước đây. Điều quan trọng là tuyển những người có tư duy khởi nghiệp về cơ bản—những cá nhân có thể đối mặt với sự mơ hồ, đạt tiến độ mà không có thông tin hoàn hảo, và giải quyết vấn đề một cách sáng tạo với nguồn lực hạn chế.</w:t>
        <w:br/>
        <w:t>Nhưng họ không thể làm điều đó một mình. Bạn sẽ cần tận dụng một vài "người dẫn đường doanh nghiệp" làm cầu nối với doanh nghiệp mới. Những người này biết cách truy cập các tài sản cần thiết và cách vượt qua các hệ thống pháp lý, quy định và doanh nghiệp khác mà không làm mất đà. Đó là những gì Abbott Lingo đã làm trong những ngày đầu, điều chuyển nhân tài "cầu nối" then chốt từ phần cốt lõi để thực hiện vai trò này. Điều đó bao gồm hai nhà lãnh đạo chuyển đổi cấp cao và một nhà lãnh đạo IT để giúp đội ngũ dự án mới điều hướng và tận dụng các tài sản của doanh nghiệp.</w:t>
      </w:r>
    </w:p>
    <w:p>
      <w:pPr>
        <w:spacing w:after="80"/>
        <w:ind w:left="720"/>
      </w:pPr>
      <w:r>
        <w:t xml:space="preserve">• </w:t>
      </w:r>
      <w:r>
        <w:rPr>
          <w:b/>
          <w:i w:val="0"/>
        </w:rPr>
        <w:t>Các quy trình “không bị ràng buộc”.</w:t>
      </w:r>
      <w:r>
        <w:rPr>
          <w:b w:val="0"/>
          <w:i w:val="0"/>
        </w:rPr>
        <w:t xml:space="preserve"> Khi một công ty khởi động một mảng kinh doanh mới, một trong những điều quan trọng nhất là giải phóng nó khỏi các quy trình cốt lõi của tập đoàn. Quy trình của các tổ chức lớn thường được tối ưu hóa cho hiệu quả, khả năng dự đoán và quản lý rủi ro, chứ không phải cho tốc độ và sự nhanh nhẹn</w:t>
        <w:br/>
        <w:t>Một trong những thay đổi then chốt nhất nằm ở việc ra quyết định và quản trị. Các công ty nên rõ ràng về những quyết định mà công ty mẹ nên đưa ra (các bước đi chiến lược lớn, cơ hội M&amp;A, các khoản đầu tư vốn đáng kể) và những quyết định mà doanh nghiệp mới tự đưa ra (về cơ bản là mọi thứ còn lại). Trên thực tế, mặc định nên là trao cho mảng kinh doanh mới càng nhiều quyền ra quyết định càng tốt.</w:t>
        <w:br/>
        <w:t>Ba quy trình cụ thể cần được chú ý đặc biệt: phát triển sản phẩm, cấp vốn và đo lường hiệu suất. Các doanh nghiệp mới cũng xây dựng MVP, kiểm chứng các giả thuyết với khách hàng và lặp lại dựa trên bằng chứng.</w:t>
      </w:r>
    </w:p>
    <w:p>
      <w:pPr>
        <w:spacing w:after="80"/>
        <w:ind w:left="360"/>
      </w:pPr>
      <w:r>
        <w:t xml:space="preserve">3. </w:t>
      </w:r>
      <w:r>
        <w:rPr>
          <w:b/>
          <w:i w:val="0"/>
        </w:rPr>
        <w:t>Xây dựng cho hiện tại (tinh gọn, chắp vá) và cho tương lai (có thể mở rộng)</w:t>
      </w:r>
      <w:r>
        <w:rPr>
          <w:b w:val="0"/>
          <w:i w:val="0"/>
        </w:rPr>
        <w:br/>
        <w:t>Trong những ngày đầu của một doanh nghiệp mới, cách tiếp cận tinh gọn, chắp vá là tối quan trọng để bạn không đầu tư quá mức trước khi có đủ tự tin rằng mình có một mô hình kinh doanh khả thi. Hãy đặt một mục tiêu thời gian “đáng sợ”, xác định một MVP thực sự, và đưa nó đến tay khách hàng để lấy phản hồi. Các doanh nghiệp mới được yêu cầu phải suy nghĩ sáng tạo về cách họ đạt được mục tiêu của mình.</w:t>
        <w:br/>
        <w:t>Điều này có thể có nghĩa là loại bỏ các tính năng không thiết yếu cho bản phát hành đầu tiên, để người sáng lập doanh nghiệp mới trực tiếp gọi điện cho khách hàng hoặc đối tác, hoặc tập trung các đợt ra mắt sớm vào một nhóm khách hàng rất hẹp. Mục tiêu là học hỏi và thích nghi nhanh chóng.</w:t>
      </w:r>
    </w:p>
    <w:p>
      <w:pPr>
        <w:spacing w:after="80"/>
      </w:pPr>
      <w:r>
        <w:rPr>
          <w:b/>
          <w:i/>
        </w:rPr>
        <w:t>Sự tinh gọn, chắp vá là một khoản vay mà bạn phải trả</w:t>
      </w:r>
      <w:r>
        <w:rPr>
          <w:b/>
          <w:i w:val="0"/>
        </w:rPr>
        <w:t>.</w:t>
      </w:r>
    </w:p>
    <w:p>
      <w:pPr>
        <w:spacing w:after="80"/>
      </w:pPr>
      <w:r>
        <w:rPr>
          <w:b w:val="0"/>
          <w:i w:val="0"/>
        </w:rPr>
        <w:t>Điều quan trọng là phải đưa ra những lựa chọn rõ ràng có ảnh hưởng đến việc mở rộng quy mô. Các giải pháp dùng một lần có thể diễn ra nhanh chóng nhưng cũng có thể tạo thêm nợ kỹ thuật (chi phí để giải quyết hoặc sửa chữa các quyết định kỹ thuật trước đó khi xây dựng một sản phẩm).</w:t>
      </w:r>
    </w:p>
    <w:p>
      <w:pPr>
        <w:spacing w:after="80"/>
      </w:pPr>
      <w:r>
        <w:rPr>
          <w:b w:val="0"/>
          <w:i w:val="0"/>
        </w:rPr>
        <w:t>Theo kinh nghiệm của chúng tôi, các doanh nghiệp mới nên cân nhắc phân bổ nguồn lực tương đối đồng đều cho: a) các năng lực mới thúc đẩy tăng trưởng; b) việc lặp lại, cải tiến trên các năng lực hiện có; c) nợ kỹ thuật và tối ưu hóa; và d) xử lý các lỗi, khiếm khuyết. Xu hướng thiên về các giải pháp sửa nhanh mà không có sự cân bằng này có khả năng sẽ làm đình trệ việc mở rộng quy mô (Hình 16.1).</w:t>
      </w:r>
    </w:p>
    <w:p>
      <w:pPr>
        <w:jc w:val="center"/>
      </w:pPr>
      <w:r>
        <w:drawing>
          <wp:inline xmlns:a="http://schemas.openxmlformats.org/drawingml/2006/main" xmlns:pic="http://schemas.openxmlformats.org/drawingml/2006/picture">
            <wp:extent cx="5486400" cy="3641387"/>
            <wp:docPr id="115" name="Picture 115"/>
            <wp:cNvGraphicFramePr>
              <a:graphicFrameLocks noChangeAspect="1"/>
            </wp:cNvGraphicFramePr>
            <a:graphic>
              <a:graphicData uri="http://schemas.openxmlformats.org/drawingml/2006/picture">
                <pic:pic>
                  <pic:nvPicPr>
                    <pic:cNvPr id="0" name="c16ex001.png"/>
                    <pic:cNvPicPr/>
                  </pic:nvPicPr>
                  <pic:blipFill>
                    <a:blip r:embed="rId90"/>
                    <a:stretch>
                      <a:fillRect/>
                    </a:stretch>
                  </pic:blipFill>
                  <pic:spPr>
                    <a:xfrm>
                      <a:off x="0" y="0"/>
                      <a:ext cx="5486400" cy="3641387"/>
                    </a:xfrm>
                    <a:prstGeom prst="rect"/>
                  </pic:spPr>
                </pic:pic>
              </a:graphicData>
            </a:graphic>
          </wp:inline>
        </w:drawing>
      </w:r>
    </w:p>
    <w:p>
      <w:pPr>
        <w:spacing w:after="160"/>
        <w:jc w:val="center"/>
      </w:pPr>
      <w:r>
        <w:rPr>
          <w:rFonts w:ascii="Calibri" w:hAnsi="Calibri"/>
          <w:b w:val="0"/>
          <w:i/>
          <w:sz w:val="19"/>
        </w:rPr>
        <w:t>HÌNH 16.1</w:t>
      </w:r>
    </w:p>
    <w:p>
      <w:pPr>
        <w:jc w:val="center"/>
      </w:pPr>
      <w:r>
        <w:drawing>
          <wp:inline xmlns:a="http://schemas.openxmlformats.org/drawingml/2006/main" xmlns:pic="http://schemas.openxmlformats.org/drawingml/2006/picture">
            <wp:extent cx="1905000" cy="95250"/>
            <wp:docPr id="116" name="Picture 116"/>
            <wp:cNvGraphicFramePr>
              <a:graphicFrameLocks noChangeAspect="1"/>
            </wp:cNvGraphicFramePr>
            <a:graphic>
              <a:graphicData uri="http://schemas.openxmlformats.org/drawingml/2006/picture">
                <pic:pic>
                  <pic:nvPicPr>
                    <pic:cNvPr id="0" name="CHAPTEREND_RULE_orange.png"/>
                    <pic:cNvPicPr/>
                  </pic:nvPicPr>
                  <pic:blipFill>
                    <a:blip r:embed="rId74"/>
                    <a:stretch>
                      <a:fillRect/>
                    </a:stretch>
                  </pic:blipFill>
                  <pic:spPr>
                    <a:xfrm>
                      <a:off x="0" y="0"/>
                      <a:ext cx="1905000" cy="95250"/>
                    </a:xfrm>
                    <a:prstGeom prst="rect"/>
                  </pic:spPr>
                </pic:pic>
              </a:graphicData>
            </a:graphic>
          </wp:inline>
        </w:drawing>
      </w:r>
    </w:p>
    <w:p>
      <w:pPr>
        <w:spacing w:after="80"/>
      </w:pPr>
      <w:r>
        <w:rPr>
          <w:b w:val="0"/>
          <w:i w:val="0"/>
        </w:rPr>
        <w:t>Khởi động các doanh nghiệp mới—dù là dịch vụ liền kề, nền tảng số hay mô hình kinh doanh hoàn toàn mới—có thể làm trẻ hóa tăng trưởng, đa dạng hóa danh mục đầu tư và trở thành những cỗ máy thu nhập trong tương lai.</w:t>
      </w:r>
    </w:p>
    <w:p>
      <w:pPr>
        <w:spacing w:after="80"/>
      </w:pPr>
      <w:r>
        <w:rPr>
          <w:b w:val="0"/>
          <w:i w:val="0"/>
        </w:rPr>
        <w:t>AI đang tăng tốc đà này, cho phép các đội ngũ đi từ ý tưởng đến thị trường nhanh hơn nhiều và với lượng vốn ít hơn rất nhiều. Các doanh nghiệp mới dẫn dắt bởi dữ liệu và AI giờ đây có thể đạt điểm hòa vốn với vốn đầu tư dưới 1 triệu đô la.</w:t>
      </w:r>
    </w:p>
    <w:p>
      <w:pPr>
        <w:spacing w:after="80"/>
      </w:pPr>
      <w:r>
        <w:rPr>
          <w:b w:val="0"/>
          <w:i w:val="0"/>
        </w:rPr>
        <w:t>Nhưng công nghệ thôi thì chưa đủ. Để nắm bắt tiềm năng này, các công ty cần một mô hình vận hành được thiết kế để hỗ trợ sự tăng trưởng của doanh nghiệp mới—một mô hình mang lại quyền tự chủ, sự cho phép thử nghiệm, các chỉ số đo lường khác biệt với mảng kinh doanh cốt lõi, và quyền truy cập vào các tài sản của tập đoàn (bao gồm dữ liệu, thương hiệu và kênh phân phối) mà không bị cản trở bởi các thông lệ cũ kỹ.</w:t>
      </w:r>
    </w:p>
    <w:p>
      <w:pPr>
        <w:pStyle w:val="Heading1"/>
      </w:pPr>
      <w:r>
        <w:rPr>
          <w:rFonts w:ascii="Calibri" w:hAnsi="Calibri"/>
          <w:b/>
          <w:i w:val="0"/>
          <w:sz w:val="40"/>
        </w:rPr>
        <w:t>THỜI GIAN ĐỂ SUY NGẪM</w:t>
      </w:r>
    </w:p>
    <w:p>
      <w:pPr>
        <w:pStyle w:val="Heading2"/>
      </w:pPr>
      <w:r>
        <w:rPr>
          <w:rFonts w:ascii="Calibri" w:hAnsi="Calibri"/>
          <w:b/>
          <w:i w:val="0"/>
          <w:sz w:val="32"/>
        </w:rPr>
        <w:t>Những điểm nổi bật</w:t>
      </w:r>
    </w:p>
    <w:p>
      <w:pPr>
        <w:spacing w:after="80"/>
      </w:pPr>
      <w:r>
        <w:rPr>
          <w:b w:val="0"/>
          <w:i w:val="0"/>
        </w:rPr>
        <w:t>Hãy dành một chút thời gian để tự nhắc mình về những điểm quan trọng nhất của phần này, và đánh giá xem bạn đang ở đâu trên hành trình.</w:t>
      </w:r>
    </w:p>
    <w:p>
      <w:pPr>
        <w:spacing w:after="80"/>
      </w:pPr>
      <w:r>
        <w:rPr>
          <w:b/>
          <w:i w:val="0"/>
        </w:rPr>
        <w:t>Chúng ta đang trong một cuộc đua đổi mới giữa các công ty đều có quyền truy cập vào cùng những công cụ.</w:t>
      </w:r>
      <w:r>
        <w:rPr>
          <w:b w:val="0"/>
          <w:i w:val="0"/>
        </w:rPr>
        <w:t xml:space="preserve"> Bạn thắng cuộc đua đó khi mô hình vận hành của bạn cho phép nguồn lực chảy linh hoạt đến những cơ hội quan trọng nhất, khi các đội ngũ được trao quyền hành động mà không bị cản trở bởi quá nhiều sự phụ thuộc lẫn nhau, và khi các quyết định được đưa ra gần với công việc, nhanh chóng và rõ ràng.</w:t>
      </w:r>
    </w:p>
    <w:p>
      <w:pPr>
        <w:spacing w:after="80"/>
      </w:pPr>
      <w:r>
        <w:rPr>
          <w:b/>
          <w:i w:val="0"/>
        </w:rPr>
        <w:t>Các đội ngũ liên chức năng chính là những chiếc xe đua.</w:t>
      </w:r>
      <w:r>
        <w:rPr>
          <w:b w:val="0"/>
          <w:i w:val="0"/>
        </w:rPr>
        <w:t xml:space="preserve"> Những đội ngũ này giải quyết các bài toán kinh doanh bằng phần mềm và công nghệ AI, cùng với các cách làm việc linh hoạt (agile). Nếu bạn muốn thắng cuộc đua, công ty bạn sẽ phải trở nên giỏi trong việc xây dựng phần mềm. Điều này không phải là khoa học tên lửa. Nhiều công ty đã làm được.</w:t>
      </w:r>
    </w:p>
    <w:p>
      <w:pPr>
        <w:spacing w:after="80"/>
      </w:pPr>
      <w:r>
        <w:rPr>
          <w:b/>
          <w:i w:val="0"/>
        </w:rPr>
        <w:t>Quản lý nhiều chiếc xe đua trên đường đua đòi hỏi một mô hình vận hành khác.</w:t>
      </w:r>
      <w:r>
        <w:rPr>
          <w:b w:val="0"/>
          <w:i w:val="0"/>
        </w:rPr>
        <w:t xml:space="preserve"> Nhân tài kỹ thuật được nhúng trực tiếp vào các lĩnh vực kinh doanh, cho phép cộng tác và lặp lại nhanh hơn. Đồng thời, các nền tảng cho phép tái sử dụng các năng lực của doanh nghiệp, thúc đẩy đổi mới, tinh gọn hệ thống công nghệ và giảm chi phí lẫn rủi ro. Không công ty nào có thể thực sự là một nhà đổi mới số và AI nếu không vận hành một mô hình đổi mới công nghệ phân tán hơn—họ sẽ đơn giản là quá chậm.</w:t>
      </w:r>
    </w:p>
    <w:p>
      <w:pPr>
        <w:spacing w:after="80"/>
      </w:pPr>
      <w:r>
        <w:rPr>
          <w:b/>
          <w:i w:val="0"/>
        </w:rPr>
        <w:t>Có ba lựa chọn để triển khai mô hình này.</w:t>
      </w:r>
      <w:r>
        <w:rPr>
          <w:b w:val="0"/>
          <w:i w:val="0"/>
        </w:rPr>
        <w:t xml:space="preserve"> Điều quan trọng là chọn một lựa chọn phù hợp nhất với ý định chiến lược của bạn.</w:t>
      </w:r>
    </w:p>
    <w:p>
      <w:pPr>
        <w:spacing w:after="80"/>
        <w:ind w:left="360"/>
      </w:pPr>
      <w:r>
        <w:t xml:space="preserve">1. </w:t>
      </w:r>
      <w:r>
        <w:rPr>
          <w:b/>
          <w:i w:val="0"/>
        </w:rPr>
        <w:t>Nhà máy kỹ thuật số</w:t>
      </w:r>
      <w:r>
        <w:rPr>
          <w:b w:val="0"/>
          <w:i w:val="0"/>
        </w:rPr>
        <w:t xml:space="preserve"> phù hợp với những công ty mà công nghệ quan trọng nhưng có lẽ không phải là yếu tố hàng đầu tạo nên sự khác biệt cạnh tranh, hoặc như một bước đầu tiên hướng tới mô hình vận hành theo lĩnh vực &amp; nền tảng.</w:t>
      </w:r>
    </w:p>
    <w:p>
      <w:pPr>
        <w:spacing w:after="80"/>
        <w:ind w:left="360"/>
      </w:pPr>
      <w:r>
        <w:t xml:space="preserve">2. </w:t>
      </w:r>
      <w:r>
        <w:rPr>
          <w:b/>
          <w:i w:val="0"/>
        </w:rPr>
        <w:t>Lĩnh vực &amp; nền tảng</w:t>
      </w:r>
      <w:r>
        <w:rPr>
          <w:b w:val="0"/>
          <w:i w:val="0"/>
        </w:rPr>
        <w:t xml:space="preserve"> đang trở thành mô hình thống trị trong các ngành mà công nghệ là yếu tố khác biệt chính về hiệu suất.</w:t>
      </w:r>
    </w:p>
    <w:p>
      <w:pPr>
        <w:spacing w:after="80"/>
        <w:ind w:left="360"/>
      </w:pPr>
      <w:r>
        <w:t xml:space="preserve">3. </w:t>
      </w:r>
      <w:r>
        <w:rPr>
          <w:b/>
          <w:i w:val="0"/>
        </w:rPr>
        <w:t>Toàn doanh nghiệp</w:t>
      </w:r>
      <w:r>
        <w:rPr>
          <w:b w:val="0"/>
          <w:i w:val="0"/>
        </w:rPr>
        <w:t xml:space="preserve"> có thể tạo nên sự khác biệt khi tính lấy khách hàng làm trung tâm, sự cộng tác và tính linh hoạt trong triển khai nguồn lực vượt ra ngoài phạm vi công nghệ.</w:t>
      </w:r>
    </w:p>
    <w:p>
      <w:pPr>
        <w:spacing w:after="80"/>
      </w:pPr>
      <w:r>
        <w:rPr>
          <w:b/>
          <w:i w:val="0"/>
        </w:rPr>
        <w:t>Triển khai một mô hình vận hành mới là một trong những khía cạnh khó khăn nhất để trở thành một doanh nghiệp được tái cấu trúc.</w:t>
      </w:r>
      <w:r>
        <w:rPr>
          <w:b w:val="0"/>
          <w:i w:val="0"/>
        </w:rPr>
        <w:t xml:space="preserve"> Nhưng nỗ lực này rất đáng giá vì một mô hình vận hành tốt sẽ mang lại tốc độ và chất lượng cần thiết để tạo ra nguồn lợi thế cạnh tranh thực sự. Để đạt được điều này, trước tiên cần thống nhất đội ngũ lãnh đạo cấp cao về một tầm nhìn rõ ràng và một bản thiết kế cụ thể, đồng thời thiết kế cách tiếp cận triển khai phác họa rõ từng thành viên ban điều hành sẽ làm gì trong một quá trình chuyển đổi được phối hợp nhịp nhàng và kiểm soát chặt chẽ.</w:t>
      </w:r>
    </w:p>
    <w:p>
      <w:pPr>
        <w:spacing w:after="80"/>
      </w:pPr>
      <w:r>
        <w:rPr>
          <w:b/>
          <w:i w:val="0"/>
        </w:rPr>
        <w:t>Những kẻ giết người thầm lặng của một mô hình vận hành chính là các quyền quyết định, cơ chế cấp vốn và quy trình kiểm soát truyền thống.</w:t>
      </w:r>
      <w:r>
        <w:rPr>
          <w:b w:val="0"/>
          <w:i w:val="0"/>
        </w:rPr>
        <w:t xml:space="preserve"> Việc thiết kế các lĩnh vực, nền tảng và chapter với quyền quyết định rõ ràng, cũng như chuyển từ cấp vốn theo dự án sang cấp vốn liên tục cho các lĩnh vực/nền tảng, là điều then chốt để cho phép tái phân bổ nguồn lực nhanh chóng. Đối với các chức năng kiểm soát, mô hình phải đưa chúng vào quá trình phát triển ngay từ sớm để các rủi ro có thể được nhận diện và quản lý một cách chủ động bởi các đội ngũ như một phần của văn hóa quản trị vững mạnh.</w:t>
      </w:r>
    </w:p>
    <w:p>
      <w:pPr>
        <w:spacing w:after="80"/>
      </w:pPr>
      <w:r>
        <w:rPr>
          <w:b/>
          <w:i w:val="0"/>
        </w:rPr>
        <w:t>Các liên doanh mới đang thúc đẩy tăng trưởng doanh nghiệp, nhưng chúng cần được "ủ kén" đặc biệt.</w:t>
      </w:r>
      <w:r>
        <w:rPr>
          <w:b w:val="0"/>
          <w:i w:val="0"/>
        </w:rPr>
        <w:t xml:space="preserve"> Chúng đòi hỏi một mô hình vận hành mang lại quyền tự chủ, sự cho phép thử nghiệm, các chỉ số đo lường khác biệt so với hoạt động kinh doanh cốt lõi, và quyền truy cập vào các tài sản của công ty (dữ liệu, thương hiệu và kênh phân phối) mà không bị cản trở bởi những thông lệ cũ kỹ.</w:t>
      </w:r>
    </w:p>
    <w:p>
      <w:pPr>
        <w:pStyle w:val="Heading2"/>
      </w:pPr>
      <w:r>
        <w:rPr>
          <w:rFonts w:ascii="Calibri" w:hAnsi="Calibri"/>
          <w:b/>
          <w:i w:val="0"/>
          <w:sz w:val="32"/>
        </w:rPr>
        <w:t>Bạn đang ở đâu trên hành trình này?</w:t>
      </w:r>
    </w:p>
    <w:p>
      <w:pPr>
        <w:spacing w:after="80"/>
      </w:pPr>
      <w:r>
        <w:rPr>
          <w:b w:val="0"/>
          <w:i w:val="0"/>
        </w:rPr>
        <w:t>Những câu hỏi này có thể giúp làm rõ vị trí của bạn trên hành trình so với những đơn vị dẫn đầu. Hãy quét mã QR ở cuối nếu bạn muốn thực hiện bài đánh giá trực tuyến.</w:t>
      </w:r>
    </w:p>
    <w:p>
      <w:pPr>
        <w:spacing w:after="80"/>
      </w:pPr>
      <w:r>
        <w:rPr>
          <w:b/>
          <w:i w:val="0"/>
        </w:rPr>
        <w:t>Câu 1. Công ty bạn đã thành thạo việc phát triển phần mềm chưa?</w:t>
      </w:r>
    </w:p>
    <w:p>
      <w:pPr>
        <w:spacing w:after="80"/>
      </w:pPr>
      <w:r>
        <w:rPr>
          <w:b/>
          <w:i w:val="0"/>
        </w:rPr>
        <w:t>Dẫn đầu:</w:t>
      </w:r>
      <w:r>
        <w:rPr>
          <w:b w:val="0"/>
          <w:i w:val="0"/>
        </w:rPr>
        <w:t xml:space="preserve"> Chúng tôi có thành tích xây dựng các giải pháp dựa trên phần mềm được triển khai và ứng dụng rộng rãi trong môi trường vận hành thực tế. Những giải pháp này được xây dựng bởi các đội ngũ đa chức năng thực sự, sử dụng các thông lệ kỹ thuật phần mềm hiện đại (như agile, DevOps, và tích hợp &amp; chuyển giao liên tục).</w:t>
      </w:r>
    </w:p>
    <w:p>
      <w:pPr>
        <w:spacing w:after="80"/>
      </w:pPr>
      <w:r>
        <w:rPr>
          <w:b/>
          <w:i w:val="0"/>
        </w:rPr>
        <w:t>Câu 2. Bộ phận kinh doanh có sở hữu và dẫn dắt việc triển khai các giải pháp nhằm cải thiện trải nghiệm khách hàng và hiệu quả kinh doanh không?</w:t>
      </w:r>
    </w:p>
    <w:p>
      <w:pPr>
        <w:spacing w:after="80"/>
      </w:pPr>
      <w:r>
        <w:rPr>
          <w:b/>
          <w:i w:val="0"/>
        </w:rPr>
        <w:t>Dẫn đầu:</w:t>
      </w:r>
      <w:r>
        <w:rPr>
          <w:b w:val="0"/>
          <w:i w:val="0"/>
        </w:rPr>
        <w:t xml:space="preserve"> Các đội ngũ đa chức năng của chúng tôi được dẫn dắt bởi những trưởng nhóm đến từ bộ phận kinh doanh, những người định hướng cho giải pháp, chịu trách nhiệm về việc ứng dụng, đưa ra những đánh đổi ưu tiên khó khăn, và đại diện cho khách hàng hoặc người dùng trong mọi quyết định.</w:t>
      </w:r>
    </w:p>
    <w:p>
      <w:pPr>
        <w:spacing w:after="80"/>
      </w:pPr>
      <w:r>
        <w:rPr>
          <w:b/>
          <w:i w:val="0"/>
        </w:rPr>
        <w:t>Câu 3. Công ty bạn đã triển khai một mô hình vận hành hiện đại (phân tán) giúp thúc đẩy tính lấy khách hàng làm trung tâm, đổi mới kinh doanh và tốc độ chưa?</w:t>
      </w:r>
    </w:p>
    <w:p>
      <w:pPr>
        <w:spacing w:after="80"/>
      </w:pPr>
      <w:r>
        <w:rPr>
          <w:b/>
          <w:i w:val="0"/>
        </w:rPr>
        <w:t>Dẫn đầu:</w:t>
      </w:r>
      <w:r>
        <w:rPr>
          <w:b w:val="0"/>
          <w:i w:val="0"/>
        </w:rPr>
        <w:t xml:space="preserve"> Mô hình vận hành của chúng tôi nhúng năng lực triển khai vào các lĩnh vực và có các nền tảng thúc đẩy việc tái sử dụng các năng lực của doanh nghiệp. Các chapter hoạt động tốt và đảm nhận vai trò quản lý việc triển khai nhân tài cũng như nâng cao tay nghề xuất sắc. Cơ chế cấp vốn liên tục được vận hành tốt. Các chức năng kiểm soát đã được nhúng vào cách các đội ngũ vận hành.</w:t>
      </w:r>
    </w:p>
    <w:p>
      <w:pPr>
        <w:spacing w:after="80"/>
      </w:pPr>
      <w:r>
        <w:rPr>
          <w:b/>
          <w:i w:val="0"/>
        </w:rPr>
        <w:t>Câu 4. Mô hình vận hành của bạn có đang thúc đẩy hiệu quả kinh doanh tốt hơn so với các đối thủ cùng ngành không?</w:t>
      </w:r>
    </w:p>
    <w:p>
      <w:pPr>
        <w:spacing w:after="80"/>
      </w:pPr>
      <w:r>
        <w:rPr>
          <w:b/>
          <w:i w:val="0"/>
        </w:rPr>
        <w:t>Dẫn đầu:</w:t>
      </w:r>
      <w:r>
        <w:rPr>
          <w:b w:val="0"/>
          <w:i w:val="0"/>
        </w:rPr>
        <w:t xml:space="preserve"> Mô hình vận hành của chúng tôi đã cho phép chúng tôi vận hành tốt hơn và tạo ra nhiều đổi mới kinh doanh hơn, dẫn đến mức độ hài lòng của khách hàng cao hơn và đòn bẩy vận hành tốt hơn (doanh thu tăng nhanh hơn chi phí) so với các đối thủ cùng ngành.</w:t>
      </w:r>
    </w:p>
    <w:p>
      <w:pPr>
        <w:jc w:val="center"/>
      </w:pPr>
      <w:r>
        <w:drawing>
          <wp:inline xmlns:a="http://schemas.openxmlformats.org/drawingml/2006/main" xmlns:pic="http://schemas.openxmlformats.org/drawingml/2006/picture">
            <wp:extent cx="2009774" cy="2000249"/>
            <wp:docPr id="117" name="Picture 117"/>
            <wp:cNvGraphicFramePr>
              <a:graphicFrameLocks noChangeAspect="1"/>
            </wp:cNvGraphicFramePr>
            <a:graphic>
              <a:graphicData uri="http://schemas.openxmlformats.org/drawingml/2006/picture">
                <pic:pic>
                  <pic:nvPicPr>
                    <pic:cNvPr id="0" name="c16qr001.png"/>
                    <pic:cNvPicPr/>
                  </pic:nvPicPr>
                  <pic:blipFill>
                    <a:blip r:embed="rId91"/>
                    <a:stretch>
                      <a:fillRect/>
                    </a:stretch>
                  </pic:blipFill>
                  <pic:spPr>
                    <a:xfrm>
                      <a:off x="0" y="0"/>
                      <a:ext cx="2009774" cy="2000249"/>
                    </a:xfrm>
                    <a:prstGeom prst="rect"/>
                  </pic:spPr>
                </pic:pic>
              </a:graphicData>
            </a:graphic>
          </wp:inline>
        </w:drawing>
      </w:r>
    </w:p>
    <w:p>
      <w:pPr>
        <w:spacing w:after="80"/>
      </w:pPr>
      <w:r>
        <w:rPr>
          <w:b/>
          <w:i w:val="0"/>
        </w:rPr>
        <w:t xml:space="preserve">Hãy làm bài đánh giá </w:t>
      </w:r>
      <w:r>
        <w:rPr>
          <w:b/>
          <w:i/>
        </w:rPr>
        <w:t>Rewired</w:t>
      </w:r>
    </w:p>
    <w:p>
      <w:pPr>
        <w:spacing w:after="80"/>
      </w:pPr>
      <w:r>
        <w:rPr>
          <w:b/>
          <w:i w:val="0"/>
        </w:rPr>
        <w:t>McKinsey.com/RewiredAssessment</w:t>
      </w:r>
    </w:p>
    <w:p>
      <w:pPr>
        <w:pStyle w:val="Heading2"/>
      </w:pPr>
      <w:r>
        <w:rPr>
          <w:rFonts w:ascii="Calibri" w:hAnsi="Calibri"/>
          <w:b/>
          <w:i w:val="0"/>
          <w:sz w:val="32"/>
        </w:rPr>
        <w:t>Lưu ý</w:t>
      </w:r>
    </w:p>
    <w:p>
      <w:pPr>
        <w:spacing w:after="80"/>
        <w:ind w:left="360"/>
      </w:pPr>
      <w:r>
        <w:t xml:space="preserve">1. </w:t>
      </w:r>
      <w:r>
        <w:rPr>
          <w:b w:val="0"/>
          <w:i w:val="0"/>
        </w:rPr>
        <w:t>1   Daniel Aminetzah, Jason Bello, Jerome Königsfeld, Paul Jenkins, Corinna Leist, và Robin Martens, "The way to win in corporate venturing: Serial building and AI," McKinsey, October 28, 2025.</w:t>
      </w:r>
    </w:p>
    <w:p>
      <w:pPr>
        <w:pStyle w:val="Heading1"/>
      </w:pPr>
      <w:r>
        <w:rPr>
          <w:rFonts w:ascii="Calibri" w:hAnsi="Calibri"/>
          <w:b/>
          <w:i w:val="0"/>
          <w:sz w:val="40"/>
        </w:rPr>
        <w:t>PHẦN BỐN</w:t>
      </w:r>
      <w:r>
        <w:rPr>
          <w:rFonts w:ascii="Calibri" w:hAnsi="Calibri"/>
          <w:b/>
          <w:i w:val="0"/>
          <w:sz w:val="40"/>
        </w:rPr>
      </w:r>
      <w:r>
        <w:rPr>
          <w:rFonts w:ascii="Calibri" w:hAnsi="Calibri"/>
          <w:b/>
          <w:i w:val="0"/>
          <w:sz w:val="40"/>
        </w:rPr>
        <w:t>Công nghệ cho tốc độ và đổi mới phân tán</w:t>
      </w:r>
    </w:p>
    <w:p>
      <w:pPr>
        <w:jc w:val="center"/>
      </w:pPr>
      <w:r>
        <w:drawing>
          <wp:inline xmlns:a="http://schemas.openxmlformats.org/drawingml/2006/main" xmlns:pic="http://schemas.openxmlformats.org/drawingml/2006/picture">
            <wp:extent cx="5486400" cy="3405606"/>
            <wp:docPr id="118" name="Picture 118"/>
            <wp:cNvGraphicFramePr>
              <a:graphicFrameLocks noChangeAspect="1"/>
            </wp:cNvGraphicFramePr>
            <a:graphic>
              <a:graphicData uri="http://schemas.openxmlformats.org/drawingml/2006/picture">
                <pic:pic>
                  <pic:nvPicPr>
                    <pic:cNvPr id="0" name="p04f001.png"/>
                    <pic:cNvPicPr/>
                  </pic:nvPicPr>
                  <pic:blipFill>
                    <a:blip r:embed="rId92"/>
                    <a:stretch>
                      <a:fillRect/>
                    </a:stretch>
                  </pic:blipFill>
                  <pic:spPr>
                    <a:xfrm>
                      <a:off x="0" y="0"/>
                      <a:ext cx="5486400" cy="3405606"/>
                    </a:xfrm>
                    <a:prstGeom prst="rect"/>
                  </pic:spPr>
                </pic:pic>
              </a:graphicData>
            </a:graphic>
          </wp:inline>
        </w:drawing>
      </w:r>
    </w:p>
    <w:p>
      <w:pPr>
        <w:pStyle w:val="Heading2"/>
      </w:pPr>
      <w:r>
        <w:rPr>
          <w:rFonts w:ascii="Calibri" w:hAnsi="Calibri"/>
          <w:b/>
          <w:i w:val="0"/>
          <w:sz w:val="32"/>
        </w:rPr>
        <w:t>Những gì các nhà lãnh đạo kinh doanh và công nghệ cần biết để giúp toàn bộ tổ chức đổi mới</w:t>
      </w:r>
    </w:p>
    <w:p>
      <w:pPr>
        <w:spacing w:after="80"/>
      </w:pPr>
      <w:r>
        <w:rPr>
          <w:b w:val="0"/>
          <w:i/>
        </w:rPr>
        <w:t>Hợp tác với Martin Harrysson và Brent Pabst</w:t>
      </w:r>
    </w:p>
    <w:p>
      <w:pPr>
        <w:spacing w:after="80"/>
      </w:pPr>
      <w:r>
        <w:rPr>
          <w:b w:val="0"/>
          <w:i w:val="0"/>
        </w:rPr>
        <w:t>Jane là một nhà lãnh đạo chuyên môn mạnh mẽ tại một công ty bảo hiểm nổi tiếng. Cô giám sát việc tạo ra một trải nghiệm thống nhất cho các đại lý bảo hiểm của công ty, giúp họ bán các sản phẩm bảo hiểm khác nhau của công ty từ một nền tảng duy nhất, tinh gọn. Cô quản lý 400 người cung cấp hỗ trợ vận hành hàng ngày cho các đại lý bán hàng và thêm 200 người tập trung vào việc phát triển nền tảng và các dịch vụ trực tuyến khác nhau cho đại lý.</w:t>
      </w:r>
    </w:p>
    <w:p>
      <w:pPr>
        <w:spacing w:after="80"/>
      </w:pPr>
      <w:r>
        <w:rPr>
          <w:b w:val="0"/>
          <w:i w:val="0"/>
        </w:rPr>
        <w:t>Dù tầm nhìn của cô rõ ràng và nguồn lực đầy đủ, Jane vẫn thất vọng vì tiến độ chậm chạp của các nhóm phát triển. Phải mất nhiều tháng để IT cung cấp cho các nhóm của Jane môi trường phát triển phù hợp, và việc tiếp cận đúng dữ liệu cần đến hàng tá phê duyệt, tất cả đều kèm theo một câu hỏi nghe có vẻ châm biếm: "Tại sao bạn cần dữ liệu này?" Kiểu ma sát này khiến Jane cảm thấy cô phải phát minh lại bánh xe mỗi khi nhóm cô phát triển một giải pháp AI mới. "Tại sao việc này lại phức tạp đến vậy?" cô tự hỏi.</w:t>
      </w:r>
    </w:p>
    <w:p>
      <w:pPr>
        <w:spacing w:after="80"/>
      </w:pPr>
      <w:r>
        <w:rPr>
          <w:b w:val="0"/>
          <w:i w:val="0"/>
        </w:rPr>
        <w:t>Jane đang bế tắc. Môi trường công nghệ tại công ty cô chưa phát triển đủ để cho phép đổi mới kinh doanh dựa trên phần mềm với tốc độ nhanh. Không quan trọng các nhóm của cô có đang làm việc theo cách agile hay không—Jane và đồng đội sẽ vẫn bế tắc cho đến khi môi trường công nghệ và các thực hành phát triển mô hình phần mềm được hiện đại hóa.</w:t>
      </w:r>
    </w:p>
    <w:p>
      <w:pPr>
        <w:spacing w:after="80"/>
      </w:pPr>
      <w:r>
        <w:rPr>
          <w:b w:val="0"/>
          <w:i w:val="0"/>
        </w:rPr>
        <w:t>Tình cảnh của Jane là điều mà gần như mọi giám đốc điều hành cấp cao đều từng trải qua. Và đó là điều mà mọi nhà lãnh đạo cần giải quyết. Nếu bạn không làm, bạn không thể mơ đến việc trở thành một doanh nghiệp được tái cấu trúc (rewired).</w:t>
      </w:r>
    </w:p>
    <w:p>
      <w:pPr>
        <w:spacing w:after="80"/>
      </w:pPr>
      <w:r>
        <w:rPr>
          <w:b w:val="0"/>
          <w:i w:val="0"/>
        </w:rPr>
        <w:t>Những ai trong các bạn không có nền tảng công nghệ có thể bị cám dỗ bỏ qua phần này. Đừng!</w:t>
      </w:r>
    </w:p>
    <w:p>
      <w:pPr>
        <w:spacing w:after="80"/>
      </w:pPr>
      <w:r>
        <w:rPr>
          <w:b/>
          <w:i/>
        </w:rPr>
        <w:t>Trong một thế giới vận hành bởi AI, công việc của bạn với tư cách nhà lãnh đạo kinh doanh không còn chỉ là dẫn dắt doanh nghiệp—mà là kiến trúc nó. Những giám đốc điều hành hiệu quả nhất hiểu các nền tảng của công nghệ để định hình các hệ thống, nền tảng và thực hành kỹ thuật quyết định tốc độ công ty có thể đổi mới và cạnh tranh</w:t>
      </w:r>
      <w:r>
        <w:rPr>
          <w:b/>
          <w:i w:val="0"/>
        </w:rPr>
        <w:t>.</w:t>
      </w:r>
    </w:p>
    <w:p>
      <w:pPr>
        <w:spacing w:after="80"/>
      </w:pPr>
      <w:r>
        <w:rPr>
          <w:b w:val="0"/>
          <w:i w:val="0"/>
        </w:rPr>
        <w:t>Trong các chương này, chúng tôi sẽ giúp bạn hiểu điều gì quan trọng trong một môi trường công nghệ hiện đại và những quyết định quan trọng bạn sẽ cần đưa ra.</w:t>
      </w:r>
    </w:p>
    <w:p>
      <w:pPr>
        <w:spacing w:after="80"/>
      </w:pPr>
      <w:r>
        <w:rPr>
          <w:b/>
          <w:i w:val="0"/>
        </w:rPr>
        <w:t>Chương 17. Những nền tảng vận hành doanh nghiệp.</w:t>
      </w:r>
      <w:r>
        <w:rPr>
          <w:b w:val="0"/>
          <w:i w:val="0"/>
        </w:rPr>
        <w:t xml:space="preserve"> Các công ty hàng đầu đang khám phá ra rằng lợi thế bền vững nhất của họ đến từ những nền tảng họ xây dựng bên trong doanh nghiệp: những năng lực chia sẻ giúp mọi nhóm nhanh hơn, nâng cao khả năng tái sử dụng trên toàn doanh nghiệp, và tăng tốc đổi mới.</w:t>
      </w:r>
    </w:p>
    <w:p>
      <w:pPr>
        <w:spacing w:after="80"/>
      </w:pPr>
      <w:r>
        <w:rPr>
          <w:b/>
          <w:i w:val="0"/>
        </w:rPr>
        <w:t>Chương 18. Làm cho công nghệ của bạn linh hoạt và có thể mở rộng—xin chào APIs!</w:t>
      </w:r>
      <w:r>
        <w:rPr>
          <w:b w:val="0"/>
          <w:i w:val="0"/>
        </w:rPr>
        <w:t xml:space="preserve"> API về cơ bản là các đầu nối giữa các ứng dụng và hệ thống. Một chiến lược API được suy nghĩ kỹ lưỡng giúp dễ dàng thêm và thay thế các ứng dụng và hệ thống, và xây dựng năng lực như xếp các khối LEGO. Đây là bước đầu tiên nền tảng cho bất kỳ công ty nào nghiêm túc với Tech &amp; AI.</w:t>
      </w:r>
    </w:p>
    <w:p>
      <w:pPr>
        <w:spacing w:after="80"/>
      </w:pPr>
      <w:r>
        <w:rPr>
          <w:b/>
          <w:i w:val="0"/>
        </w:rPr>
        <w:t>Chương 19. Các thực hành kỹ thuật để đạt tốc độ và chất lượng.</w:t>
      </w:r>
      <w:r>
        <w:rPr>
          <w:b w:val="0"/>
          <w:i w:val="0"/>
        </w:rPr>
        <w:t xml:space="preserve"> Tự động hóa hiệu quả việc phát triển và triển khai đảm bảo mã chất lượng và tăng tốc triệt để quy trình phần mềm. Điều thiết yếu là trở thành một doanh nghiệp có khả năng cung cấp các giải pháp dựa trên phần mềm chất lượng và các mô hình AI.</w:t>
      </w:r>
    </w:p>
    <w:p>
      <w:pPr>
        <w:spacing w:after="80"/>
      </w:pPr>
      <w:r>
        <w:rPr>
          <w:b/>
          <w:i w:val="0"/>
        </w:rPr>
        <w:t>Chương 20. Cuộc cách mạng AI trong phát triển phần mềm.</w:t>
      </w:r>
      <w:r>
        <w:rPr>
          <w:b w:val="0"/>
          <w:i w:val="0"/>
        </w:rPr>
        <w:t xml:space="preserve"> Tác động thực sự của AI lên phát triển phần mềm không đến từ các công cụ riêng lẻ mà từ việc tái thiết kế mô hình phân phối (và đảm bảo kiến trúc nền tảng có thể hỗ trợ nó). Điều đó xảy ra bằng cách nhúng AI từ đầu đến cuối, triển khai các nhà máy gồm các AI agent tự chủ, và định nghĩa lại vai trò của con người để định hướng, đưa ra phán đoán và đảm bảo chất lượng.</w:t>
      </w:r>
    </w:p>
    <w:p>
      <w:pPr>
        <w:spacing w:after="80"/>
      </w:pPr>
      <w:r>
        <w:rPr>
          <w:b/>
          <w:i w:val="0"/>
        </w:rPr>
        <w:t>Chương 21. Một nền tảng AI để tăng tốc phát triển mô hình.</w:t>
      </w:r>
      <w:r>
        <w:rPr>
          <w:b w:val="0"/>
          <w:i w:val="0"/>
        </w:rPr>
        <w:t xml:space="preserve"> Hầu hết các doanh nghiệp lớn rồi sẽ xây dựng hàng trăm mô hình AI (hoặc quy trình AI) và hơn thế nữa. Bạn không thể làm được điều đó nếu mỗi lần đều bắt đầu lại từ con số không. Một nền tảng AI tăng tốc quá trình đó bằng cách giúp dễ dàng tìm và tái sử dụng các thành phần khác nhau, và bằng cách tự động hóa các thực hành về rủi ro và chất lượng.</w:t>
      </w:r>
    </w:p>
    <w:p>
      <w:pPr>
        <w:spacing w:after="80"/>
      </w:pPr>
      <w:r>
        <w:rPr>
          <w:b/>
          <w:i w:val="0"/>
        </w:rPr>
        <w:t>Chương 22. Nghệ thuật phát triển các giải pháp AI dạng agent.</w:t>
      </w:r>
      <w:r>
        <w:rPr>
          <w:b w:val="0"/>
          <w:i w:val="0"/>
        </w:rPr>
        <w:t xml:space="preserve"> Các mô hình AI giờ đây có thể liên tục làm việc trong thời gian dài, mở ra khả năng xây dựng các quy trình agent phức tạp. Khả năng của một công ty trong việc biến các mô hình nền tảng mạnh mẽ thành các hệ thống kinh doanh đáng tin cậy, có khả năng mở rộng sẽ dựa trên mức độ chu đáo mà công ty cấu hình các agent và giảm thiểu rủi ro.</w:t>
      </w:r>
    </w:p>
    <w:p>
      <w:pPr>
        <w:spacing w:after="80"/>
      </w:pPr>
      <w:r>
        <w:rPr>
          <w:b/>
          <w:i w:val="0"/>
        </w:rPr>
        <w:t>Chương 23. Một cách tiếp cận phẫu thuật hơn để hiện đại hóa các hệ thống cốt lõi.</w:t>
      </w:r>
      <w:r>
        <w:rPr>
          <w:b w:val="0"/>
          <w:i w:val="0"/>
        </w:rPr>
        <w:t xml:space="preserve"> Một công ty thực sự cần hiện đại hóa hệ thống cốt lõi đến mức nào để trở thành một doanh nghiệp được tái cấu trúc? Câu trả lời phụ thuộc vào những kết quả bạn đang theo đuổi, bởi vì hiện đại hóa không bao giờ là câu hỏi được ăn cả ngã về không. Bạn có thể thúc đẩy chương trình nghị sự Công nghệ &amp; AI của mình ngay cả khi các hệ thống cũ vẫn còn tồn tại.</w:t>
      </w:r>
    </w:p>
    <w:p>
      <w:pPr>
        <w:pStyle w:val="Heading2"/>
      </w:pPr>
      <w:r>
        <w:rPr>
          <w:rFonts w:ascii="Calibri" w:hAnsi="Calibri"/>
          <w:b/>
          <w:i w:val="0"/>
          <w:sz w:val="32"/>
        </w:rPr>
        <w:t>Ghi chú</w:t>
      </w:r>
    </w:p>
    <w:p>
      <w:pPr>
        <w:spacing w:after="80"/>
        <w:ind w:left="360"/>
      </w:pPr>
      <w:r>
        <w:t xml:space="preserve">1. </w:t>
      </w:r>
      <w:r>
        <w:rPr>
          <w:b w:val="0"/>
          <w:i w:val="0"/>
        </w:rPr>
        <w:t>1   Martin Harrysson là senior partner tại văn phòng San Francisco của McKinsey; Brent Pabst là partner tại văn phòng Carolinas.</w:t>
      </w:r>
    </w:p>
    <w:p>
      <w:pPr>
        <w:pStyle w:val="Heading2"/>
      </w:pPr>
      <w:r>
        <w:rPr>
          <w:rFonts w:ascii="Calibri" w:hAnsi="Calibri"/>
          <w:b/>
          <w:i/>
          <w:sz w:val="32"/>
        </w:rPr>
        <w:t>"Việc tạo ra một ngàn khu rừng nằm trong một hạt sồi."</w:t>
      </w:r>
    </w:p>
    <w:p>
      <w:pPr>
        <w:spacing w:after="80"/>
      </w:pPr>
      <w:r>
        <w:rPr>
          <w:b/>
          <w:i w:val="0"/>
        </w:rPr>
        <w:t>— Ralph Waldo Emerson</w:t>
      </w:r>
    </w:p>
    <w:p>
      <w:pPr>
        <w:pStyle w:val="Heading1"/>
      </w:pPr>
      <w:r>
        <w:rPr>
          <w:rFonts w:ascii="Calibri" w:hAnsi="Calibri"/>
          <w:b/>
          <w:i w:val="0"/>
          <w:sz w:val="40"/>
        </w:rPr>
        <w:t>CHƯƠNG 17</w:t>
      </w:r>
      <w:r>
        <w:rPr>
          <w:rFonts w:ascii="Calibri" w:hAnsi="Calibri"/>
          <w:b/>
          <w:i w:val="0"/>
          <w:sz w:val="40"/>
        </w:rPr>
      </w:r>
      <w:r>
        <w:rPr>
          <w:rFonts w:ascii="Calibri" w:hAnsi="Calibri"/>
          <w:b/>
          <w:i w:val="0"/>
          <w:sz w:val="40"/>
        </w:rPr>
        <w:t>Những nền tảng vận hành doanh nghiệp</w:t>
      </w:r>
    </w:p>
    <w:p>
      <w:pPr>
        <w:spacing w:after="80"/>
      </w:pPr>
      <w:r>
        <w:rPr>
          <w:b w:val="0"/>
          <w:i w:val="0"/>
        </w:rPr>
        <w:t>Hầu hết các lãnh đạo cấp cao có thể đọc vanh vách chiến lược, hiệu quả P&amp;L, cơ cấu tổ chức và chương trình nghị sự về nhân tài của mình ngay cả trong giấc ngủ. Nhưng rất ít người có thể trình bày rõ ràng tình trạng các nền tảng công nghệ của mình—bộ xương sống quyết định doanh nghiệp có thể đổi mới nhanh đến đâu, vận hành đáng tin cậy đến mức nào, và vị thế cạnh tranh của mình thực sự vững chắc ra sao. Và nếu bạn không hiểu nó, bạn không thể quản trị nó, đầu tư vào nó, hay kỳ vọng nó mang lại kết quả.</w:t>
      </w:r>
    </w:p>
    <w:p>
      <w:pPr>
        <w:pStyle w:val="Heading2"/>
      </w:pPr>
      <w:r>
        <w:rPr>
          <w:rFonts w:ascii="Calibri" w:hAnsi="Calibri"/>
          <w:b/>
          <w:i w:val="0"/>
          <w:sz w:val="32"/>
        </w:rPr>
        <w:t>Các câu hỏi kinh doanh mà chương này sẽ giúp bạn trả lời</w:t>
      </w:r>
    </w:p>
    <w:p>
      <w:pPr>
        <w:spacing w:after="80"/>
        <w:ind w:left="360"/>
      </w:pPr>
      <w:r>
        <w:t xml:space="preserve">• </w:t>
      </w:r>
      <w:r>
        <w:rPr>
          <w:b w:val="0"/>
          <w:i w:val="0"/>
        </w:rPr>
        <w:t>Bạn có thể mô tả kiến trúc nền tảng của mình và cách nó giúp doanh nghiệp của bạn cạnh tranh hơn không?</w:t>
      </w:r>
    </w:p>
    <w:p>
      <w:pPr>
        <w:spacing w:after="80"/>
        <w:ind w:left="360"/>
      </w:pPr>
      <w:r>
        <w:t xml:space="preserve">• </w:t>
      </w:r>
      <w:r>
        <w:rPr>
          <w:b w:val="0"/>
          <w:i w:val="0"/>
        </w:rPr>
        <w:t>Nền tảng nào của bạn đang yếu kém và ảnh hưởng đến khả năng đổi mới và phục vụ khách hàng tốt hơn của bạn?</w:t>
      </w:r>
    </w:p>
    <w:p>
      <w:pPr>
        <w:spacing w:after="80"/>
        <w:ind w:left="360"/>
      </w:pPr>
      <w:r>
        <w:t xml:space="preserve">• </w:t>
      </w:r>
      <w:r>
        <w:rPr>
          <w:b w:val="0"/>
          <w:i w:val="0"/>
        </w:rPr>
        <w:t>Bạn có tổ chức và quản lý các nền tảng của mình để khai thác tối đa chúng không?</w:t>
      </w:r>
    </w:p>
    <w:p>
      <w:pPr>
        <w:spacing w:after="80"/>
        <w:ind w:left="360"/>
      </w:pPr>
      <w:r>
        <w:t xml:space="preserve">• </w:t>
      </w:r>
      <w:r>
        <w:rPr>
          <w:b w:val="0"/>
          <w:i w:val="0"/>
        </w:rPr>
        <w:t>Đội ngũ lãnh đạo hàng đầu của bạn có đang dành đủ sự quan tâm cho sức khỏe các nền tảng của mình không?</w:t>
      </w:r>
    </w:p>
    <w:p>
      <w:pPr>
        <w:spacing w:after="80"/>
      </w:pPr>
      <w:r>
        <w:rPr>
          <w:b w:val="0"/>
          <w:i w:val="0"/>
        </w:rPr>
        <w:t>Nền tảng được kiến trúc tốt sẽ tăng tốc mọi thứ: ra mắt sản phẩm, tự động hóa, tái sử dụng dữ liệu, triển khai AI, khả năng phục hồi, v.v. Nền tảng yếu kém sẽ làm chậm mọi thứ và đánh thuế doanh nghiệp bằng những chi phí ẩn, dưới dạng phức tạp, mong manh, chu kỳ kéo dài, và sự phụ thuộc vào một vài cá nhân "anh hùng" những người "biết hệ thống vận hành như thế nào".</w:t>
      </w:r>
    </w:p>
    <w:p>
      <w:pPr>
        <w:spacing w:after="80"/>
      </w:pPr>
      <w:r>
        <w:rPr>
          <w:b/>
          <w:i/>
        </w:rPr>
        <w:t>Nếu bạn khao khát trở thành CEO—hoặc vẫn là một CEO hiệu quả—bạn phải đối xử với các nền tảng công nghệ của mình với cùng mức độ nghiêm ngặt và tinh thần làm chủ như đối với chiến lược và thiết kế tổ chức</w:t>
      </w:r>
      <w:r>
        <w:rPr>
          <w:b/>
          <w:i w:val="0"/>
        </w:rPr>
        <w:t>.</w:t>
      </w:r>
    </w:p>
    <w:p>
      <w:pPr>
        <w:pStyle w:val="Heading2"/>
      </w:pPr>
      <w:r>
        <w:rPr>
          <w:rFonts w:ascii="Calibri" w:hAnsi="Calibri"/>
          <w:b/>
          <w:i w:val="0"/>
          <w:sz w:val="32"/>
        </w:rPr>
        <w:t>Vậy nền tảng rốt cuộc là gì và tại sao chúng lại quan trọng?</w:t>
      </w:r>
    </w:p>
    <w:p>
      <w:pPr>
        <w:spacing w:after="80"/>
      </w:pPr>
      <w:r>
        <w:rPr>
          <w:b w:val="0"/>
          <w:i w:val="0"/>
        </w:rPr>
        <w:t>"Platform" (nền tảng) có thể là một trong những từ bị lạm dụng nhiều nhất trong kinh doanh ngày nay. Thuật ngữ này được dùng để định nghĩa nhiều thứ: một mô hình kinh doanh, một công nghệ, một dịch vụ, hay một năng lực. Thật khó hiểu. Chúng tôi biết điều đó.</w:t>
      </w:r>
    </w:p>
    <w:p>
      <w:pPr>
        <w:spacing w:after="80"/>
      </w:pPr>
      <w:r>
        <w:rPr>
          <w:b w:val="0"/>
          <w:i w:val="0"/>
        </w:rPr>
        <w:t>Hãy bắt đầu bằng việc định nghĩa các loại nền tảng được hỗ trợ bởi công nghệ khác nhau (Hình 17.1).</w:t>
      </w:r>
    </w:p>
    <w:p>
      <w:pPr>
        <w:spacing w:after="80"/>
      </w:pPr>
      <w:r>
        <w:rPr>
          <w:b w:val="0"/>
          <w:i w:val="0"/>
        </w:rPr>
        <w:t>Chúng ta đã giới thiệu về nền tảng nội bộ (internal platform) và nền tảng hướng khách hàng (customer-facing platform) trong Phần Ba. Để đầy đủ hơn, chúng tôi đã thêm nền tảng chợ (marketplace platform), thứ mà chúng ta đều quen thuộc với tư cách người tiêu dùng, và nền tảng năng lực dưới dạng dịch vụ (capability-as-a-service - CaaS), đây là sự mở rộng tự nhiên của nền tảng nội bộ khi một công ty quyết định thương mại hóa một năng lực.</w:t>
      </w:r>
    </w:p>
    <w:p>
      <w:pPr>
        <w:jc w:val="center"/>
      </w:pPr>
      <w:r>
        <w:drawing>
          <wp:inline xmlns:a="http://schemas.openxmlformats.org/drawingml/2006/main" xmlns:pic="http://schemas.openxmlformats.org/drawingml/2006/picture">
            <wp:extent cx="5486400" cy="4973818"/>
            <wp:docPr id="119" name="Picture 119"/>
            <wp:cNvGraphicFramePr>
              <a:graphicFrameLocks noChangeAspect="1"/>
            </wp:cNvGraphicFramePr>
            <a:graphic>
              <a:graphicData uri="http://schemas.openxmlformats.org/drawingml/2006/picture">
                <pic:pic>
                  <pic:nvPicPr>
                    <pic:cNvPr id="0" name="c17ex001.png"/>
                    <pic:cNvPicPr/>
                  </pic:nvPicPr>
                  <pic:blipFill>
                    <a:blip r:embed="rId93"/>
                    <a:stretch>
                      <a:fillRect/>
                    </a:stretch>
                  </pic:blipFill>
                  <pic:spPr>
                    <a:xfrm>
                      <a:off x="0" y="0"/>
                      <a:ext cx="5486400" cy="4973818"/>
                    </a:xfrm>
                    <a:prstGeom prst="rect"/>
                  </pic:spPr>
                </pic:pic>
              </a:graphicData>
            </a:graphic>
          </wp:inline>
        </w:drawing>
      </w:r>
    </w:p>
    <w:p>
      <w:pPr>
        <w:spacing w:after="160"/>
        <w:jc w:val="center"/>
      </w:pPr>
      <w:r>
        <w:rPr>
          <w:rFonts w:ascii="Calibri" w:hAnsi="Calibri"/>
          <w:b w:val="0"/>
          <w:i/>
          <w:sz w:val="19"/>
        </w:rPr>
        <w:t>HÌNH 17.1</w:t>
      </w:r>
    </w:p>
    <w:p>
      <w:pPr>
        <w:spacing w:after="80"/>
      </w:pPr>
      <w:r>
        <w:rPr>
          <w:b/>
          <w:i/>
        </w:rPr>
        <w:t>Nền tảng là những năng lực tổ chức được quản lý, không chỉ là những mảnh ghép công nghệ. Chúng có những đội ngũ chuyên trách chịu trách nhiệm về công nghệ, dữ liệu, và bí quyết vận hành năng lực đó, cùng với lộ trình, ngân sách, và các mức dịch vụ để liên tục cải thiện hiệu suất và giảm chi phí vận hành</w:t>
      </w:r>
      <w:r>
        <w:rPr>
          <w:b/>
          <w:i w:val="0"/>
        </w:rPr>
        <w:t>.</w:t>
      </w:r>
    </w:p>
    <w:p>
      <w:pPr>
        <w:spacing w:after="80"/>
      </w:pPr>
      <w:r>
        <w:rPr>
          <w:b w:val="0"/>
          <w:i w:val="0"/>
        </w:rPr>
        <w:t>Stephanie Woerner và Peter Weill từ MIT đã nghiên cứu cách các công ty sử dụng nền tảng để điều hành hoạt động kinh doanh của họ. Họ phát hiện rằng những công ty sử dụng nền tảng có hiệu suất tài chính mạnh mẽ hơn nhiều—cả về tăng trưởng lẫn biên lợi nhuận—so với các đối thủ cùng ngành.</w:t>
      </w:r>
    </w:p>
    <w:p>
      <w:pPr>
        <w:spacing w:after="80"/>
      </w:pPr>
      <w:r>
        <w:rPr>
          <w:b w:val="0"/>
          <w:i w:val="0"/>
        </w:rPr>
        <w:t>Một số công ty lập luận rằng tốt hơn là để mỗi mảng kinh doanh hay chức năng tự xây dựng ngăn xếp công nghệ riêng vì điều đó thúc đẩy đổi mới nhanh hơn với tinh thần làm chủ kết quả mạnh mẽ hơn. Họ coi nền tảng là quan liêu và tạo ra những sự phụ thuộc làm chậm họ lại.</w:t>
      </w:r>
    </w:p>
    <w:p>
      <w:pPr>
        <w:spacing w:after="80"/>
      </w:pPr>
      <w:r>
        <w:rPr>
          <w:b w:val="0"/>
          <w:i w:val="0"/>
        </w:rPr>
        <w:t>Nhưng khi nhìn sâu vào bên trong, cách tiếp cận này dẫn đến cái mà Woerner và Weill mô tả là "những ốc đảo và mớ mì spaghetti"</w:t>
      </w:r>
      <w:r>
        <w:rPr>
          <w:b w:val="0"/>
          <w:i/>
        </w:rPr>
        <w:t>—</w:t>
      </w:r>
      <w:r>
        <w:rPr>
          <w:b w:val="0"/>
          <w:i w:val="0"/>
        </w:rPr>
        <w:t>những ngăn xếp công nghệ bị chia cắt, kết nối với nhau bằng phần mềm trung gian rối rắm như mì spaghetti. Nghiên cứu của họ cho thấy rằng, dù tin rằng mô hình này giúp họ nhanh hơn, những công ty có kiểu kiến trúc này lại đạt hiệu suất tài chính yếu kém nhất.</w:t>
      </w:r>
    </w:p>
    <w:p>
      <w:pPr>
        <w:spacing w:after="80"/>
      </w:pPr>
      <w:r>
        <w:rPr>
          <w:b w:val="0"/>
          <w:i w:val="0"/>
        </w:rPr>
        <w:t>Trong thế hệ đầu tiên của chuyển đổi số, nền tảng thường bị coi là "hệ thống ống nước IT"—cần thiết nhưng hiếm khi mang tính chiến lược. Quan điểm đó đã lỗi thời từ lâu. Nền tảng cơ bản đối với hiệu suất quan trọng không kém gì chiến lược và phân bổ vốn.</w:t>
      </w:r>
    </w:p>
    <w:p>
      <w:pPr>
        <w:pStyle w:val="Heading2"/>
      </w:pPr>
      <w:r>
        <w:rPr>
          <w:rFonts w:ascii="Calibri" w:hAnsi="Calibri"/>
          <w:b/>
          <w:i w:val="0"/>
          <w:sz w:val="32"/>
        </w:rPr>
        <w:t>Hiểu cách các giải pháp được xây dựng và vai trò của nền tảng</w:t>
      </w:r>
    </w:p>
    <w:p>
      <w:pPr>
        <w:spacing w:after="80"/>
      </w:pPr>
      <w:r>
        <w:rPr>
          <w:b w:val="0"/>
          <w:i w:val="0"/>
        </w:rPr>
        <w:t>Giờ chúng ta sẽ đào sâu vào nền tảng nội bộ vì chúng là chìa khóa để có một môi trường công nghệ hỗ trợ đổi mới phân tán và phát triển nhanh.</w:t>
      </w:r>
    </w:p>
    <w:p>
      <w:pPr>
        <w:spacing w:after="80"/>
      </w:pPr>
      <w:r>
        <w:rPr>
          <w:b w:val="0"/>
          <w:i w:val="0"/>
        </w:rPr>
        <w:t>Hãy bắt đầu với bức tranh tổng thể.</w:t>
      </w:r>
    </w:p>
    <w:p>
      <w:pPr>
        <w:spacing w:after="80"/>
      </w:pPr>
      <w:r>
        <w:rPr>
          <w:b w:val="0"/>
          <w:i w:val="0"/>
        </w:rPr>
        <w:t>Các giải pháp công nghệ &amp; AI được xây dựng theo từng lớp, như một "ngăn xếp" (stack) (Hình 17.2). Ở trên cùng của ngăn xếp giải pháp là người dùng, người trải nghiệm giải pháp thông qua một ứng dụng số. Ứng dụng này lấy "trí tuệ" từ các mô hình phân tích/AI bên dưới, và đến lượt chúng lại lấy dữ liệu được tổng hợp từ các hệ thống lõi khác nhau hoặc các nguồn dữ liệu bên ngoài.</w:t>
      </w:r>
    </w:p>
    <w:p>
      <w:pPr>
        <w:spacing w:after="80"/>
      </w:pPr>
      <w:r>
        <w:rPr>
          <w:b w:val="0"/>
          <w:i w:val="0"/>
        </w:rPr>
        <w:t>Cuối cùng, lớp hạ tầng và bảo mật cung cấp năng lực tính toán và lưu trữ để vận hành và bảo vệ các giải pháp. Các lớp khác nhau này giao tiếp với nhau thông qua giao diện lập trình ứng dụng, hay API.</w:t>
      </w:r>
    </w:p>
    <w:p>
      <w:pPr>
        <w:jc w:val="center"/>
      </w:pPr>
      <w:r>
        <w:drawing>
          <wp:inline xmlns:a="http://schemas.openxmlformats.org/drawingml/2006/main" xmlns:pic="http://schemas.openxmlformats.org/drawingml/2006/picture">
            <wp:extent cx="5486400" cy="3396961"/>
            <wp:docPr id="120" name="Picture 120"/>
            <wp:cNvGraphicFramePr>
              <a:graphicFrameLocks noChangeAspect="1"/>
            </wp:cNvGraphicFramePr>
            <a:graphic>
              <a:graphicData uri="http://schemas.openxmlformats.org/drawingml/2006/picture">
                <pic:pic>
                  <pic:nvPicPr>
                    <pic:cNvPr id="0" name="c17ex002.png"/>
                    <pic:cNvPicPr/>
                  </pic:nvPicPr>
                  <pic:blipFill>
                    <a:blip r:embed="rId94"/>
                    <a:stretch>
                      <a:fillRect/>
                    </a:stretch>
                  </pic:blipFill>
                  <pic:spPr>
                    <a:xfrm>
                      <a:off x="0" y="0"/>
                      <a:ext cx="5486400" cy="3396961"/>
                    </a:xfrm>
                    <a:prstGeom prst="rect"/>
                  </pic:spPr>
                </pic:pic>
              </a:graphicData>
            </a:graphic>
          </wp:inline>
        </w:drawing>
      </w:r>
    </w:p>
    <w:p>
      <w:pPr>
        <w:spacing w:after="160"/>
        <w:jc w:val="center"/>
      </w:pPr>
      <w:r>
        <w:rPr>
          <w:rFonts w:ascii="Calibri" w:hAnsi="Calibri"/>
          <w:b w:val="0"/>
          <w:i/>
          <w:sz w:val="19"/>
        </w:rPr>
        <w:t>TRIỂN LÃM 17.2</w:t>
      </w:r>
    </w:p>
    <w:p>
      <w:pPr>
        <w:spacing w:after="80"/>
      </w:pPr>
      <w:r>
        <w:rPr>
          <w:b w:val="0"/>
          <w:i w:val="0"/>
        </w:rPr>
        <w:t>Để xây dựng các lớp giải pháp này một cách hiệu quả và với mức độ bảo mật phù hợp, các đội ngũ sử dụng một bộ nền tảng công nghệ chung. Những nền tảng này giúp các đội ngũ làm việc dễ dàng hơn bằng cách tái sử dụng các thành phần và dịch vụ sẵn có. Nhờ đó, họ có thể tập trung nhiều hơn vào việc mang lại đổi mới cho doanh nghiệp và ít phải "phát minh lại bánh xe" hơn. Sáu nền tảng sau đây hỗ trợ các yếu tố của chồng giải pháp:</w:t>
      </w:r>
    </w:p>
    <w:p>
      <w:pPr>
        <w:spacing w:after="80"/>
        <w:ind w:left="360"/>
      </w:pPr>
      <w:r>
        <w:t xml:space="preserve">• </w:t>
      </w:r>
      <w:r>
        <w:rPr>
          <w:b/>
          <w:i w:val="0"/>
        </w:rPr>
        <w:t>Nền tảng API.</w:t>
      </w:r>
      <w:r>
        <w:rPr>
          <w:b w:val="0"/>
          <w:i w:val="0"/>
        </w:rPr>
        <w:t xml:space="preserve"> Lớp "kết nối" cho phép các hệ thống và đội ngũ khác nhau dễ dàng kết nối với nhau thông qua API. Nó giúp các năng lực nghiệp vụ và kỹ thuật trở nên dễ tiếp cận thông qua các API có thể tái sử dụng, an toàn để các đội ngũ có thể tích hợp và xây dựng nhanh hơn. (Chúng ta sẽ bàn về điều này trong Chương 18.)</w:t>
      </w:r>
    </w:p>
    <w:p>
      <w:pPr>
        <w:spacing w:after="80"/>
        <w:ind w:left="360"/>
      </w:pPr>
      <w:r>
        <w:t xml:space="preserve">• </w:t>
      </w:r>
      <w:r>
        <w:rPr>
          <w:b/>
          <w:i w:val="0"/>
        </w:rPr>
        <w:t>Nền tảng kỹ thuật.</w:t>
      </w:r>
      <w:r>
        <w:rPr>
          <w:b w:val="0"/>
          <w:i w:val="0"/>
        </w:rPr>
        <w:t xml:space="preserve"> Bộ công cụ chung giúp các đội ngũ xây dựng và cải thiện phần mềm với ít trở ngại hơn nhiều. Nó cung cấp các công cụ và dịch vụ được tuyển chọn để giúp kỹ sư xây dựng, kiểm thử, triển khai và vận hành phần mềm một cách nhanh chóng và đáng tin cậy (được bàn trong Chương 19).</w:t>
      </w:r>
    </w:p>
    <w:p>
      <w:pPr>
        <w:spacing w:after="80"/>
        <w:ind w:left="360"/>
      </w:pPr>
      <w:r>
        <w:t xml:space="preserve">• </w:t>
      </w:r>
      <w:r>
        <w:rPr>
          <w:b/>
          <w:i w:val="0"/>
        </w:rPr>
        <w:t>Nền tảng AI.</w:t>
      </w:r>
      <w:r>
        <w:rPr>
          <w:b w:val="0"/>
          <w:i w:val="0"/>
        </w:rPr>
        <w:t xml:space="preserve"> Nơi trung tâm để các đội ngũ truy cập các mô hình AI, công cụ và rào chắn bảo vệ dùng chung—cùng với hạ tầng để vận hành và giám sát các hệ thống AI và tác tử một cách an toàn và ở quy mô lớn (được đề cập trong Chương 21).</w:t>
      </w:r>
    </w:p>
    <w:p>
      <w:pPr>
        <w:spacing w:after="80"/>
        <w:ind w:left="360"/>
      </w:pPr>
      <w:r>
        <w:t xml:space="preserve">• </w:t>
      </w:r>
      <w:r>
        <w:rPr>
          <w:b/>
          <w:i w:val="0"/>
        </w:rPr>
        <w:t>Nền tảng dữ liệu.</w:t>
      </w:r>
      <w:r>
        <w:rPr>
          <w:b w:val="0"/>
          <w:i w:val="0"/>
        </w:rPr>
        <w:t xml:space="preserve"> Trung tâm được tổ chức ngăn nắp nơi công ty lưu trữ, làm sạch và chia sẻ dữ liệu quan trọng của mình. Đây là nền tảng được quản trị chặt chẽ để thu thập, cấu trúc và cung cấp dữ liệu chất lượng cao cho phân tích, AI và vận hành (được bàn thêm trong Chương 26).</w:t>
      </w:r>
    </w:p>
    <w:p>
      <w:pPr>
        <w:spacing w:after="80"/>
        <w:ind w:left="360"/>
      </w:pPr>
      <w:r>
        <w:t xml:space="preserve">• </w:t>
      </w:r>
      <w:r>
        <w:rPr>
          <w:b/>
          <w:i w:val="0"/>
        </w:rPr>
        <w:t>Nền tảng doanh nghiệp.</w:t>
      </w:r>
      <w:r>
        <w:rPr>
          <w:b w:val="0"/>
          <w:i w:val="0"/>
        </w:rPr>
        <w:t xml:space="preserve"> Các hệ thống lớn vận hành hoạt động thường nhật của công ty như tài chính, chuỗi cung ứng, hay quản lý khách hàng, và là nơi lưu giữ dữ liệu có thẩm quyền (được bàn thêm trong Chương 23).</w:t>
      </w:r>
    </w:p>
    <w:p>
      <w:pPr>
        <w:spacing w:after="80"/>
        <w:ind w:left="360"/>
      </w:pPr>
      <w:r>
        <w:t xml:space="preserve">• </w:t>
      </w:r>
      <w:r>
        <w:rPr>
          <w:b/>
          <w:i w:val="0"/>
        </w:rPr>
        <w:t>Nền tảng hạ tầng và bảo mật.</w:t>
      </w:r>
      <w:r>
        <w:rPr>
          <w:b w:val="0"/>
          <w:i w:val="0"/>
        </w:rPr>
        <w:t xml:space="preserve"> Nền tảng công nghệ đám mây bên dưới. Nó cung cấp năng lực tính toán, lưu trữ, mạng và bảo vệ để mọi giải pháp Công nghệ &amp; AI vận hành một cách đáng tin cậy và an toàn (được bàn thêm trong Chương 20).</w:t>
      </w:r>
    </w:p>
    <w:p>
      <w:pPr>
        <w:spacing w:after="80"/>
      </w:pPr>
      <w:r>
        <w:rPr>
          <w:b w:val="0"/>
          <w:i w:val="0"/>
        </w:rPr>
        <w:t>Mỗi nền tảng trong số này đều cần thiết để cải thiện tốc độ, độ tin cậy, khả năng tái sử dụng và chi phí ở quy mô lớn. Chúng đã tồn tại trong công ty bạn—dù với mức độ trưởng thành khác nhau. Trong các chương tiếp theo, chúng tôi sẽ chỉ ra "tốt" trông như thế nào, những câu hỏi mà các nhà lãnh đạo nên đặt ra, và những quyết định then chốt cần thiết để khai phá trọn vẹn giá trị của chúng.</w:t>
      </w:r>
    </w:p>
    <w:p>
      <w:pPr>
        <w:jc w:val="center"/>
      </w:pPr>
      <w:r>
        <w:drawing>
          <wp:inline xmlns:a="http://schemas.openxmlformats.org/drawingml/2006/main" xmlns:pic="http://schemas.openxmlformats.org/drawingml/2006/picture">
            <wp:extent cx="1905000" cy="95250"/>
            <wp:docPr id="121" name="Picture 121"/>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Sự chuyển dịch từ các hệ thống riêng lẻ sang các nền tảng doanh nghiệp là một trong những nhiệm vụ chiến lược quan trọng nhất mà các công ty thực hiện. Nền tảng không phải là tài sản CNTT—chúng là những năng lực chiến lược lâu dài. Chúng mã hóa chiến lược của công ty, quyết định tốc độ thực thi, giúp giảm chi phí đơn vị, và cho phép AI mở rộng quy mô một cách có trách nhiệm.</w:t>
      </w:r>
    </w:p>
    <w:p>
      <w:pPr>
        <w:spacing w:after="80"/>
      </w:pPr>
      <w:r>
        <w:rPr>
          <w:b w:val="0"/>
          <w:i w:val="0"/>
        </w:rPr>
        <w:t>Những công ty coi trọng nền tảng sẽ có lợi thế tích lũy. Những công ty không làm vậy sẽ chứng kiến sự phức tạp ngày càng tăng, chu kỳ chậm lại, và cấu trúc chi phí trở nên cứng nhắc.</w:t>
      </w:r>
    </w:p>
    <w:p>
      <w:pPr>
        <w:pStyle w:val="Heading2"/>
      </w:pPr>
      <w:r>
        <w:rPr>
          <w:rFonts w:ascii="Calibri" w:hAnsi="Calibri"/>
          <w:b/>
          <w:i w:val="0"/>
          <w:sz w:val="32"/>
        </w:rPr>
        <w:t>Những câu hỏi quan trọng</w:t>
      </w:r>
    </w:p>
    <w:p>
      <w:pPr>
        <w:spacing w:after="80"/>
      </w:pPr>
      <w:r>
        <w:rPr>
          <w:b w:val="0"/>
          <w:i w:val="0"/>
        </w:rPr>
        <w:t>Nếu bạn là một nhà lãnh đạo cấp cao trong tổ chức của mình, bạn nên kiểm tra xem chiến lược nền tảng công nghệ của mình là gì, hiểu rõ các nền tảng của mình được đầu tư và hỗ trợ tốt đến đâu, và liệu bạn có đúng những nền tảng để giúp doanh nghiệp tiến bước nhanh chóng hay không. Những câu hỏi bạn có thể đặt ra: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 1:</w:t>
            </w:r>
          </w:p>
        </w:tc>
        <w:tc>
          <w:tcPr>
            <w:tcW w:type="dxa" w:w="4680"/>
          </w:tcPr>
          <w:p>
            <w:r/>
            <w:r>
              <w:rPr>
                <w:b w:val="0"/>
                <w:i w:val="0"/>
                <w:sz w:val="19"/>
              </w:rPr>
              <w:t>Đội ngũ điều hành của tôi có thể trình bày rõ ràng đến mức nào về giá trị của các nền tảng công nghệ của chúng ta và vai trò của chúng trong việc giúp doanh nghiệp cạnh tranh hơn?</w:t>
            </w:r>
          </w:p>
        </w:tc>
      </w:tr>
      <w:tr>
        <w:tc>
          <w:tcPr>
            <w:tcW w:type="dxa" w:w="4680"/>
          </w:tcPr>
          <w:p>
            <w:r/>
            <w:r>
              <w:rPr>
                <w:b/>
                <w:i w:val="0"/>
                <w:sz w:val="19"/>
              </w:rPr>
              <w:t>Q2:</w:t>
            </w:r>
          </w:p>
        </w:tc>
        <w:tc>
          <w:tcPr>
            <w:tcW w:type="dxa" w:w="4680"/>
          </w:tcPr>
          <w:p>
            <w:r/>
            <w:r>
              <w:rPr>
                <w:b w:val="0"/>
                <w:i w:val="0"/>
                <w:sz w:val="19"/>
              </w:rPr>
              <w:t>Các nền tảng của chúng ta có đội ngũ chuyên trách, nguồn vốn và lộ trình để liên tục cải thiện mức độ phục vụ và giảm chi phí vận hành không? Với tư cách là đội ngũ quản lý cấp cao, chúng ta có đang nắm bắt tốt vấn đề này không?</w:t>
            </w:r>
          </w:p>
        </w:tc>
      </w:tr>
      <w:tr>
        <w:tc>
          <w:tcPr>
            <w:tcW w:type="dxa" w:w="4680"/>
          </w:tcPr>
          <w:p>
            <w:r/>
            <w:r>
              <w:rPr>
                <w:b/>
                <w:i w:val="0"/>
                <w:sz w:val="19"/>
              </w:rPr>
              <w:t>Q3:</w:t>
            </w:r>
          </w:p>
        </w:tc>
        <w:tc>
          <w:tcPr>
            <w:tcW w:type="dxa" w:w="4680"/>
          </w:tcPr>
          <w:p>
            <w:r/>
            <w:r>
              <w:rPr>
                <w:b w:val="0"/>
                <w:i w:val="0"/>
                <w:sz w:val="19"/>
              </w:rPr>
              <w:t>Cộng đồng lập trình viên của chúng ta đánh giá chất lượng các nền tảng nội bộ (tức là API, kỹ thuật, dữ liệu, v.v.) như thế nào?</w:t>
            </w:r>
          </w:p>
        </w:tc>
      </w:tr>
    </w:tbl>
    <w:p>
      <w:pPr>
        <w:spacing w:after="0"/>
      </w:pPr>
    </w:p>
    <w:p>
      <w:pPr>
        <w:pStyle w:val="Heading2"/>
      </w:pPr>
      <w:r>
        <w:rPr>
          <w:rFonts w:ascii="Calibri" w:hAnsi="Calibri"/>
          <w:b/>
          <w:i w:val="0"/>
          <w:sz w:val="32"/>
        </w:rPr>
        <w:t>Ghi chú</w:t>
      </w:r>
    </w:p>
    <w:p>
      <w:pPr>
        <w:spacing w:after="80"/>
        <w:ind w:left="360"/>
      </w:pPr>
      <w:r>
        <w:t xml:space="preserve">1. </w:t>
      </w:r>
      <w:r>
        <w:rPr>
          <w:b w:val="0"/>
          <w:i w:val="0"/>
        </w:rPr>
        <w:t>1   Lấy cảm hứng từ Stephanie Woerner và Peter Weill cùng bản tin nghiên cứu của họ, "Top-performing companies reuse four digital platform designs," MIT Center for Information Systems Research, ngày 15 tháng 5 năm 2025.</w:t>
      </w:r>
    </w:p>
    <w:p>
      <w:pPr>
        <w:spacing w:after="80"/>
        <w:ind w:left="360"/>
      </w:pPr>
      <w:r>
        <w:t xml:space="preserve">2. </w:t>
      </w:r>
      <w:r>
        <w:rPr>
          <w:b w:val="0"/>
          <w:i w:val="0"/>
        </w:rPr>
        <w:t>2   CaaS: Một công ty phơi bày năng lực nội bộ đặc trưng của mình—chẳng hạn như thanh toán, logistics, dữ liệu, danh tính, thẩm định, định tuyến hay dự báo—như một dịch vụ được sản phẩm hóa mà các doanh nghiệp khác có thể tích hợp trực tiếp vào hoạt động của họ.</w:t>
      </w:r>
    </w:p>
    <w:p>
      <w:pPr>
        <w:pStyle w:val="Heading2"/>
      </w:pPr>
      <w:r>
        <w:rPr>
          <w:rFonts w:ascii="Calibri" w:hAnsi="Calibri"/>
          <w:b/>
          <w:i/>
          <w:sz w:val="32"/>
        </w:rPr>
        <w:t>"Chúng ta tạo hình cho các tòa nhà của mình; sau đó chúng tạo hình lại chúng ta."</w:t>
      </w:r>
    </w:p>
    <w:p>
      <w:pPr>
        <w:spacing w:after="80"/>
      </w:pPr>
      <w:r>
        <w:rPr>
          <w:b/>
          <w:i w:val="0"/>
        </w:rPr>
        <w:t>— Winston Churchill</w:t>
      </w:r>
    </w:p>
    <w:p>
      <w:pPr>
        <w:pStyle w:val="Heading1"/>
      </w:pPr>
      <w:r>
        <w:rPr>
          <w:rFonts w:ascii="Calibri" w:hAnsi="Calibri"/>
          <w:b/>
          <w:i w:val="0"/>
          <w:sz w:val="40"/>
        </w:rPr>
        <w:t>CHƯƠNG 18</w:t>
      </w:r>
      <w:r>
        <w:rPr>
          <w:rFonts w:ascii="Calibri" w:hAnsi="Calibri"/>
          <w:b/>
          <w:i w:val="0"/>
          <w:sz w:val="40"/>
        </w:rPr>
      </w:r>
      <w:r>
        <w:rPr>
          <w:rFonts w:ascii="Calibri" w:hAnsi="Calibri"/>
          <w:b/>
          <w:i w:val="0"/>
          <w:sz w:val="40"/>
        </w:rPr>
        <w:t>Hãy làm cho công nghệ của bạn linh hoạt và có khả năng mở rộng—xin chào APIs!</w:t>
      </w:r>
    </w:p>
    <w:p>
      <w:pPr>
        <w:spacing w:after="80"/>
      </w:pPr>
      <w:r>
        <w:rPr>
          <w:b w:val="0"/>
          <w:i w:val="0"/>
        </w:rPr>
        <w:t>Jeff Bezos tại Amazon nổi tiếng với một bản ghi nhớ đã thay đổi Amazon và cả thế giới phần mềm. Về cơ bản, bản ghi nhớ nói rằng:</w:t>
      </w:r>
    </w:p>
    <w:p>
      <w:pPr>
        <w:spacing w:after="80"/>
        <w:ind w:left="360"/>
      </w:pPr>
      <w:r>
        <w:t xml:space="preserve">• </w:t>
      </w:r>
      <w:r>
        <w:rPr>
          <w:b w:val="0"/>
          <w:i/>
        </w:rPr>
        <w:t>Tất cả các đội ngũ sẽ phơi bày dữ liệu và chức năng của mình thông qua các giao diện dịch vụ</w:t>
      </w:r>
      <w:r>
        <w:rPr>
          <w:b w:val="0"/>
          <w:i w:val="0"/>
        </w:rPr>
        <w:t xml:space="preserve"> (</w:t>
      </w:r>
      <w:r>
        <w:rPr>
          <w:b w:val="0"/>
          <w:i/>
        </w:rPr>
        <w:t>APIs</w:t>
      </w:r>
      <w:r>
        <w:rPr>
          <w:b w:val="0"/>
          <w:i w:val="0"/>
        </w:rPr>
        <w:t>) và các đội ngũ phải giao tiếp với nhau thông qua những giao diện này</w:t>
      </w:r>
      <w:r>
        <w:rPr>
          <w:b w:val="0"/>
          <w:i w:val="0"/>
        </w:rPr>
        <w:t>.</w:t>
      </w:r>
    </w:p>
    <w:p>
      <w:pPr>
        <w:spacing w:after="80"/>
        <w:ind w:left="360"/>
      </w:pPr>
      <w:r>
        <w:t xml:space="preserve">• </w:t>
      </w:r>
      <w:r>
        <w:rPr>
          <w:b w:val="0"/>
          <w:i/>
        </w:rPr>
        <w:t>Tất cả các giao diện dịch vụ, không có ngoại lệ, phải được thiết kế ngay từ đầu để có thể hướng ra bên ngoài. Nghĩa là, đội ngũ phải lên kế hoạch và thiết kế để có thể phơi bày giao diện cho các lập trình viên ở thế giới bên ngoài. Không có ngoại lệ</w:t>
      </w:r>
      <w:r>
        <w:rPr>
          <w:b w:val="0"/>
          <w:i w:val="0"/>
        </w:rPr>
        <w:t>.</w:t>
      </w:r>
    </w:p>
    <w:p>
      <w:pPr>
        <w:spacing w:after="80"/>
        <w:ind w:left="360"/>
      </w:pPr>
      <w:r>
        <w:t xml:space="preserve">• </w:t>
      </w:r>
      <w:r>
        <w:rPr>
          <w:b w:val="0"/>
          <w:i/>
        </w:rPr>
        <w:t>Bất kỳ ai không làm điều này sẽ bị sa thải</w:t>
      </w:r>
      <w:r>
        <w:rPr>
          <w:b w:val="0"/>
          <w:i w:val="0"/>
        </w:rPr>
        <w:t>.</w:t>
      </w:r>
    </w:p>
    <w:p>
      <w:pPr>
        <w:spacing w:after="80"/>
      </w:pPr>
      <w:r>
        <w:rPr>
          <w:b w:val="0"/>
          <w:i w:val="0"/>
        </w:rPr>
        <w:t>Điều Bezos muốn nói là tất cả phần mềm được phát triển tại Amazon đều phải dễ dàng kết nối và ngắt kết nối với nhau (thường được gọi là tách rời - decoupling). Giao diện lập trình ứng dụng (API) chính là năng lực cho phép điều đó. Đây là một ý tưởng khá cấp tiến vào năm 2002 vì hầu hết các hệ thống và phần mềm thời đó đều được tích hợp chặt chẽ với nhau, nên mọi thay đổi đều phức tạp và tốn thời gian.</w:t>
      </w:r>
    </w:p>
    <w:p>
      <w:pPr>
        <w:pStyle w:val="Heading2"/>
      </w:pPr>
      <w:r>
        <w:rPr>
          <w:rFonts w:ascii="Calibri" w:hAnsi="Calibri"/>
          <w:b/>
          <w:i w:val="0"/>
          <w:sz w:val="32"/>
        </w:rPr>
        <w:t>Các câu hỏi kinh doanh mà chương này sẽ giúp bạn trả lời</w:t>
      </w:r>
    </w:p>
    <w:p>
      <w:pPr>
        <w:spacing w:after="80"/>
        <w:ind w:left="360"/>
      </w:pPr>
      <w:r>
        <w:t xml:space="preserve">• </w:t>
      </w:r>
      <w:r>
        <w:rPr>
          <w:b w:val="0"/>
          <w:i w:val="0"/>
        </w:rPr>
        <w:t>Bạn có thể biết liệu kiến trúc công nghệ hiện tại của mình đã đủ tách rời (decoupled) để hỗ trợ các đổi mới về Công nghệ &amp; AI chưa?</w:t>
      </w:r>
    </w:p>
    <w:p>
      <w:pPr>
        <w:spacing w:after="80"/>
        <w:ind w:left="360"/>
      </w:pPr>
      <w:r>
        <w:t xml:space="preserve">• </w:t>
      </w:r>
      <w:r>
        <w:rPr>
          <w:b w:val="0"/>
          <w:i w:val="0"/>
        </w:rPr>
        <w:t>Bạn có nền tảng API không và nó có đang được sử dụng không?</w:t>
      </w:r>
    </w:p>
    <w:p>
      <w:pPr>
        <w:spacing w:after="80"/>
        <w:ind w:left="360"/>
      </w:pPr>
      <w:r>
        <w:t xml:space="preserve">• </w:t>
      </w:r>
      <w:r>
        <w:rPr>
          <w:b w:val="0"/>
          <w:i w:val="0"/>
        </w:rPr>
        <w:t>Các thực hành kỹ thuật của bạn có ưu tiên "API first" (API trước tiên) không?</w:t>
      </w:r>
    </w:p>
    <w:p>
      <w:pPr>
        <w:spacing w:after="80"/>
      </w:pPr>
      <w:r>
        <w:rPr>
          <w:b/>
          <w:i/>
        </w:rPr>
        <w:t>Khả năng tách rời các hệ thống—theo nghĩa đen là có thể tách các kết nối giữa hệ thống này với hệ thống khác—giúp loại bỏ các phụ thuộc. Làm tốt, bạn sẽ có sự linh hoạt để thay đổi nhanh chóng, thích ứng và tiến bước một cách an toàn. Làm kém, bạn sẽ cảm giác như đang lội qua mật đường vậy</w:t>
      </w:r>
      <w:r>
        <w:rPr>
          <w:b/>
          <w:i w:val="0"/>
        </w:rPr>
        <w:t>.</w:t>
      </w:r>
    </w:p>
    <w:p>
      <w:pPr>
        <w:spacing w:after="80"/>
      </w:pPr>
      <w:r>
        <w:rPr>
          <w:b w:val="0"/>
          <w:i w:val="0"/>
        </w:rPr>
        <w:t>Tách rời thường là bước đầu tiên để tạo ra một môi trường công nghệ phân tán. Nó cho phép tổ chức phát triển phần mềm hiện đại và các giải pháp AI song song với việc hiện đại hóa các hệ thống cốt lõi của mình.</w:t>
      </w:r>
    </w:p>
    <w:p>
      <w:pPr>
        <w:pStyle w:val="Heading2"/>
      </w:pPr>
      <w:r>
        <w:rPr>
          <w:rFonts w:ascii="Calibri" w:hAnsi="Calibri"/>
          <w:b/>
          <w:i w:val="0"/>
          <w:sz w:val="32"/>
        </w:rPr>
        <w:t>Hãy áp dụng API, nhưng quản lý sự bùng nổ của chúng bằng một nền tảng</w:t>
      </w:r>
    </w:p>
    <w:p>
      <w:pPr>
        <w:spacing w:after="80"/>
      </w:pPr>
      <w:r>
        <w:rPr>
          <w:b w:val="0"/>
          <w:i w:val="0"/>
        </w:rPr>
        <w:t>API giống như người phục vụ trong một nhà hàng. Bạn (khách hàng) nói với người phục vụ điều bạn muốn. Người phục vụ ghi nhận yêu cầu của bạn, báo cho nhà bếp, rồi mang thức ăn ra. Bạn không cần biết nhà bếp hoạt động thế nào—bạn chỉ cần đặt món với người phục vụ để có được thứ mình cần.</w:t>
      </w:r>
    </w:p>
    <w:p>
      <w:pPr>
        <w:spacing w:after="80"/>
      </w:pPr>
      <w:r>
        <w:rPr>
          <w:b w:val="0"/>
          <w:i w:val="0"/>
        </w:rPr>
        <w:t>Theo cách tương tự, một API cho phép một phần mềm này nói chuyện với một phần mềm khác. Bạn không cần biết hệ thống kia hoạt động bên trong ra sao; bạn chỉ cần yêu cầu thứ mình cần thông qua API, và nó trả về kết quả. Bằng cách tạo ra một lớp trung gian giữa các ứng dụng, API đảm nhận chức năng giúp tách rời các hệ thống một cách dễ dàng.</w:t>
      </w:r>
    </w:p>
    <w:p>
      <w:pPr>
        <w:spacing w:after="80"/>
      </w:pPr>
      <w:r>
        <w:rPr>
          <w:b w:val="0"/>
          <w:i w:val="0"/>
        </w:rPr>
        <w:t>API cũng cho phép bạn chia nhỏ các hệ thống nguyên khối (monolithic) lớn thành các microservices (dịch vụ vi mô), giúp các nhóm khác nhau truy cập vào những chức năng (hay dịch vụ) khác nhau trong hệ thống cốt lõi. Ví dụ, một nhóm có thể muốn truy cập các dịch vụ dự báo vốn là một phần của hệ thống cốt lõi quản lý chuỗi cung ứng. Một nhóm khác có thể muốn truy cập dữ liệu bán hàng giao dịch được lưu trong hệ thống ERP.</w:t>
      </w:r>
    </w:p>
    <w:p>
      <w:pPr>
        <w:spacing w:after="80"/>
      </w:pPr>
      <w:r>
        <w:rPr>
          <w:b w:val="0"/>
          <w:i w:val="0"/>
        </w:rPr>
        <w:t>Chức năng kết nối này mang lại một loạt lợi ích quan trọng. Nó giúp việc thay thế hoặc nâng cấp từng thành phần riêng lẻ trong hệ thống cốt lõi trở nên dễ dàng hơn. Và nó cho phép các nhóm dễ dàng ghép các microservices lại với nhau để tạo ra giải pháp, giống như xây dựng bằng các khối LEGO.</w:t>
      </w:r>
    </w:p>
    <w:p>
      <w:pPr>
        <w:spacing w:after="80"/>
      </w:pPr>
      <w:r>
        <w:rPr>
          <w:b/>
          <w:i/>
        </w:rPr>
        <w:t>API mang lại cho các nhóm quyền truy cập vào dữ liệu và các chức năng ứng dụng để họ có thể đổi mới mà không liên tục vấp phải các phụ thuộc hệ thống</w:t>
      </w:r>
      <w:r>
        <w:rPr>
          <w:b/>
          <w:i w:val="0"/>
        </w:rPr>
        <w:t>.</w:t>
      </w:r>
    </w:p>
    <w:p>
      <w:pPr>
        <w:pStyle w:val="Heading2"/>
      </w:pPr>
      <w:r>
        <w:rPr>
          <w:rFonts w:ascii="Calibri" w:hAnsi="Calibri"/>
          <w:b/>
          <w:i w:val="0"/>
          <w:sz w:val="32"/>
        </w:rPr>
        <w:t>Model Context Protocol, "API" mới cho các AI agent</w:t>
      </w:r>
    </w:p>
    <w:p>
      <w:pPr>
        <w:spacing w:after="80"/>
      </w:pPr>
      <w:r>
        <w:rPr>
          <w:b w:val="0"/>
          <w:i w:val="0"/>
        </w:rPr>
        <w:t>Model Context Protocol, hay MCP, là một tiêu chuẩn đang nổi lên để các ứng dụng và AI agent nói chuyện với nhau. MCP định nghĩa cách một ứng dụng có thể chia sẻ thông tin (được gọi là "context" - ngữ cảnh trong thế giới AI) với một AI agent, và cách agent có thể yêu cầu thêm công cụ, hay hành động từ ứng dụng, theo một cách có cấu trúc và nhất quán. Hãy nghĩ về nó như một "phích cắm kết nối" đảm bảo rằng AI agent và ứng dụng nói cùng một ngôn ngữ.</w:t>
      </w:r>
    </w:p>
    <w:p>
      <w:pPr>
        <w:spacing w:after="80"/>
      </w:pPr>
      <w:r>
        <w:rPr>
          <w:b w:val="0"/>
          <w:i w:val="0"/>
        </w:rPr>
        <w:t>Vẫn với phép so sánh nhà hàng của chúng ta, mỗi API giống như hệ thống đặt món riêng của một nhà hàng—cách bố trí thực đơn, quy ước đặt tên và các bước đặc biệt riêng mà bạn phải tuân theo để đặt món. Để sử dụng chúng, AI agent phải học hệ thống đó. Nhưng nếu một agent muốn đặt món từ 100 nhà hàng khác nhau thì sao? Nó phải học 100 hệ thống đặt món khác nhau.</w:t>
      </w:r>
    </w:p>
    <w:p>
      <w:pPr>
        <w:spacing w:after="80"/>
      </w:pPr>
      <w:r>
        <w:rPr>
          <w:b w:val="0"/>
          <w:i w:val="0"/>
        </w:rPr>
        <w:t>MCP chuẩn hóa định dạng hệ thống đặt món trên tất cả các nhà hàng để agent chỉ cần học một định dạng đặt món chung duy nhất.</w:t>
      </w:r>
    </w:p>
    <w:p>
      <w:pPr>
        <w:spacing w:after="80"/>
      </w:pPr>
      <w:r>
        <w:rPr>
          <w:b w:val="0"/>
          <w:i w:val="0"/>
        </w:rPr>
        <w:t>Trong tương lai, tổ chức của bạn sẽ phải học cách làm việc với MCP nếu bạn muốn các AI agent bên ngoài (từ nhà cung cấp hoặc đối tác) tương tác với các sản phẩm và dịch vụ của công ty mình.</w:t>
      </w:r>
    </w:p>
    <w:p>
      <w:pPr>
        <w:spacing w:after="80"/>
      </w:pPr>
      <w:r>
        <w:rPr>
          <w:b w:val="0"/>
          <w:i w:val="0"/>
        </w:rPr>
        <w:t>Trong khi API chuẩn hóa các mô hình tích hợp (integration pattern) giữa các tầng khác nhau của một giải pháp, thì việc API sinh sôi nảy nở quá mức lại là một vấn đề. API nằm đó không ai dùng, nhiều phiên bản cùng làm một việc, những API bị lãng quên trở nên lỗi thời (và dễ bị tấn công mạng).</w:t>
      </w:r>
    </w:p>
    <w:p>
      <w:pPr>
        <w:spacing w:after="80"/>
      </w:pPr>
      <w:r>
        <w:rPr>
          <w:b w:val="0"/>
          <w:i w:val="0"/>
        </w:rPr>
        <w:t>Xây dựng một nền tảng API (API platform) là cách tốt nhất để phòng ngừa sự sinh sôi bừa bãi và đảm bảo các đội ngũ duy trì tiêu chuẩn khi sử dụng API. Năm thành phần của một nền tảng API là:</w:t>
      </w:r>
    </w:p>
    <w:p>
      <w:pPr>
        <w:spacing w:after="80"/>
        <w:ind w:left="360"/>
      </w:pPr>
      <w:r>
        <w:t xml:space="preserve">• </w:t>
      </w:r>
      <w:r>
        <w:rPr>
          <w:b w:val="0"/>
          <w:i w:val="0"/>
        </w:rPr>
        <w:t>Một cổng API (API gateway) cung cấp quyền truy cập vào các dịch vụ một cách an toàn</w:t>
      </w:r>
    </w:p>
    <w:p>
      <w:pPr>
        <w:spacing w:after="80"/>
        <w:ind w:left="360"/>
      </w:pPr>
      <w:r>
        <w:t xml:space="preserve">• </w:t>
      </w:r>
      <w:r>
        <w:rPr>
          <w:b w:val="0"/>
          <w:i w:val="0"/>
        </w:rPr>
        <w:t>Một tầng quản lý API (API management layer) xử lý việc đánh phiên bản (versioning), quản lý vòng đời (life cycle management), phân tích lưu lượng (traffic analytics) và thực thi chính sách (policy enforcement)</w:t>
      </w:r>
    </w:p>
    <w:p>
      <w:pPr>
        <w:spacing w:after="80"/>
        <w:ind w:left="360"/>
      </w:pPr>
      <w:r>
        <w:t xml:space="preserve">• </w:t>
      </w:r>
      <w:r>
        <w:rPr>
          <w:b w:val="0"/>
          <w:i w:val="0"/>
        </w:rPr>
        <w:t>Một cổng dành cho nhà phát triển (developer portal) cung cấp tài liệu, mã mẫu và công cụ hướng dẫn nhập môn (onboarding tools)</w:t>
      </w:r>
    </w:p>
    <w:p>
      <w:pPr>
        <w:spacing w:after="80"/>
        <w:ind w:left="360"/>
      </w:pPr>
      <w:r>
        <w:t xml:space="preserve">• </w:t>
      </w:r>
      <w:r>
        <w:rPr>
          <w:b w:val="0"/>
          <w:i w:val="0"/>
        </w:rPr>
        <w:t>Các đường ống tự động (automated pipeline) để kiểm thử, triển khai và giám sát API</w:t>
      </w:r>
    </w:p>
    <w:p>
      <w:pPr>
        <w:spacing w:after="80"/>
        <w:ind w:left="360"/>
      </w:pPr>
      <w:r>
        <w:t xml:space="preserve">• </w:t>
      </w:r>
      <w:r>
        <w:rPr>
          <w:b w:val="0"/>
          <w:i w:val="0"/>
        </w:rPr>
        <w:t>Các tiêu chuẩn chung cho xác thực (authentication), thiết kế và bảo mật</w:t>
      </w:r>
    </w:p>
    <w:p>
      <w:pPr>
        <w:spacing w:after="80"/>
      </w:pPr>
      <w:r>
        <w:rPr>
          <w:b w:val="0"/>
          <w:i w:val="0"/>
        </w:rPr>
        <w:t>Kết hợp lại, những thành phần này tạo nên "nền tảng API" của doanh nghiệp — một cách nhất quán, có quản trị để xây dựng, công bố và phát triển API ở quy mô lớn.</w:t>
      </w:r>
    </w:p>
    <w:p>
      <w:pPr>
        <w:jc w:val="center"/>
      </w:pPr>
      <w:r>
        <w:drawing>
          <wp:inline xmlns:a="http://schemas.openxmlformats.org/drawingml/2006/main" xmlns:pic="http://schemas.openxmlformats.org/drawingml/2006/picture">
            <wp:extent cx="457200" cy="447675"/>
            <wp:docPr id="122" name="Picture 122"/>
            <wp:cNvGraphicFramePr>
              <a:graphicFrameLocks noChangeAspect="1"/>
            </wp:cNvGraphicFramePr>
            <a:graphic>
              <a:graphicData uri="http://schemas.openxmlformats.org/drawingml/2006/picture">
                <pic:pic>
                  <pic:nvPicPr>
                    <pic:cNvPr id="0" name="IN_THEIR_WORDS_red.png"/>
                    <pic:cNvPicPr/>
                  </pic:nvPicPr>
                  <pic:blipFill>
                    <a:blip r:embed="rId96"/>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CỦA HỌ</w:t>
      </w:r>
    </w:p>
    <w:p>
      <w:pPr>
        <w:pStyle w:val="Heading3"/>
      </w:pPr>
      <w:r>
        <w:rPr>
          <w:rFonts w:ascii="Calibri" w:hAnsi="Calibri"/>
          <w:b/>
          <w:i w:val="0"/>
          <w:sz w:val="26"/>
        </w:rPr>
        <w:t>Cách API và nền tảng API được xây dựng</w:t>
      </w:r>
    </w:p>
    <w:p>
      <w:pPr>
        <w:spacing w:after="80"/>
      </w:pPr>
      <w:r>
        <w:rPr>
          <w:b w:val="0"/>
          <w:i w:val="0"/>
        </w:rPr>
        <w:t>"API đóng vai trò then chốt cho quá trình chuyển đổi của chúng tôi vì chúng cho phép chúng tôi mô-đun hóa (modularize) hệ thống IT của mình và hiện đại hóa một số nền tảng IT cốt lõi, chẳng hạn như trung tâm thanh toán (payments hub) và nền tảng IT tài trợ thương mại (trade-finance IT platform).</w:t>
      </w:r>
    </w:p>
    <w:p>
      <w:pPr>
        <w:spacing w:after="80"/>
      </w:pPr>
      <w:r>
        <w:rPr>
          <w:b w:val="0"/>
          <w:i w:val="0"/>
        </w:rPr>
        <w:t>Chúng tôi ưu tiên các API dựa trên mức độ liên quan đối với quá trình chuyển đổi của mình — tức là khi nào chúng tôi cần tách rời (decouple) từng nền tảng IT để thúc đẩy hiện đại hóa — cũng như dựa trên mức độ phức tạp của chúng. Dựa trên những tiêu chí này, chúng tôi có thể hiểu rõ hơn tổng nỗ lực để "API hóa" kiến trúc IT của mình sẽ ra sao. Sau đó chúng tôi bắt đầu phác thảo mô hình vận hành (operating model) và quản trị (governance), đồng thời chi tiết hóa phân loại API (API taxonomy), các tiêu chuẩn và hướng dẫn. Cuối cùng, chúng tôi quyết định giải pháp công nghệ cho nền tảng quản lý API và các thành phần liên quan khác, rồi bắt đầu bản thử nghiệm chứng minh khái niệm (proof of concept) đầu tiên.</w:t>
      </w:r>
    </w:p>
    <w:p>
      <w:pPr>
        <w:spacing w:after="80"/>
      </w:pPr>
      <w:r>
        <w:rPr>
          <w:b w:val="0"/>
          <w:i w:val="0"/>
        </w:rPr>
        <w:t>Chúng tôi đã trình bày rõ tầm quan trọng và tiềm năng của API đối với cả công nghệ lẫn kinh doanh cho ban lãnh đạo, và dành một phần đáng kể ngân sách cho việc này. Chúng tôi có nguồn vốn ban đầu đủ để đặt nền móng công nghệ, định nghĩa các tiêu chuẩn và chính sách cần thiết, và chuyển toàn bộ dịch vụ từ ESB (enterprise service bus - bus dịch vụ doanh nghiệp) cũ sang microservices có thể truy cập qua các API chuẩn của chúng tôi. Hiện nay chúng tôi có khoảng 800 microservices sẵn sàng.</w:t>
      </w:r>
    </w:p>
    <w:p>
      <w:pPr>
        <w:spacing w:after="80"/>
      </w:pPr>
      <w:r>
        <w:rPr>
          <w:b w:val="0"/>
          <w:i w:val="0"/>
        </w:rPr>
        <w:t>Nền tảng này cho phép chúng tôi thành lập ba nhóm agile (agile squad) chỉ chuyên xây dựng API trong các lĩnh vực khác nhau. Chúng tôi khởi động nỗ lực API bằng cách tổ chức nhiều buổi nâng cao nhận thức về API trong khối IT, và chúng tôi cũng lan tỏa nhận thức tới các đồng nghiệp bên khối kinh doanh để giúp nhân viên hiểu rõ các cơ hội.</w:t>
      </w:r>
    </w:p>
    <w:p>
      <w:pPr>
        <w:spacing w:after="80"/>
      </w:pPr>
      <w:r>
        <w:rPr>
          <w:b w:val="0"/>
          <w:i w:val="0"/>
        </w:rPr>
        <w:t>Để thúc đẩy việc ứng dụng API, điều then chốt là triển khai một cổng dành cho nhà phát triển thân thiện với người dùng, có tài liệu tốt và đủ chức năng tìm kiếm. Chúng tôi đã tìm kiếm các thực tiễn tốt nhất (best practice) trên toàn cầu. Hơn nữa, chúng tôi đầu tư vào việc đào tạo lập trình viên để họ làm quen với cổng dành cho nhà phát triển cũng như các hướng dẫn và tiêu chuẩn API ngay từ đầu. Chúng tôi muốn đặt nền móng đúng đắn để có thể dễ dàng mở rộng quy mô khi thời điểm thích hợp đến.</w:t>
      </w:r>
    </w:p>
    <w:p>
      <w:pPr>
        <w:spacing w:after="80"/>
      </w:pPr>
      <w:r>
        <w:rPr>
          <w:b w:val="0"/>
          <w:i w:val="0"/>
        </w:rPr>
        <w:t>Sau những thành công nhỏ ban đầu với các trường hợp sử dụng nội bộ và một vài trường hợp bên ngoài, nhu cầu từ phía kinh doanh tăng lên đáng kể. Họ muốn có thêm API — và muốn nhanh chóng, nên chúng tôi đã tạo ra một quy trình lập ngân sách và ưu tiên theo kiểu agile để đáp ứng nhu cầu gia tăng đó.</w:t>
      </w:r>
    </w:p>
    <w:p>
      <w:pPr>
        <w:spacing w:after="80"/>
      </w:pPr>
      <w:r>
        <w:rPr>
          <w:b w:val="0"/>
          <w:i w:val="0"/>
        </w:rPr>
        <w:t>Sau này trong hành trình của mình, chúng tôi đối mặt với thách thức phải tăng năng suất cho các đội API theo mô hình agile. Khi mới bắt đầu, việc các đội của chúng tôi giao một API trong vòng hai đến ba tuần theo sprint là chấp nhận được. Tuy nhiên, để bám theo lộ trình của mình, chúng tôi cần tăng năng suất một cách mạnh mẽ. Chúng tôi đã tận dụng các công cụ tự động hóa DevOps để tối ưu hóa việc tích hợp và duy trì triển khai cũng như phân phối liên tục, và nhân đôi sản lượng API của mình.”</w:t>
      </w:r>
    </w:p>
    <w:p>
      <w:pPr>
        <w:spacing w:after="80"/>
      </w:pPr>
      <w:r>
        <w:rPr>
          <w:b/>
          <w:i/>
        </w:rPr>
        <w:t>— Saud Al Dhawyani, Giám đốc Nền tảng Tập đoàn, Emirates NDB</w:t>
      </w:r>
    </w:p>
    <w:p>
      <w:pPr>
        <w:pStyle w:val="Heading2"/>
      </w:pPr>
      <w:r>
        <w:rPr>
          <w:rFonts w:ascii="Calibri" w:hAnsi="Calibri"/>
          <w:b/>
          <w:i w:val="0"/>
          <w:sz w:val="32"/>
        </w:rPr>
        <w:t>Gặp gỡ người bạn thân mới của bạn: Kiến trúc sư doanh nghiệp</w:t>
      </w:r>
    </w:p>
    <w:p>
      <w:pPr>
        <w:spacing w:after="80"/>
      </w:pPr>
      <w:r>
        <w:rPr>
          <w:b w:val="0"/>
          <w:i w:val="0"/>
        </w:rPr>
        <w:t>Kiến trúc sư doanh nghiệp (enterprise architect - EA) giám sát cách hệ sinh thái gồm các ứng dụng, mô hình, cơ sở dữ liệu và hệ thống kết nối với nhau, bao gồm cả cách cắm các nhà cung cấp và đối tác vào đó.</w:t>
      </w:r>
    </w:p>
    <w:p>
      <w:pPr>
        <w:spacing w:after="80"/>
      </w:pPr>
      <w:r>
        <w:rPr>
          <w:b w:val="0"/>
          <w:i w:val="0"/>
        </w:rPr>
        <w:t>Roberto Alvo, CEO của LATAM Airlines có trụ sở tại Chile, đã ghi nhớ điểm này. Trong những giai đoạn đầu của quá trình chuyển đổi AI tại công ty, ông đã dành nhiều giờ trong nhiều tuần với CIO, thảo luận về kiến trúc của tổ chức theo từng thành phần để hiểu mỗi thành phần làm gì và tại sao nó quan trọng.</w:t>
      </w:r>
    </w:p>
    <w:p>
      <w:pPr>
        <w:spacing w:after="80"/>
      </w:pPr>
      <w:r>
        <w:rPr>
          <w:b w:val="0"/>
          <w:i w:val="0"/>
        </w:rPr>
        <w:t>Trong khi theo truyền thống, EA thiên về vai trò giám sát (đảm bảo sự phù hợp với quản trị, tiêu chuẩn và kiểm soát quy trình, cũng như phát triển và duy trì các bản thiết kế kiến trúc), thời đại hiện đại đòi hỏi một vai trò mạnh mẽ hơn. Một kiến trúc sư doanh nghiệp giỏi về cơ bản hoạt động như cầu nối giữa công nghệ và chiến lược kinh doanh.</w:t>
      </w:r>
    </w:p>
    <w:p>
      <w:pPr>
        <w:pStyle w:val="Heading2"/>
      </w:pPr>
      <w:r>
        <w:rPr>
          <w:rFonts w:ascii="Calibri" w:hAnsi="Calibri"/>
          <w:b/>
          <w:i w:val="0"/>
          <w:sz w:val="32"/>
        </w:rPr>
        <w:t>Kiến trúc sư doanh nghiệp hay kiến trúc sư giải pháp, khác nhau ở đâu?</w:t>
      </w:r>
    </w:p>
    <w:p>
      <w:pPr>
        <w:spacing w:after="80"/>
      </w:pPr>
      <w:r>
        <w:rPr>
          <w:b/>
          <w:i w:val="0"/>
        </w:rPr>
        <w:t>Kiến trúc sư doanh nghiệp:</w:t>
      </w:r>
      <w:r>
        <w:rPr>
          <w:b w:val="0"/>
          <w:i w:val="0"/>
        </w:rPr>
        <w:t xml:space="preserve"> Kiến trúc sư doanh nghiệp định hình bản thiết kế công nghệ tổng thể của công ty—cách các hệ thống, dữ liệu và nền tảng khớp với nhau trong toàn bộ doanh nghiệp. Họ đặt ra các nguyên tắc và rào chắn, giảm sự phân mảnh, và dẫn dắt các lựa chọn kiến trúc dài hạn để tổ chức có thể tiến nhanh hơn và thích nghi dễ dàng hơn.</w:t>
      </w:r>
    </w:p>
    <w:p>
      <w:pPr>
        <w:spacing w:after="80"/>
      </w:pPr>
      <w:r>
        <w:rPr>
          <w:b/>
          <w:i w:val="0"/>
        </w:rPr>
        <w:t>Kiến trúc sư giải pháp:</w:t>
      </w:r>
      <w:r>
        <w:rPr>
          <w:b w:val="0"/>
          <w:i w:val="0"/>
        </w:rPr>
        <w:t xml:space="preserve"> Kiến trúc sư giải pháp thiết kế cách một giải pháp cụ thể sẽ hoạt động từ đầu đến cuối. Họ chuyển hóa các nhu cầu thành một thiết kế kỹ thuật thực tiễn, chọn cách các hệ thống kết nối, và đảm bảo giải pháp an toàn, có khả năng mở rộng, và phù hợp với môi trường công nghệ doanh nghiệp rộng lớn hơn.</w:t>
      </w:r>
    </w:p>
    <w:p>
      <w:pPr>
        <w:spacing w:after="80"/>
      </w:pPr>
      <w:r>
        <w:rPr>
          <w:b w:val="0"/>
          <w:i w:val="0"/>
        </w:rPr>
        <w:t>Khi các tổ chức tái cấu trúc chính mình, EA trở nên thực chiến hơn nhiều để kích hoạt những điều quan trọng đối với một doanh nghiệp được hỗ trợ bởi công nghệ. Họ đóng vai trò tích cực trong việc dẫn dắt các nhà lãnh đạo của các lĩnh vực và nền tảng.</w:t>
      </w:r>
    </w:p>
    <w:p>
      <w:pPr>
        <w:spacing w:after="80"/>
      </w:pPr>
      <w:r>
        <w:rPr>
          <w:b w:val="0"/>
          <w:i w:val="0"/>
        </w:rPr>
        <w:t>Kiến trúc doanh nghiệp là một lĩnh vực phát triển nhanh. Các nền tảng công nghệ đang được nâng cấp với tốc độ chóng mặt và các AI agent giờ đây đang đảm nhận công việc thực thi các hướng dẫn và quy tắc kiến trúc. Tìm được những EA giỏi, nắm bắt đỉnh cao trong lĩnh vực của họ, với tư duy thực chiến, không hề dễ nhưng khi bạn tìm được, họ đáng giá bằng vàng.</w:t>
      </w:r>
    </w:p>
    <w:p>
      <w:pPr>
        <w:jc w:val="center"/>
      </w:pPr>
      <w:r>
        <w:drawing>
          <wp:inline xmlns:a="http://schemas.openxmlformats.org/drawingml/2006/main" xmlns:pic="http://schemas.openxmlformats.org/drawingml/2006/picture">
            <wp:extent cx="1905000" cy="95250"/>
            <wp:docPr id="123" name="Picture 123"/>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Tách rời (decoupling) có lẽ không đứng đầu danh sách “các khái niệm gây ấn tượng” của nhiều giám đốc điều hành. Nhưng đó là khái niệm thiết yếu nên định hướng các quyết định kiến trúc của bạn vì nó nằm ở trung tâm khả năng học hỏi, thích nghi và tiến hóa nhanh chóng của một doanh nghiệp. Đó là những kỹ năng sinh tồn then chốt đối với các tập đoàn.</w:t>
      </w:r>
    </w:p>
    <w:p>
      <w:pPr>
        <w:pStyle w:val="Heading2"/>
      </w:pPr>
      <w:r>
        <w:rPr>
          <w:rFonts w:ascii="Calibri" w:hAnsi="Calibri"/>
          <w:b/>
          <w:i w:val="0"/>
          <w:sz w:val="32"/>
        </w:rPr>
        <w:t>Những câu hỏi quan trọng</w:t>
      </w:r>
    </w:p>
    <w:p>
      <w:pPr>
        <w:spacing w:after="80"/>
      </w:pPr>
      <w:r>
        <w:rPr>
          <w:b w:val="0"/>
          <w:i w:val="0"/>
        </w:rPr>
        <w:t>Nếu bạn là một nhà lãnh đạo cấp cao trong tổ chức của mình, bạn nên kiểm tra xem kiến trúc công nghệ có được tách rời đúng cách không, liệu một nền tảng API hoạt động tốt có đang hiện diện không, và liệu chức năng kiến trúc của bạn có phù hợp với thời đại hiện đại không. Những câu hỏi bạn có thể đặt ra: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Q1:</w:t>
            </w:r>
          </w:p>
        </w:tc>
        <w:tc>
          <w:tcPr>
            <w:tcW w:type="dxa" w:w="4680"/>
          </w:tcPr>
          <w:p>
            <w:r/>
            <w:r>
              <w:rPr>
                <w:b w:val="0"/>
                <w:i w:val="0"/>
                <w:sz w:val="19"/>
              </w:rPr>
              <w:t>Bao nhiêu phần trăm ứng dụng, mô hình và hệ thống của chúng ta được kết nối thông qua API (hoặc MCP) để đảm bảo một kiến trúc mô-đun?</w:t>
            </w:r>
          </w:p>
        </w:tc>
      </w:tr>
      <w:tr>
        <w:tc>
          <w:tcPr>
            <w:tcW w:type="dxa" w:w="4680"/>
          </w:tcPr>
          <w:p>
            <w:r/>
            <w:r>
              <w:rPr>
                <w:b/>
                <w:i w:val="0"/>
                <w:sz w:val="19"/>
              </w:rPr>
              <w:t>Q2:</w:t>
            </w:r>
          </w:p>
        </w:tc>
        <w:tc>
          <w:tcPr>
            <w:tcW w:type="dxa" w:w="4680"/>
          </w:tcPr>
          <w:p>
            <w:r/>
            <w:r>
              <w:rPr>
                <w:b w:val="0"/>
                <w:i w:val="0"/>
                <w:sz w:val="19"/>
              </w:rPr>
              <w:t>Các kỹ sư và lập trình viên của chúng ta truy cập nền tảng API của chúng ta thường xuyên như thế nào, và bao nhiêu phần trăm API của chúng ta được sử dụng nhiều hơn một lần?</w:t>
            </w:r>
          </w:p>
        </w:tc>
      </w:tr>
      <w:tr>
        <w:tc>
          <w:tcPr>
            <w:tcW w:type="dxa" w:w="4680"/>
          </w:tcPr>
          <w:p>
            <w:r/>
            <w:r>
              <w:rPr>
                <w:b/>
                <w:i w:val="0"/>
                <w:sz w:val="19"/>
              </w:rPr>
              <w:t>Q3:</w:t>
            </w:r>
          </w:p>
        </w:tc>
        <w:tc>
          <w:tcPr>
            <w:tcW w:type="dxa" w:w="4680"/>
          </w:tcPr>
          <w:p>
            <w:r/>
            <w:r>
              <w:rPr>
                <w:b w:val="0"/>
                <w:i w:val="0"/>
                <w:sz w:val="19"/>
              </w:rPr>
              <w:t>Bao nhiêu phần trong các nỗ lực kiến trúc doanh nghiệp của chúng ta phục vụ nhu cầu cũ so với tăng trưởng trong tương lai?</w:t>
            </w:r>
          </w:p>
        </w:tc>
      </w:tr>
    </w:tbl>
    <w:p>
      <w:pPr>
        <w:spacing w:after="0"/>
      </w:pPr>
    </w:p>
    <w:p>
      <w:pPr>
        <w:pStyle w:val="Heading2"/>
      </w:pPr>
      <w:r>
        <w:rPr>
          <w:rFonts w:ascii="Calibri" w:hAnsi="Calibri"/>
          <w:b/>
          <w:i w:val="0"/>
          <w:sz w:val="32"/>
        </w:rPr>
        <w:t>Lưu ý</w:t>
      </w:r>
    </w:p>
    <w:p>
      <w:pPr>
        <w:spacing w:after="80"/>
        <w:ind w:left="360"/>
      </w:pPr>
      <w:r>
        <w:t xml:space="preserve">1. </w:t>
      </w:r>
      <w:r>
        <w:rPr>
          <w:b w:val="0"/>
          <w:i w:val="0"/>
        </w:rPr>
        <w:t>1   Augusto Marietti, "The API mandate: How a mythical memo from Jeff Bezos changed software forever," Kong, May 23, 2022.</w:t>
      </w:r>
    </w:p>
    <w:p>
      <w:pPr>
        <w:pStyle w:val="Heading2"/>
      </w:pPr>
      <w:r>
        <w:rPr>
          <w:rFonts w:ascii="Calibri" w:hAnsi="Calibri"/>
          <w:b/>
          <w:i/>
          <w:sz w:val="32"/>
        </w:rPr>
        <w:t>"Các kỹ sư biến giấc mơ thành hiện thực."</w:t>
      </w:r>
    </w:p>
    <w:p>
      <w:pPr>
        <w:spacing w:after="80"/>
      </w:pPr>
      <w:r>
        <w:rPr>
          <w:b/>
          <w:i w:val="0"/>
        </w:rPr>
        <w:t>— Hayao Miyazaki</w:t>
      </w:r>
    </w:p>
    <w:p>
      <w:pPr>
        <w:pStyle w:val="Heading1"/>
      </w:pPr>
      <w:r>
        <w:rPr>
          <w:rFonts w:ascii="Calibri" w:hAnsi="Calibri"/>
          <w:b/>
          <w:i w:val="0"/>
          <w:sz w:val="40"/>
        </w:rPr>
        <w:t>CHƯƠNG 19</w:t>
      </w:r>
      <w:r>
        <w:rPr>
          <w:rFonts w:ascii="Calibri" w:hAnsi="Calibri"/>
          <w:b/>
          <w:i w:val="0"/>
          <w:sz w:val="40"/>
        </w:rPr>
      </w:r>
      <w:r>
        <w:rPr>
          <w:rFonts w:ascii="Calibri" w:hAnsi="Calibri"/>
          <w:b/>
          <w:i w:val="0"/>
          <w:sz w:val="40"/>
        </w:rPr>
        <w:t>Các thực hành kỹ thuật để đạt tốc độ và chất lượng</w:t>
      </w:r>
    </w:p>
    <w:p>
      <w:pPr>
        <w:spacing w:after="80"/>
      </w:pPr>
      <w:r>
        <w:rPr>
          <w:b w:val="0"/>
          <w:i w:val="0"/>
        </w:rPr>
        <w:t>Trước đây, việc phát hành phần mềm mới giống như ra mắt một mẫu xe hơi mới quan trọng: nhiều năm thiết kế, kỹ thuật và kiểm thử nghiêm ngặt, thường theo sau là một sự kiện tiếp thị lớn và một bữa tiệc ra mắt. Nhưng trong 20 năm qua, kỹ thuật phần mềm đã chuyển từ các bước thủ công, tuần tự sang một quy trình phân phối liên tục, được tự động hóa cao—mở ra những bước tiến vượt bậc về tốc độ, chất lượng và độ tin cậy.</w:t>
      </w:r>
    </w:p>
    <w:p>
      <w:pPr>
        <w:pStyle w:val="Heading2"/>
      </w:pPr>
      <w:r>
        <w:rPr>
          <w:rFonts w:ascii="Calibri" w:hAnsi="Calibri"/>
          <w:b/>
          <w:i w:val="0"/>
          <w:sz w:val="32"/>
        </w:rPr>
        <w:t>Các câu hỏi kinh doanh mà chương này sẽ giúp bạn trả lời</w:t>
      </w:r>
    </w:p>
    <w:p>
      <w:pPr>
        <w:spacing w:after="80"/>
        <w:ind w:left="360"/>
      </w:pPr>
      <w:r>
        <w:t xml:space="preserve">• </w:t>
      </w:r>
      <w:r>
        <w:rPr>
          <w:b w:val="0"/>
          <w:i w:val="0"/>
        </w:rPr>
        <w:t>Các thực hành kỹ thuật phần mềm hiện tại của bạn có cạnh tranh so với các đối thủ cùng ngành không?</w:t>
      </w:r>
    </w:p>
    <w:p>
      <w:pPr>
        <w:spacing w:after="80"/>
        <w:ind w:left="360"/>
      </w:pPr>
      <w:r>
        <w:t xml:space="preserve">• </w:t>
      </w:r>
      <w:r>
        <w:rPr>
          <w:b w:val="0"/>
          <w:i w:val="0"/>
        </w:rPr>
        <w:t>Nếu không, bạn có kế hoạch rõ ràng để đưa chúng đạt mức ngang bằng cạnh tranh, hoặc tốt hơn không?</w:t>
      </w:r>
    </w:p>
    <w:p>
      <w:pPr>
        <w:spacing w:after="80"/>
        <w:ind w:left="360"/>
      </w:pPr>
      <w:r>
        <w:t xml:space="preserve">• </w:t>
      </w:r>
      <w:r>
        <w:rPr>
          <w:b w:val="0"/>
          <w:i w:val="0"/>
        </w:rPr>
        <w:t>Đội ngũ lãnh đạo hàng đầu của bạn có đang dành đủ sự quan tâm cho năng lực quan trọng này không?</w:t>
      </w:r>
    </w:p>
    <w:p>
      <w:pPr>
        <w:spacing w:after="80"/>
      </w:pPr>
      <w:r>
        <w:rPr>
          <w:b w:val="0"/>
          <w:i w:val="0"/>
        </w:rPr>
        <w:t>Kỹ thuật phần mềm hiện đại đã thay đổi cuộc chơi và khả năng phát triển phần mềm (cũng như các mô hình AI) của một công ty giờ đây là con đường quan trọng để tạo sự khác biệt cạnh tranh.</w:t>
      </w:r>
    </w:p>
    <w:p>
      <w:pPr>
        <w:pStyle w:val="Heading2"/>
      </w:pPr>
      <w:r>
        <w:rPr>
          <w:rFonts w:ascii="Calibri" w:hAnsi="Calibri"/>
          <w:b/>
          <w:i w:val="0"/>
          <w:sz w:val="32"/>
        </w:rPr>
        <w:t>Hành trình đến sự xuất sắc trong kỹ thuật phần mềm</w:t>
      </w:r>
    </w:p>
    <w:p>
      <w:pPr>
        <w:spacing w:after="80"/>
      </w:pPr>
      <w:r>
        <w:rPr>
          <w:b w:val="0"/>
          <w:i w:val="0"/>
        </w:rPr>
        <w:t>Có một lý do khiến rất nhiều công ty trong các ngành truyền thống như ngân hàng, bảo hiểm, bán lẻ và ô tô, cùng nhiều ngành khác, đang tự tuyên bố mình là “công ty phần mềm.” Phần mềm giờ đây là cốt lõi để mang lại trải nghiệm khách hàng tuyệt vời và để giảm chi phí đơn vị.</w:t>
      </w:r>
    </w:p>
    <w:p>
      <w:pPr>
        <w:spacing w:after="80"/>
      </w:pPr>
      <w:r>
        <w:rPr>
          <w:b w:val="0"/>
          <w:i w:val="0"/>
        </w:rPr>
        <w:t>Rất có thể công ty của bạn đã bắt đầu hành trình này để phát triển phần mềm tốt hơn. Hãy cùng xem cần những gì để tăng tốc hành trình này. Khi đọc, hãy tự hỏi: “Công ty mình có đang làm điều này không?”</w:t>
      </w:r>
    </w:p>
    <w:p>
      <w:pPr>
        <w:spacing w:after="80"/>
        <w:ind w:left="360"/>
      </w:pPr>
      <w:r>
        <w:t xml:space="preserve">• </w:t>
      </w:r>
      <w:r>
        <w:rPr>
          <w:b/>
          <w:i w:val="0"/>
        </w:rPr>
        <w:t>Biến kỹ thuật phần mềm thành chiến lược.</w:t>
      </w:r>
      <w:r>
        <w:rPr>
          <w:b w:val="0"/>
          <w:i w:val="0"/>
        </w:rPr>
        <w:t xml:space="preserve"> Trong một thời gian dài, kỹ thuật phần mềm bị xem như một trung tâm chi phí IT thay vì một yếu tố tạo khác biệt chiến lược. Bước đầu tiên là định hình lại điều này. Phần mềm không còn chỉ là chuyện hiệu quả văn phòng hậu tuyến; nó là cách chính để các công ty mang lại giá trị, thu hút khách hàng và đổi mới. Coi phát triển phần mềm là ưu tiên ở cấp hội đồng quản trị sẽ gửi tín hiệu cho tổ chức rằng sự xuất sắc trong kỹ thuật là trung tâm của năng lực cạnh tranh.</w:t>
      </w:r>
    </w:p>
    <w:p>
      <w:pPr>
        <w:spacing w:after="80"/>
        <w:ind w:left="360"/>
      </w:pPr>
      <w:r>
        <w:t xml:space="preserve">• </w:t>
      </w:r>
      <w:r>
        <w:rPr>
          <w:b/>
          <w:i w:val="0"/>
        </w:rPr>
        <w:t>Tuyển những kỹ sư phần mềm giàu kinh nghiệm.</w:t>
      </w:r>
      <w:r>
        <w:rPr>
          <w:b w:val="0"/>
          <w:i w:val="0"/>
        </w:rPr>
        <w:t xml:space="preserve"> Sự xuất sắc trong kỹ thuật phần mềm đòi hỏi các kỹ sư, quản lý sản phẩm và kiến trúc sư không chỉ biết viết code mà còn hiểu cách thiết kế hệ thống để mở rộng quy mô, bảo mật và chịu lỗi tốt. Bạn cần tuyển những người không chỉ hiểu điều này mà còn là những người thực hành hằng ngày và giúp nâng cao kỹ năng cho người khác trong tổ chức của bạn.</w:t>
      </w:r>
    </w:p>
    <w:p>
      <w:pPr>
        <w:spacing w:after="80"/>
        <w:ind w:left="360"/>
      </w:pPr>
      <w:r>
        <w:t xml:space="preserve">• </w:t>
      </w:r>
      <w:r>
        <w:rPr>
          <w:b/>
          <w:i w:val="0"/>
        </w:rPr>
        <w:t>Đo lường bằng các chỉ số “DORA”.</w:t>
      </w:r>
      <w:r>
        <w:rPr>
          <w:b w:val="0"/>
          <w:i w:val="0"/>
        </w:rPr>
        <w:t xml:space="preserve"> Bạn không thể cải thiện thứ mà bạn không đo lường. Các chỉ số IT truyền thống như thời gian hoạt động và chênh lệch ngân sách không phản ánh được những yếu tố thực sự thúc đẩy sự xuất sắc trong kỹ thuật phần mềm. Thay vào đó, hãy tập trung vào bốn chỉ số DORA: thời gian dẫn (lead time), tần suất triển khai (deployment frequency), thời gian trung bình để phục hồi (mean time to recovery - MTTR) và tỷ lệ thay đổi thất bại (change failure rate).</w:t>
        <w:br/>
        <w:t>Đây là những chỉ số chuẩn mực, định hướng hành động, cho biết các đội có thể cung cấp sản phẩm phần mềm chất lượng nhanh và an toàn đến mức nào.</w:t>
      </w:r>
    </w:p>
    <w:p>
      <w:pPr>
        <w:spacing w:after="80"/>
        <w:ind w:left="360"/>
      </w:pPr>
      <w:r>
        <w:t xml:space="preserve">• </w:t>
      </w:r>
      <w:r>
        <w:rPr>
          <w:b/>
          <w:i w:val="0"/>
        </w:rPr>
        <w:t>Xây dựng một nền tảng kỹ thuật để tự động hóa SDLC từ đầu đến cuối.</w:t>
      </w:r>
      <w:r>
        <w:rPr>
          <w:b w:val="0"/>
          <w:i w:val="0"/>
        </w:rPr>
        <w:t xml:space="preserve"> Nền tảng kỹ thuật là một hộp công cụ dành cho lập trình viên, cung cấp các công cụ, dịch vụ và quy trình làm việc mà họ cần để cung cấp phần mềm nhanh chóng và an toàn. Thay vì mỗi đội phải phát minh lại bánh xe cho việc kiểm thử, triển khai, giám sát hay bảo mật, một đội nền tảng chuyên trách sẽ xây dựng và duy trì các “con đường vàng cho phát triển” (development golden paths) để các đội sản phẩm có thể tập trung vào logic nghiệp vụ thay vì hạ tầng kỹ thuật. Tiếp theo chúng tôi sẽ giải thích nền tảng kỹ thuật gồm những gì và cách xây dựng một nền tảng như vậy.</w:t>
      </w:r>
    </w:p>
    <w:p>
      <w:pPr>
        <w:spacing w:after="80"/>
        <w:ind w:left="360"/>
      </w:pPr>
      <w:r>
        <w:t xml:space="preserve">• </w:t>
      </w:r>
      <w:r>
        <w:rPr>
          <w:b/>
          <w:i w:val="0"/>
        </w:rPr>
        <w:t>Đầu tư vào phát triển phần mềm có AI hỗ trợ.</w:t>
      </w:r>
      <w:r>
        <w:rPr>
          <w:b w:val="0"/>
          <w:i w:val="0"/>
        </w:rPr>
        <w:t xml:space="preserve"> Việc dùng AI để viết phần mềm đại diện cho một trong những thay đổi sâu sắc nhất trong lịch sử lập trình. Chương 20 dành trọn cho bước phát triển mới quan trọng này.</w:t>
      </w:r>
    </w:p>
    <w:p>
      <w:pPr>
        <w:spacing w:after="80"/>
      </w:pPr>
      <w:r>
        <w:rPr>
          <w:b w:val="0"/>
          <w:i w:val="0"/>
        </w:rPr>
        <w:t>Liệu đội ngũ lãnh đạo hàng đầu của bạn có hiểu những thực hành tốt nhất này không? Bạn có kế hoạch đầu tư và tiếp tục trưởng thành các năng lực kỹ thuật phần mềm của mình không?</w:t>
      </w:r>
    </w:p>
    <w:p>
      <w:pPr>
        <w:pStyle w:val="Heading2"/>
      </w:pPr>
      <w:r>
        <w:rPr>
          <w:rFonts w:ascii="Calibri" w:hAnsi="Calibri"/>
          <w:b/>
          <w:i w:val="0"/>
          <w:sz w:val="32"/>
        </w:rPr>
        <w:t>Xây dựng một nền tảng kỹ thuật</w:t>
      </w:r>
    </w:p>
    <w:p>
      <w:pPr>
        <w:spacing w:after="80"/>
      </w:pPr>
      <w:r>
        <w:rPr>
          <w:b w:val="0"/>
          <w:i w:val="0"/>
        </w:rPr>
        <w:t>Nền tảng kỹ thuật là một nền tảng chung, mang lại cho các đội mọi thứ họ cần để xây dựng và vận hành phần mềm một cách trơn tru.</w:t>
      </w:r>
    </w:p>
    <w:p>
      <w:pPr>
        <w:spacing w:after="80"/>
      </w:pPr>
      <w:r>
        <w:rPr>
          <w:b/>
          <w:i/>
        </w:rPr>
        <w:t>Nền tảng kỹ thuật là một đòn bẩy nhân sức mạnh: Mỗi cải tiến cho nền tảng đều mở rộng ra tất cả các đội, nâng cao chuẩn mực chung của sự xuất sắc trong kỹ thuật</w:t>
      </w:r>
      <w:r>
        <w:rPr>
          <w:b/>
          <w:i w:val="0"/>
        </w:rPr>
        <w:t>.</w:t>
      </w:r>
    </w:p>
    <w:p>
      <w:pPr>
        <w:spacing w:after="80"/>
      </w:pPr>
      <w:r>
        <w:rPr>
          <w:b w:val="0"/>
          <w:i w:val="0"/>
        </w:rPr>
        <w:t>Một nền tảng kỹ thuật được thiết kế tốt thường bao gồm:</w:t>
      </w:r>
    </w:p>
    <w:p>
      <w:pPr>
        <w:spacing w:after="80"/>
        <w:ind w:left="360"/>
      </w:pPr>
      <w:r>
        <w:t xml:space="preserve">• </w:t>
      </w:r>
      <w:r>
        <w:rPr>
          <w:b/>
          <w:i w:val="0"/>
        </w:rPr>
        <w:t>Cổng thông tin cho lập trình viên.</w:t>
      </w:r>
      <w:r>
        <w:rPr>
          <w:b w:val="0"/>
          <w:i w:val="0"/>
        </w:rPr>
        <w:t xml:space="preserve"> Một trung tâm tập trung với các công cụ, tài liệu và mẫu mà lập trình viên cần—giống như một cửa hàng ứng dụng nội bộ hay bàn trợ giúp chỉ dành riêng cho kỹ sư.</w:t>
      </w:r>
    </w:p>
    <w:p>
      <w:pPr>
        <w:spacing w:after="80"/>
        <w:ind w:left="360"/>
      </w:pPr>
      <w:r>
        <w:t xml:space="preserve">• </w:t>
      </w:r>
      <w:r>
        <w:rPr>
          <w:b/>
          <w:i w:val="0"/>
        </w:rPr>
        <w:t>Quản lý mã nguồn.</w:t>
      </w:r>
      <w:r>
        <w:rPr>
          <w:b w:val="0"/>
          <w:i w:val="0"/>
        </w:rPr>
        <w:t xml:space="preserve"> Một thư viện chung nơi toàn bộ code được lưu trữ, theo dõi mọi thay đổi và ai đã tạo ra thay đổi đó—giống như Google Docs dành cho phần mềm.</w:t>
      </w:r>
    </w:p>
    <w:p>
      <w:pPr>
        <w:spacing w:after="80"/>
        <w:ind w:left="360"/>
      </w:pPr>
      <w:r>
        <w:t xml:space="preserve">• </w:t>
      </w:r>
      <w:r>
        <w:rPr>
          <w:b/>
          <w:i w:val="0"/>
        </w:rPr>
        <w:t>Các pipeline CI/CD.</w:t>
      </w:r>
      <w:r>
        <w:rPr>
          <w:b w:val="0"/>
          <w:i w:val="0"/>
        </w:rPr>
        <w:t xml:space="preserve"> Các quy trình làm việc tự động để build, kiểm thử và phát hành code mỗi khi có thay đổi—giống như băng chuyền trong nhà máy, kiểm tra chất lượng trước khi xuất xưởng.</w:t>
      </w:r>
    </w:p>
    <w:p>
      <w:pPr>
        <w:spacing w:after="80"/>
        <w:ind w:left="360"/>
      </w:pPr>
      <w:r>
        <w:t xml:space="preserve">• </w:t>
      </w:r>
      <w:r>
        <w:rPr>
          <w:b/>
          <w:i w:val="0"/>
        </w:rPr>
        <w:t>Kiểm thử tự động.</w:t>
      </w:r>
      <w:r>
        <w:rPr>
          <w:b w:val="0"/>
          <w:i w:val="0"/>
        </w:rPr>
        <w:t xml:space="preserve"> Các bộ kiểm thử (Hình 19.1) chạy tự động để đảm bảo code mới không làm hỏng phần mềm hiện có—giống như nếm thử từng món ăn trước khi phục vụ.</w:t>
      </w:r>
    </w:p>
    <w:p>
      <w:pPr>
        <w:spacing w:after="80"/>
        <w:ind w:left="360"/>
      </w:pPr>
      <w:r>
        <w:t xml:space="preserve">• </w:t>
      </w:r>
      <w:r>
        <w:rPr>
          <w:b/>
          <w:i w:val="0"/>
        </w:rPr>
        <w:t>Cơ sở hạ tầng dưới dạng mã (Infrastructure-as-code).</w:t>
      </w:r>
      <w:r>
        <w:rPr>
          <w:b w:val="0"/>
          <w:i w:val="0"/>
        </w:rPr>
        <w:t xml:space="preserve"> Các script tạo máy chủ và môi trường theo yêu cầu—giống như nhấn một nút để xây lại ngôi nhà ngay lập tức từ bản thiết kế của nó.</w:t>
      </w:r>
    </w:p>
    <w:p>
      <w:pPr>
        <w:spacing w:after="80"/>
        <w:ind w:left="360"/>
      </w:pPr>
      <w:r>
        <w:t xml:space="preserve">• </w:t>
      </w:r>
      <w:r>
        <w:rPr>
          <w:b/>
          <w:i w:val="0"/>
        </w:rPr>
        <w:t>Bộ công cụ quan sát (Observability stack).</w:t>
      </w:r>
      <w:r>
        <w:rPr>
          <w:b w:val="0"/>
          <w:i w:val="0"/>
        </w:rPr>
        <w:t xml:space="preserve"> Bảng điều khiển và cảnh báo hiển thị phần mềm đang chạy trong môi trường production như thế nào—giống như bảng đồng hồ trên ô tô cho bạn biết tốc độ, nhiên liệu và tình trạng động cơ.</w:t>
      </w:r>
    </w:p>
    <w:p>
      <w:pPr>
        <w:spacing w:after="80"/>
        <w:ind w:left="360"/>
      </w:pPr>
      <w:r>
        <w:t xml:space="preserve">• </w:t>
      </w:r>
      <w:r>
        <w:rPr>
          <w:b/>
          <w:i w:val="0"/>
        </w:rPr>
        <w:t>Bộ công cụ bảo mật (Security tooling).</w:t>
      </w:r>
      <w:r>
        <w:rPr>
          <w:b w:val="0"/>
          <w:i w:val="0"/>
        </w:rPr>
        <w:t xml:space="preserve"> Các quét tự động và quy tắc phát hiện lỗ hổng và thực thi tuân thủ—giống như an ninh sân bay được tích hợp sẵn cho mỗi bản phát hành phần mềm.</w:t>
      </w:r>
    </w:p>
    <w:p>
      <w:pPr>
        <w:spacing w:after="80"/>
        <w:ind w:left="360"/>
      </w:pPr>
      <w:r>
        <w:t xml:space="preserve">• </w:t>
      </w:r>
      <w:r>
        <w:rPr>
          <w:b/>
          <w:i w:val="0"/>
        </w:rPr>
        <w:t>Thử nghiệm và quản lý tính năng (Experimentation and feature management).</w:t>
      </w:r>
      <w:r>
        <w:rPr>
          <w:b w:val="0"/>
          <w:i w:val="0"/>
        </w:rPr>
        <w:t xml:space="preserve"> Các công cụ để thử nghiệm tính năng mới một cách an toàn với nhóm nhỏ hoặc bật/tắt chúng dễ dàng—giống như giới thiệu một món ăn mới cho vài khách hàng trước khi thêm vào thực đơn.</w:t>
      </w:r>
    </w:p>
    <w:p>
      <w:pPr>
        <w:jc w:val="center"/>
      </w:pPr>
      <w:r>
        <w:drawing>
          <wp:inline xmlns:a="http://schemas.openxmlformats.org/drawingml/2006/main" xmlns:pic="http://schemas.openxmlformats.org/drawingml/2006/picture">
            <wp:extent cx="5486400" cy="3160714"/>
            <wp:docPr id="124" name="Picture 124"/>
            <wp:cNvGraphicFramePr>
              <a:graphicFrameLocks noChangeAspect="1"/>
            </wp:cNvGraphicFramePr>
            <a:graphic>
              <a:graphicData uri="http://schemas.openxmlformats.org/drawingml/2006/picture">
                <pic:pic>
                  <pic:nvPicPr>
                    <pic:cNvPr id="0" name="c19ex001.png"/>
                    <pic:cNvPicPr/>
                  </pic:nvPicPr>
                  <pic:blipFill>
                    <a:blip r:embed="rId97"/>
                    <a:stretch>
                      <a:fillRect/>
                    </a:stretch>
                  </pic:blipFill>
                  <pic:spPr>
                    <a:xfrm>
                      <a:off x="0" y="0"/>
                      <a:ext cx="5486400" cy="3160714"/>
                    </a:xfrm>
                    <a:prstGeom prst="rect"/>
                  </pic:spPr>
                </pic:pic>
              </a:graphicData>
            </a:graphic>
          </wp:inline>
        </w:drawing>
      </w:r>
    </w:p>
    <w:p>
      <w:pPr>
        <w:spacing w:after="160"/>
        <w:jc w:val="center"/>
      </w:pPr>
      <w:r>
        <w:rPr>
          <w:rFonts w:ascii="Calibri" w:hAnsi="Calibri"/>
          <w:b w:val="0"/>
          <w:i/>
          <w:sz w:val="19"/>
        </w:rPr>
        <w:t>TRIỂN LÃM 19.1</w:t>
      </w:r>
    </w:p>
    <w:p>
      <w:pPr>
        <w:spacing w:after="80"/>
      </w:pPr>
      <w:r>
        <w:rPr>
          <w:b w:val="0"/>
          <w:i w:val="0"/>
        </w:rPr>
        <w:t>Một nền tảng kỹ thuật (engineering platform) không phải là thứ mà các công ty có thể mua sẵn vì các nhà cung cấp chỉ cung cấp từng phần của nó. Thay vào đó, các công ty cần tự xây dựng bằng cách tích hợp các công cụ tốt nhất trong phân khúc. Hành trình xây dựng một nền tảng kỹ thuật là từng bước. Các tổ chức thường bắt đầu với quản lý phiên bản mã nguồn (source control), kiểm thử và các pipeline CI/CD, rồi sau đó mở rộng sang các mẫu cơ sở hạ tầng, quan sát, tự động hóa bảo mật và bộ công cụ trải nghiệm nhà phát triển (developer experience tooling).</w:t>
      </w:r>
    </w:p>
    <w:p>
      <w:pPr>
        <w:spacing w:after="80"/>
      </w:pPr>
      <w:r>
        <w:rPr>
          <w:b w:val="0"/>
          <w:i w:val="0"/>
        </w:rPr>
        <w:t>Cam kết xây dựng một nền tảng kỹ thuật đòi hỏi một đội ngũ chuyên trách có nhiệm vụ vận hành nó như một dịch vụ cho phần còn lại của công ty. Hãy đối xử với nền tảng như một đội ngũ sản phẩm (product team), không phải một bộ phận hỗ trợ IT. Điều đó có nghĩa là chỉ định một chủ sở hữu nền tảng rõ ràng, xác định "khách hàng" (các nhà phát triển nội bộ), thu thập phản hồi và đo lường thành công bằng các chỉ số như thời gian onboarding nhà phát triển, tần suất triển khai phần mềm và tỷ lệ phần trăm các đội ngũ áp dụng các dịch vụ của nền tảng.</w:t>
      </w:r>
    </w:p>
    <w:p>
      <w:pPr>
        <w:pStyle w:val="Heading2"/>
      </w:pPr>
      <w:r>
        <w:rPr>
          <w:rFonts w:ascii="Calibri" w:hAnsi="Calibri"/>
          <w:b/>
          <w:i w:val="0"/>
          <w:sz w:val="32"/>
        </w:rPr>
        <w:t>Nền tảng kỹ thuật giúp kích hoạt DevOps</w:t>
      </w:r>
    </w:p>
    <w:p>
      <w:pPr>
        <w:spacing w:after="80"/>
      </w:pPr>
      <w:r>
        <w:rPr>
          <w:b w:val="0"/>
          <w:i w:val="0"/>
        </w:rPr>
        <w:t>DevOps là cách nói ngắn gọn rằng: "Chúng ta sẽ đưa tất cả những người phát triển ứng dụng cùng với tất cả những người vận hành và bảo mật ứng dụng này vào một đội làm việc tích hợp duy nhất." Nói rõ hơn, vận hành phần mềm không biến mất; nó trở thành một phần của phát triển.</w:t>
      </w:r>
    </w:p>
    <w:p>
      <w:pPr>
        <w:spacing w:after="80"/>
      </w:pPr>
      <w:r>
        <w:rPr>
          <w:b w:val="0"/>
          <w:i w:val="0"/>
        </w:rPr>
        <w:t>Bằng cách phá bỏ những rào cản tổ chức truyền thống vốn tồn tại giữa phát triển và vận hành, các đội ngũ có thể xây dựng và vận hành phần mềm nhanh hơn và đáng tin cậy hơn. Tư duy là: "Bạn xây nó, bạn vận hành nó." Hàm ý là mỗi đội phát triển sở hữu tất cả các bước của quy trình SDLC. Nền tảng kỹ thuật giúp kích hoạt DevOps ở quy mô lớn bằng cách giúp các đội ngũ dễ dàng thực thi xuyên suốt toàn bộ SDLC (vòng đời phát triển giải pháp).</w:t>
      </w:r>
    </w:p>
    <w:p>
      <w:pPr>
        <w:spacing w:after="80"/>
      </w:pPr>
      <w:r>
        <w:rPr>
          <w:b/>
          <w:i/>
        </w:rPr>
        <w:t>Xây dựng một nền tảng tuyệt vời chỉ là một nửa trận chiến. Nửa còn lại là làm sao để hàng trăm, thậm chí hàng nghìn kỹ sư sử dụng nó. Hãy coi việc áp dụng vừa là một nỗ lực quản lý thay đổi, vừa là một bài tập tiếp thị sản phẩm</w:t>
      </w:r>
      <w:r>
        <w:rPr>
          <w:b/>
          <w:i w:val="0"/>
        </w:rPr>
        <w:t>.</w:t>
      </w:r>
    </w:p>
    <w:p>
      <w:pPr>
        <w:spacing w:after="80"/>
      </w:pPr>
      <w:r>
        <w:rPr>
          <w:b w:val="0"/>
          <w:i w:val="0"/>
        </w:rPr>
        <w:t>Các tổ chức lớn không áp đặt việc sử dụng bằng mệnh lệnh—ít nhất là không thành công. Thay vào đó, họ đối xử với nền tảng như một sản phẩm với các kỹ sư là khách hàng nội bộ của mình. Các kỹ sư sẽ áp dụng nền tảng nếu nó giúp công việc của họ dễ dàng hơn.</w:t>
      </w:r>
    </w:p>
    <w:p>
      <w:pPr>
        <w:spacing w:after="80"/>
      </w:pPr>
      <w:r>
        <w:rPr>
          <w:b w:val="0"/>
          <w:i w:val="0"/>
        </w:rPr>
        <w:t>Đó là lý do các công ty hàng đầu xây dựng "golden path" (con đường vàng). Golden path là cách được khuyến nghị, đã được phê duyệt trước để xây dựng một thứ gì đó trong công nghệ. Nó không bắt buộc, nhưng được khuyến khích mạnh mẽ. Những golden path tốt thì trơn tru và được hỗ trợ tốt đến mức các nhà phát triển mặc định chọn chúng. Chúng gói gọn các công cụ, các bước và thực tiễn tốt nhất để các đội ngũ không phải tự mò mẫm từ đầu. Hãy nghĩ về nó như một con đường mòn được đánh dấu trong công viên—bạn có thể đi ra ngoài đường mòn, nhưng con đường được đánh dấu thì rõ ràng, an toàn và đưa bạn đến nơi cần đến với ít rủi ro hơn.</w:t>
      </w:r>
    </w:p>
    <w:p>
      <w:pPr>
        <w:spacing w:after="80"/>
      </w:pPr>
      <w:r>
        <w:rPr>
          <w:b w:val="0"/>
          <w:i w:val="0"/>
        </w:rPr>
        <w:t>Các đợt triển khai thành công bắt đầu với những người dùng sớm (early adopters)—một vài đội ngũ có động lực thử nền tảng, chứng minh lợi ích của nó, rồi trở thành những người truyền bá. Những "nhà vô địch" này lan truyền câu chuyện thành công và hướng dẫn các đội ngũ khác. Việc áp dụng lan tỏa như virus khi các kỹ sư nghe từ đồng nghiệp: "Chúng tôi đã cắt giảm thời gian triển khai tới 80% nhờ nền tảng mới."</w:t>
      </w:r>
    </w:p>
    <w:p>
      <w:pPr>
        <w:spacing w:after="80"/>
      </w:pPr>
      <w:r>
        <w:rPr>
          <w:b w:val="0"/>
          <w:i w:val="0"/>
        </w:rPr>
        <w:t>Ở quy mô lớn, các công ty cung cấp đào tạo, tài liệu và các chương trình onboarding để giúp các kỹ sư bắt nhịp nhanh chóng. Nhiều công ty lập ra các đội trải nghiệm nhà phát triển (DevEx) hoặc bộ phận hỗ trợ hoạt động như dịch vụ chăm sóc khách hàng cho nền tảng. Các kênh Slack, giờ hỗ trợ trực tiếp (office hours) và thời gian phản hồi nhanh xây dựng niềm tin rằng đội ngũ nền tảng là một đối tác thực sự.</w:t>
      </w:r>
    </w:p>
    <w:p>
      <w:pPr>
        <w:spacing w:after="80"/>
      </w:pPr>
      <w:r>
        <w:rPr>
          <w:b w:val="0"/>
          <w:i w:val="0"/>
        </w:rPr>
        <w:t>Sự thay đổi tư duy khi coi các kỹ sư là "khách hàng nội bộ" mang lại lợi ích khổng lồ. Khi những trở ngại trong công việc hằng ngày được loại bỏ, các kỹ sư dành nhiều thời gian hơn để tạo ra giá trị và ít thời gian hơn để "vật lộn với công cụ." Để đảm bảo điều đó xảy ra, bạn sẽ cần cung cấp cho đội ngũ nền tảng kỹ thuật đủ nguồn lực cho dài hạn, chứ không phải như một dự án làm một lần rồi thôi.</w:t>
      </w:r>
    </w:p>
    <w:p>
      <w:pPr>
        <w:jc w:val="center"/>
      </w:pPr>
      <w:r>
        <w:drawing>
          <wp:inline xmlns:a="http://schemas.openxmlformats.org/drawingml/2006/main" xmlns:pic="http://schemas.openxmlformats.org/drawingml/2006/picture">
            <wp:extent cx="457200" cy="447675"/>
            <wp:docPr id="125" name="Picture 125"/>
            <wp:cNvGraphicFramePr>
              <a:graphicFrameLocks noChangeAspect="1"/>
            </wp:cNvGraphicFramePr>
            <a:graphic>
              <a:graphicData uri="http://schemas.openxmlformats.org/drawingml/2006/picture">
                <pic:pic>
                  <pic:nvPicPr>
                    <pic:cNvPr id="0" name="MANAGEMENT_TIP_red.png"/>
                    <pic:cNvPicPr/>
                  </pic:nvPicPr>
                  <pic:blipFill>
                    <a:blip r:embed="rId9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Thúc đẩy việc áp dụng agile và nền tảng kỹ thuật song song với nhau</w:t>
      </w:r>
    </w:p>
    <w:p>
      <w:pPr>
        <w:spacing w:after="80"/>
      </w:pPr>
      <w:r>
        <w:rPr>
          <w:b w:val="0"/>
          <w:i w:val="0"/>
        </w:rPr>
        <w:t>Các tổ chức hàng đầu hiểu rằng agile mà không có tự động hóa SDLC được hỗ trợ bởi nền tảng kỹ thuật thì chỉ là cái vỏ rỗng. Agile tập trung vào cách các nhóm cộng tác và ưu tiên công việc, trong khi nền tảng kỹ thuật đảm bảo họ có thể bàn giao công việc đó một cách nhanh chóng, an toàn và lặp lại được.</w:t>
      </w:r>
    </w:p>
    <w:p>
      <w:pPr>
        <w:pStyle w:val="Heading2"/>
      </w:pPr>
      <w:r>
        <w:rPr>
          <w:rFonts w:ascii="Calibri" w:hAnsi="Calibri"/>
          <w:b/>
          <w:i w:val="0"/>
          <w:sz w:val="32"/>
        </w:rPr>
        <w:t>Nợ kỹ thuật: Nó là gì và làm sao để giảm bớt</w:t>
      </w:r>
    </w:p>
    <w:p>
      <w:pPr>
        <w:spacing w:after="80"/>
      </w:pPr>
      <w:r>
        <w:rPr>
          <w:b w:val="0"/>
          <w:i w:val="0"/>
        </w:rPr>
        <w:t>Nợ kỹ thuật là "khoản thuế" mà các công ty phải trả cho bất kỳ hoạt động phát triển nào để khắc phục các vấn đề công nghệ. Nợ kỹ thuật thường nảy sinh từ sự căng thẳng giữa việc đi nhanh và việc xây dựng cho đúng. Vấn đề là nợ kỹ thuật thường không được quản lý. Nó cứ thế tăng lên vì các nhóm ưu tiên phát triển cái mới hơn là xử lý khoản nợ kỹ thuật mà chính họ tạo ra.</w:t>
      </w:r>
    </w:p>
    <w:p>
      <w:pPr>
        <w:spacing w:after="80"/>
      </w:pPr>
      <w:r>
        <w:rPr>
          <w:b w:val="0"/>
          <w:i w:val="0"/>
        </w:rPr>
        <w:t>Nợ kỹ thuật là vấn đề ở hầu hết các công ty, và việc phát sinh thêm 20% chi phí để xử lý nợ kỹ thuật trong bất kỳ dự án nào cũng không phải chuyện hiếm. Là một khoản chi phí ẩn, nó là gánh nặng âm thầm kéo lùi khả năng đổi mới của công ty. Nợ kỹ thuật đến từ sự tích tụ của những thực hành lập trình kém, chẳng hạn như code viết cẩu thả, các bản sửa tạm thời (mà rốt cuộc lại thành vĩnh viễn), các giải pháp chắp vá một lần, hoặc từ những bước tiến công nghệ khiến các bản xây dựng trước đó trở nên lỗi thời.</w:t>
      </w:r>
    </w:p>
    <w:p>
      <w:pPr>
        <w:spacing w:after="80"/>
      </w:pPr>
      <w:r>
        <w:rPr>
          <w:b w:val="0"/>
          <w:i w:val="0"/>
        </w:rPr>
        <w:t>Nợ kỹ thuật có thể được đo lường và quản lý. Về cơ bản, đây là vấn đề hiểu rõ chi phí thời gian mà các lập trình viên đánh mất so với chi phí xử lý khoản nợ kỹ thuật đó. Việc phân tích phải được thực hiện ở cấp độ ứng dụng, và cần phân loại đúng các nguyên nhân gây nợ kỹ thuật để xác định chính xác các hành động khắc phục.</w:t>
      </w:r>
    </w:p>
    <w:p>
      <w:pPr>
        <w:spacing w:after="80"/>
      </w:pPr>
      <w:r>
        <w:rPr>
          <w:b w:val="0"/>
          <w:i w:val="0"/>
        </w:rPr>
        <w:t>Các tổ chức thành công nhất thường tính toán rõ ràng nợ kỹ thuật trong cách họ lập kế hoạch cho hoạt động phát triển và ngân sách. Trên thực tế, điều đó có nghĩa là mỗi đồng được phân bổ để xử lý nợ kỹ thuật cần đi kèm với cam kết rõ ràng về các KPI và kết quả kinh doanh cụ thể, dù đó là cải thiện khả năng phục hồi, tăng mức độ hài lòng của khách hàng, hay tạo ra doanh thu tăng thêm.</w:t>
      </w:r>
    </w:p>
    <w:p>
      <w:pPr>
        <w:spacing w:after="80"/>
      </w:pPr>
      <w:r>
        <w:rPr>
          <w:b w:val="0"/>
          <w:i w:val="0"/>
        </w:rPr>
        <w:t>Quyền tự chủ và trách nhiệm mà các nhóm phát triển có được trong việc bàn giao sản phẩm tốt bao gồm cả việc giảm nợ kỹ thuật, bởi vì họ chịu trách nhiệm xây dựng ứng dụng cũng như vận hành và quản lý chúng. Đó không phải là việc của một nhóm khác.</w:t>
      </w:r>
    </w:p>
    <w:p>
      <w:pPr>
        <w:pStyle w:val="Heading2"/>
      </w:pPr>
      <w:r>
        <w:rPr>
          <w:rFonts w:ascii="Calibri" w:hAnsi="Calibri"/>
          <w:b/>
          <w:i w:val="0"/>
          <w:sz w:val="32"/>
        </w:rPr>
        <w:t>Bàn giao các giải pháp số đạt chuẩn vận hành thực tế</w:t>
      </w:r>
    </w:p>
    <w:p>
      <w:pPr>
        <w:spacing w:after="80"/>
      </w:pPr>
      <w:r>
        <w:rPr>
          <w:b w:val="0"/>
          <w:i w:val="0"/>
        </w:rPr>
        <w:t>Các ứng dụng phần mềm phải được triển khai lên môi trường vận hành thực tế (production) để con người hoặc các ứng dụng khác có thể sử dụng chúng. Môi trường vận hành thực tế, thường được cung cấp bởi các nhà cung cấp dịch vụ đám mây, cần phải đáng tin cậy và luôn sẵn sàng. Độ tin cậy của môi trường vận hành thực tế quan trọng hơn nhiều so với môi trường khám phá và phát triển.</w:t>
      </w:r>
    </w:p>
    <w:p>
      <w:pPr>
        <w:spacing w:after="80"/>
      </w:pPr>
      <w:r>
        <w:rPr>
          <w:b w:val="0"/>
          <w:i w:val="0"/>
        </w:rPr>
        <w:t>Nhóm nền tảng kỹ thuật tạo ra môi trường này để đáp ứng ba mục tiêu:</w:t>
      </w:r>
    </w:p>
    <w:p>
      <w:pPr>
        <w:spacing w:after="80"/>
        <w:ind w:left="360"/>
      </w:pPr>
      <w:r>
        <w:t xml:space="preserve">1. </w:t>
      </w:r>
      <w:r>
        <w:rPr>
          <w:b/>
          <w:i w:val="0"/>
        </w:rPr>
        <w:t>Mức độ kiểm soát và khả năng kiểm toán cao.</w:t>
      </w:r>
      <w:r>
        <w:rPr>
          <w:b w:val="0"/>
          <w:i w:val="0"/>
        </w:rPr>
        <w:t xml:space="preserve"> Hạ tầng dưới dạng code (Infrastructure as code - IaC) mang lại khả năng quản lý hạ tầng máy tính của bạn bằng code thay vì các quy trình và cài đặt thủ công. Điều này cho phép các nhóm cung cấp tài nguyên tính toán đám mây, lưu trữ và bất kỳ dịch vụ nào khác họ cần một cách lặp lại được, tiết kiệm chi phí và đáng tin cậy. Việc mã hóa rõ ràng mọi thông số kỹ thuật hạ tầng trong một tệp cấu hình tạo ra một "nguồn chân lý duy nhất" (single source of truth) cho ứng dụng đó.</w:t>
      </w:r>
    </w:p>
    <w:p>
      <w:pPr>
        <w:spacing w:after="80"/>
        <w:ind w:left="360"/>
      </w:pPr>
      <w:r>
        <w:t xml:space="preserve">2. </w:t>
      </w:r>
      <w:r>
        <w:rPr>
          <w:b/>
          <w:i w:val="0"/>
        </w:rPr>
        <w:t>An toàn, có khả năng mở rộng và luôn sẵn sàng.</w:t>
      </w:r>
      <w:r>
        <w:rPr>
          <w:b w:val="0"/>
          <w:i w:val="0"/>
        </w:rPr>
        <w:t xml:space="preserve"> Các hệ thống kinh doanh cần chạy liên tục không gián đoạn. Điều này có nghĩa là bảo vệ dữ liệu và ứng dụng để chỉ đúng người và đúng hệ thống mới có thể truy cập; đảm bảo môi trường có thể tự động tăng hoặc giảm năng lực tính toán khi nhu cầu thay đổi; và thiết kế để có khả năng phục hồi, giúp doanh nghiệp vẫn hoạt động ngay cả khi một vùng đám mây hoặc trung tâm dữ liệu gặp sự cố.</w:t>
      </w:r>
    </w:p>
    <w:p>
      <w:pPr>
        <w:spacing w:after="80"/>
        <w:ind w:left="360"/>
      </w:pPr>
      <w:r>
        <w:t xml:space="preserve">3. </w:t>
      </w:r>
      <w:r>
        <w:rPr>
          <w:b/>
          <w:i w:val="0"/>
        </w:rPr>
        <w:t>Khả năng giám sát và quan sát.</w:t>
      </w:r>
      <w:r>
        <w:rPr>
          <w:b w:val="0"/>
          <w:i w:val="0"/>
        </w:rPr>
        <w:t xml:space="preserve"> Giám sát nghe có vẻ là một chủ đề khô khan, nhưng nó quan trọng và thường bị hiểu sai. Các công ty cần một cách tốt để hiểu rõ tình trạng sức khỏe và hoạt động của hạ tầng, ứng dụng và người dùng của những ứng dụng đó. Mọi giải pháp số đang vận hành đều nên có một bảng điều khiển giám sát theo dõi những đặc điểm quan trọng nhất về trải nghiệm người dùng và hiệu suất của giải pháp đó.</w:t>
      </w:r>
    </w:p>
    <w:p>
      <w:pPr>
        <w:pStyle w:val="Heading2"/>
      </w:pPr>
      <w:r>
        <w:rPr>
          <w:rFonts w:ascii="Calibri" w:hAnsi="Calibri"/>
          <w:b/>
          <w:i w:val="0"/>
          <w:sz w:val="32"/>
        </w:rPr>
        <w:t>Kỹ sư DevOps so với kỹ sư độ tin cậy vận hành (site reliability engineer)</w:t>
      </w:r>
    </w:p>
    <w:p>
      <w:pPr>
        <w:spacing w:after="80"/>
      </w:pPr>
      <w:r>
        <w:rPr>
          <w:b w:val="0"/>
          <w:i w:val="0"/>
        </w:rPr>
        <w:t>Có sự nhầm lẫn thường gặp giữa hai vai trò này và những gì họ làm.</w:t>
      </w:r>
    </w:p>
    <w:p>
      <w:pPr>
        <w:spacing w:after="80"/>
      </w:pPr>
      <w:r>
        <w:rPr>
          <w:b/>
          <w:i w:val="0"/>
        </w:rPr>
        <w:t>Kỹ sư DevOps</w:t>
      </w:r>
      <w:r>
        <w:rPr>
          <w:b w:val="0"/>
          <w:i w:val="0"/>
        </w:rPr>
        <w:t xml:space="preserve"> tập trung vào việc giải quyết các vấn đề trong pipeline phát triển. Họ làm cho pipeline tự động hóa phần mềm CI/CD hoạt động được.</w:t>
      </w:r>
    </w:p>
    <w:p>
      <w:pPr>
        <w:spacing w:after="80"/>
      </w:pPr>
      <w:r>
        <w:rPr>
          <w:b/>
          <w:i w:val="0"/>
        </w:rPr>
        <w:t>Kỹ sư độ tin cậy trang web</w:t>
      </w:r>
      <w:r>
        <w:rPr>
          <w:b w:val="0"/>
          <w:i w:val="0"/>
        </w:rPr>
        <w:t xml:space="preserve"> (Site reliability engineers - SRE) giải quyết các vấn đề về vận hành, mở rộng quy mô và độ tin cậy. Với những giải pháp mà độ tin cậy và hiệu suất đặc biệt quan trọng (ví dụ như các trang thương mại điện tử, hoặc các hoạt động tuân thủ và quy định), hãy cân nhắc tạo một bộ phận kỹ thuật độ tin cậy trang web riêng.</w:t>
      </w:r>
    </w:p>
    <w:p>
      <w:pPr>
        <w:pStyle w:val="Heading2"/>
      </w:pPr>
      <w:r>
        <w:rPr>
          <w:rFonts w:ascii="Calibri" w:hAnsi="Calibri"/>
          <w:b/>
          <w:i w:val="0"/>
          <w:sz w:val="32"/>
        </w:rPr>
        <w:t>Xây dựng tự động hóa bảo mật ngay từ đầu</w:t>
      </w:r>
    </w:p>
    <w:p>
      <w:pPr>
        <w:spacing w:after="80"/>
      </w:pPr>
      <w:r>
        <w:rPr>
          <w:b w:val="0"/>
          <w:i w:val="0"/>
        </w:rPr>
        <w:t>Việc triển khai tự động hóa bảo mật nên nằm trong nhiệm vụ của nhóm nền tảng kỹ thuật (engineering platform team) của bạn. Điều này không thể thương lượng, đặc biệt là khi GenAI và việc sử dụng ngày càng nhiều các thiết bị kết nối đã làm gia tăng thêm bề mặt lỗ hổng. Chúng ta sẽ bàn về những rủi ro đặc thù của GenAI trong Chương 34. Ở đây chúng ta tập trung vào an ninh mạng.</w:t>
      </w:r>
    </w:p>
    <w:p>
      <w:pPr>
        <w:spacing w:after="80"/>
      </w:pPr>
      <w:r>
        <w:rPr>
          <w:b w:val="0"/>
          <w:i w:val="0"/>
        </w:rPr>
        <w:t>Những kỹ sư hàng đầu đang đón nhận "dịch chuyển bảo mật sang trái" (shift left on security), một phong trào trong ngành phần mềm nhằm đưa bảo mật vào sớm hơn trong SDLC, thay vì để nó ở bước cuối cùng (Hình 19.2). Đó là bởi vì các nhóm phát triển giải quyết các vấn đề bảo mật nhanh hơn khi mã đang được viết.</w:t>
      </w:r>
    </w:p>
    <w:p>
      <w:pPr>
        <w:spacing w:after="80"/>
      </w:pPr>
      <w:r>
        <w:rPr>
          <w:b w:val="0"/>
          <w:i w:val="0"/>
        </w:rPr>
        <w:t>Mọi lo ngại về bảo mật đều có thể được xử lý ngay tại chỗ trong quy trình, mà không cần chờ đến khi nó bị phát hiện sau này (thường là bởi một nhóm hoàn toàn khác). Thời gian chu kỳ để phát hiện và xử lý vấn đề được giảm đi đáng kể.</w:t>
      </w:r>
    </w:p>
    <w:p>
      <w:pPr>
        <w:jc w:val="center"/>
      </w:pPr>
      <w:r>
        <w:drawing>
          <wp:inline xmlns:a="http://schemas.openxmlformats.org/drawingml/2006/main" xmlns:pic="http://schemas.openxmlformats.org/drawingml/2006/picture">
            <wp:extent cx="5486400" cy="3206005"/>
            <wp:docPr id="126" name="Picture 126"/>
            <wp:cNvGraphicFramePr>
              <a:graphicFrameLocks noChangeAspect="1"/>
            </wp:cNvGraphicFramePr>
            <a:graphic>
              <a:graphicData uri="http://schemas.openxmlformats.org/drawingml/2006/picture">
                <pic:pic>
                  <pic:nvPicPr>
                    <pic:cNvPr id="0" name="c19ex002.png"/>
                    <pic:cNvPicPr/>
                  </pic:nvPicPr>
                  <pic:blipFill>
                    <a:blip r:embed="rId99"/>
                    <a:stretch>
                      <a:fillRect/>
                    </a:stretch>
                  </pic:blipFill>
                  <pic:spPr>
                    <a:xfrm>
                      <a:off x="0" y="0"/>
                      <a:ext cx="5486400" cy="3206005"/>
                    </a:xfrm>
                    <a:prstGeom prst="rect"/>
                  </pic:spPr>
                </pic:pic>
              </a:graphicData>
            </a:graphic>
          </wp:inline>
        </w:drawing>
      </w:r>
    </w:p>
    <w:p>
      <w:pPr>
        <w:spacing w:after="160"/>
        <w:jc w:val="center"/>
      </w:pPr>
      <w:r>
        <w:rPr>
          <w:rFonts w:ascii="Calibri" w:hAnsi="Calibri"/>
          <w:b w:val="0"/>
          <w:i/>
          <w:sz w:val="19"/>
        </w:rPr>
        <w:t>HÌNH 19.2</w:t>
      </w:r>
    </w:p>
    <w:p>
      <w:pPr>
        <w:spacing w:after="80"/>
      </w:pPr>
      <w:r>
        <w:rPr>
          <w:b w:val="0"/>
          <w:i w:val="0"/>
        </w:rPr>
        <w:t>Để giúp đảm bảo các rủi ro được phát hiện đủ sớm, mỗi bước của SDLC nên có bộ kiểm tra bảo mật riêng. Ví dụ, ở bước build, việc kiểm tra các lỗ hổng trong các thành phần bên thứ ba cho đủ thời gian để tìm phương án thay thế nếu phát hiện ra một lỗ hổng.</w:t>
      </w:r>
    </w:p>
    <w:p>
      <w:pPr>
        <w:spacing w:after="80"/>
      </w:pPr>
      <w:r>
        <w:rPr>
          <w:b w:val="0"/>
          <w:i w:val="0"/>
        </w:rPr>
        <w:t>Cần có các công cụ bảo mật chuyên dụng để kiểm thử các thành phần mã nguồn mở dạng mô-đun và có thể tái sử dụng. Việc sử dụng IaC mang lại lợi ích bổ sung là có thể phân tích mã hoặc một công cụ để tìm lỗ hổng bảo mật hoặc cấu hình sai trước khi nó được các nhóm khác sử dụng.</w:t>
      </w:r>
    </w:p>
    <w:p>
      <w:pPr>
        <w:spacing w:after="80"/>
      </w:pPr>
      <w:r>
        <w:rPr>
          <w:b w:val="0"/>
          <w:i w:val="0"/>
        </w:rPr>
        <w:t>Trong khi hầu hết các lãnh đạo cấp cao hiểu được nhu cầu về một môi trường production an toàn, họ thường ít rõ ràng về việc chính xác cần phải làm gì.</w:t>
      </w:r>
    </w:p>
    <w:p>
      <w:pPr>
        <w:spacing w:after="80"/>
      </w:pPr>
      <w:r>
        <w:rPr>
          <w:b w:val="0"/>
          <w:i w:val="0"/>
        </w:rPr>
        <w:t>Thứ nhất, chỉ định một người chịu trách nhiệm duy nhất cho môi trường production—người chịu trách nhiệm về bảo mật, mở rộng quy mô và kỷ luật vận hành từ đầu đến cuối. Thứ hai, yêu cầu các nhóm xây dựng bảo mật và tự động hóa ngay từ đầu, với các kiểm soát, giám sát và kiểm thử được chuẩn hóa được nhúng trực tiếp vào quá trình phát triển thay vì thêm vào ở cuối. Thứ ba, yêu cầu sự minh bạch rõ ràng, đơn giản thông qua các dashboard và các buổi đánh giá mức độ sẵn sàng hàng quý, mang lại cho bạn tầm nhìn trực tiếp về tình trạng bảo mật, thời gian hoạt động, hiệu suất và rủi ro.</w:t>
      </w:r>
    </w:p>
    <w:p>
      <w:pPr>
        <w:jc w:val="center"/>
      </w:pPr>
      <w:r>
        <w:drawing>
          <wp:inline xmlns:a="http://schemas.openxmlformats.org/drawingml/2006/main" xmlns:pic="http://schemas.openxmlformats.org/drawingml/2006/picture">
            <wp:extent cx="1905000" cy="95250"/>
            <wp:docPr id="127" name="Picture 127"/>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Sự xuất sắc trong kỹ thuật phần mềm là được xây dựng, chứ không phải mua. Nó không còn chỉ là một lĩnh vực kỹ thuật thuần túy—nó là một lợi thế chiến lược. Thông điệp dành cho các nhà lãnh đạo rất đơn giản: khi bạn tạo ra những điều kiện để các nhóm kỹ thuật di chuyển nhanh và an toàn, bạn mở khóa cỗ máy đổi mới cần thiết để cạnh tranh trong một thế giới vận hành bằng AI.</w:t>
      </w:r>
    </w:p>
    <w:p>
      <w:pPr>
        <w:pStyle w:val="Heading2"/>
      </w:pPr>
      <w:r>
        <w:rPr>
          <w:rFonts w:ascii="Calibri" w:hAnsi="Calibri"/>
          <w:b/>
          <w:i w:val="0"/>
          <w:sz w:val="32"/>
        </w:rPr>
        <w:t>Những câu hỏi quan trọng</w:t>
      </w:r>
    </w:p>
    <w:p>
      <w:pPr>
        <w:spacing w:after="80"/>
      </w:pPr>
      <w:r>
        <w:rPr>
          <w:b w:val="0"/>
          <w:i w:val="0"/>
        </w:rPr>
        <w:t>Ban điều hành cấp cao (C-suite) và hội đồng quản trị nên hiểu được mức độ trưởng thành của các thực hành kỹ thuật phần mềm trong tổ chức của mình. Hãy đặt những câu hỏi này cho các nhóm phát triển của bạn: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Q1:</w:t>
            </w:r>
          </w:p>
        </w:tc>
        <w:tc>
          <w:tcPr>
            <w:tcW w:type="dxa" w:w="4680"/>
          </w:tcPr>
          <w:p>
            <w:r/>
            <w:r>
              <w:rPr>
                <w:b w:val="0"/>
                <w:i w:val="0"/>
                <w:sz w:val="19"/>
              </w:rPr>
              <w:t>Chúng ta có thể đưa những ý tưởng mới hay cải tiến đến tay khách hàng nhanh chóng và đáng tin cậy đến mức nào?</w:t>
            </w:r>
          </w:p>
        </w:tc>
      </w:tr>
      <w:tr>
        <w:tc>
          <w:tcPr>
            <w:tcW w:type="dxa" w:w="4680"/>
          </w:tcPr>
          <w:p>
            <w:r/>
            <w:r>
              <w:rPr>
                <w:b/>
                <w:i w:val="0"/>
                <w:sz w:val="19"/>
              </w:rPr>
              <w:t>Câu hỏi 2:</w:t>
            </w:r>
          </w:p>
        </w:tc>
        <w:tc>
          <w:tcPr>
            <w:tcW w:type="dxa" w:w="4680"/>
          </w:tcPr>
          <w:p>
            <w:r/>
            <w:r>
              <w:rPr>
                <w:b w:val="0"/>
                <w:i w:val="0"/>
                <w:sz w:val="19"/>
              </w:rPr>
              <w:t>Chúng ta có xây dựng phần mềm theo cách tránh được những vấn đề liên miên, việc làm lại hay thất bại không?</w:t>
            </w:r>
          </w:p>
        </w:tc>
      </w:tr>
      <w:tr>
        <w:tc>
          <w:tcPr>
            <w:tcW w:type="dxa" w:w="4680"/>
          </w:tcPr>
          <w:p>
            <w:r/>
            <w:r>
              <w:rPr>
                <w:b/>
                <w:i w:val="0"/>
                <w:sz w:val="19"/>
              </w:rPr>
              <w:t>Câu hỏi 3:</w:t>
            </w:r>
          </w:p>
        </w:tc>
        <w:tc>
          <w:tcPr>
            <w:tcW w:type="dxa" w:w="4680"/>
          </w:tcPr>
          <w:p>
            <w:r/>
            <w:r>
              <w:rPr>
                <w:b w:val="0"/>
                <w:i w:val="0"/>
                <w:sz w:val="19"/>
              </w:rPr>
              <w:t>Các thực hành kỹ thuật của chúng ta có đủ mạnh để giữ được lợi thế cạnh tranh trên thị trường ngày nay không?</w:t>
            </w:r>
          </w:p>
        </w:tc>
      </w:tr>
    </w:tbl>
    <w:p>
      <w:pPr>
        <w:spacing w:after="0"/>
      </w:pPr>
    </w:p>
    <w:p>
      <w:pPr>
        <w:pStyle w:val="Heading2"/>
      </w:pPr>
      <w:r>
        <w:rPr>
          <w:rFonts w:ascii="Calibri" w:hAnsi="Calibri"/>
          <w:b/>
          <w:i w:val="0"/>
          <w:sz w:val="32"/>
        </w:rPr>
        <w:t>Ghi chú</w:t>
      </w:r>
    </w:p>
    <w:p>
      <w:pPr>
        <w:spacing w:after="80"/>
        <w:ind w:left="360"/>
      </w:pPr>
      <w:r>
        <w:t xml:space="preserve">1. </w:t>
      </w:r>
      <w:r>
        <w:rPr>
          <w:b w:val="0"/>
          <w:i w:val="0"/>
        </w:rPr>
        <w:t xml:space="preserve">1   DORA là viết tắt của DevOps Research and Assessment (Nghiên cứu và Đánh giá DevOps). Ban đầu nó chỉ nhóm nghiên cứu đã tạo ra các báo cáo </w:t>
      </w:r>
      <w:r>
        <w:rPr>
          <w:b w:val="0"/>
          <w:i/>
        </w:rPr>
        <w:t>Accelerate State of DevOps</w:t>
      </w:r>
      <w:r>
        <w:rPr>
          <w:b w:val="0"/>
          <w:i w:val="0"/>
        </w:rPr>
        <w:t xml:space="preserve">, nhóm này cũng đã xuất bản cuốn sách có ảnh hưởng lớn </w:t>
      </w:r>
      <w:r>
        <w:rPr>
          <w:b w:val="0"/>
          <w:i/>
        </w:rPr>
        <w:t>Accelerate (</w:t>
      </w:r>
      <w:r>
        <w:rPr>
          <w:b w:val="0"/>
          <w:i w:val="0"/>
        </w:rPr>
        <w:t xml:space="preserve">Forsgren et al., </w:t>
      </w:r>
      <w:r>
        <w:rPr>
          <w:b w:val="0"/>
          <w:i/>
        </w:rPr>
        <w:t>Accelerate: The Science of Lean Software and DevOps: Building and Scaling High Performing Technology Organizations,</w:t>
      </w:r>
      <w:r>
        <w:rPr>
          <w:b w:val="0"/>
          <w:i w:val="0"/>
        </w:rPr>
        <w:t xml:space="preserve"> IT Revolution, 2018</w:t>
      </w:r>
      <w:r>
        <w:rPr>
          <w:b w:val="0"/>
          <w:i/>
        </w:rPr>
        <w:t>)</w:t>
      </w:r>
      <w:r>
        <w:rPr>
          <w:b w:val="0"/>
          <w:i w:val="0"/>
        </w:rPr>
        <w:t>. Theo thời gian, thuật ngữ "DORA metrics" (các chỉ số DORA) đã trở thành cách gọi bốn chỉ số hiệu suất mà nhóm nghiên cứu này phổ biến để đo lường hiệu quả phân phối phần mềm.</w:t>
      </w:r>
    </w:p>
    <w:p>
      <w:pPr>
        <w:spacing w:after="80"/>
        <w:ind w:left="360"/>
      </w:pPr>
      <w:r>
        <w:t xml:space="preserve">2. </w:t>
      </w:r>
      <w:r>
        <w:rPr>
          <w:b w:val="0"/>
          <w:i w:val="0"/>
        </w:rPr>
        <w:t>2   "Golden paths" (những con đường vàng) là các quy trình phát triển phần mềm tiêu chuẩn hoạt động tốt cho 80% trường hợp sử dụng. Các đội ngũ dùng golden paths vì chúng dễ sử dụng. Nền tảng vẫn cho phép sự linh hoạt khi các đội ngũ có nhu cầu đặc thù nằm ngoài những golden paths này.</w:t>
      </w:r>
    </w:p>
    <w:p>
      <w:pPr>
        <w:spacing w:after="80"/>
        <w:ind w:left="360"/>
      </w:pPr>
      <w:r>
        <w:t xml:space="preserve">3. </w:t>
      </w:r>
      <w:r>
        <w:rPr>
          <w:b w:val="0"/>
          <w:i w:val="0"/>
        </w:rPr>
        <w:t>3   CI/CD là viết tắt của continuous integration and continuous delivery (tích hợp liên tục và phân phối liên tục). Đây là một khái niệm quen thuộc trong kỹ thuật phần mềm và nó là nền tảng cho khả năng liên tục phát triển, kiểm thử và phát hành các ứng dụng phần mềm.</w:t>
      </w:r>
    </w:p>
    <w:p>
      <w:pPr>
        <w:spacing w:after="80"/>
        <w:ind w:left="360"/>
      </w:pPr>
      <w:r>
        <w:t xml:space="preserve">4. </w:t>
      </w:r>
      <w:r>
        <w:rPr>
          <w:b w:val="0"/>
          <w:i w:val="0"/>
        </w:rPr>
        <w:t>4   Aamer Baig, Sven Blumberg, Arun Gundurao, và Basel Kayyali, "Breaking technical debt's vicious cycle to modernize your business," McKinsey, ngày 25 tháng 4 năm 2023.</w:t>
      </w:r>
    </w:p>
    <w:p>
      <w:pPr>
        <w:pStyle w:val="Heading2"/>
      </w:pPr>
      <w:r>
        <w:rPr>
          <w:rFonts w:ascii="Calibri" w:hAnsi="Calibri"/>
          <w:b/>
          <w:i/>
          <w:sz w:val="32"/>
        </w:rPr>
        <w:t>"Bất kỳ công nghệ nào đủ tiên tiến đều không thể phân biệt được với phép thuật."</w:t>
      </w:r>
    </w:p>
    <w:p>
      <w:pPr>
        <w:spacing w:after="80"/>
      </w:pPr>
      <w:r>
        <w:rPr>
          <w:b/>
          <w:i w:val="0"/>
        </w:rPr>
        <w:t>— Arthur C. Clarke</w:t>
      </w:r>
    </w:p>
    <w:p>
      <w:pPr>
        <w:pStyle w:val="Heading1"/>
      </w:pPr>
      <w:r>
        <w:rPr>
          <w:rFonts w:ascii="Calibri" w:hAnsi="Calibri"/>
          <w:b/>
          <w:i w:val="0"/>
          <w:sz w:val="40"/>
        </w:rPr>
        <w:t>CHƯƠNG 20</w:t>
      </w:r>
      <w:r>
        <w:rPr>
          <w:rFonts w:ascii="Calibri" w:hAnsi="Calibri"/>
          <w:b/>
          <w:i w:val="0"/>
          <w:sz w:val="40"/>
        </w:rPr>
      </w:r>
      <w:r>
        <w:rPr>
          <w:rFonts w:ascii="Calibri" w:hAnsi="Calibri"/>
          <w:b/>
          <w:i w:val="0"/>
          <w:sz w:val="40"/>
        </w:rPr>
        <w:t>Cuộc cách mạng AI trong phát triển phần mềm</w:t>
      </w:r>
    </w:p>
    <w:p>
      <w:pPr>
        <w:spacing w:after="80"/>
      </w:pPr>
      <w:r>
        <w:rPr>
          <w:b w:val="0"/>
          <w:i w:val="0"/>
        </w:rPr>
        <w:t>Đã 8 giờ sáng, và tầng ba của một ngân hàng ở London trở nên sống động khi ca ngày—ba kỹ sư đang rũ bỏ những giọt mưa—bước vào văn phòng của họ. Màn hình sáng rực với hoạt động. Nhật ký cuộn chạy. Tiếng vo vo nhẹ nhàng của máy tính vẫn còn vương vấn trong không khí.</w:t>
      </w:r>
    </w:p>
    <w:p>
      <w:pPr>
        <w:spacing w:after="80"/>
      </w:pPr>
      <w:r>
        <w:rPr>
          <w:b w:val="0"/>
          <w:i w:val="0"/>
        </w:rPr>
        <w:t>Các đội AI agent—gần một trăm đội—vừa kết thúc ca làm việc của mình, sau khi dành cả đêm để tinh chỉnh một hệ thống thanh toán xuyên biên giới mới, kiểm thử các đường dẫn thất bại, và phát hành các bản cập nhật với tốc độ mà không đội ngũ con người nào có thể sánh kịp.</w:t>
      </w:r>
    </w:p>
    <w:p>
      <w:pPr>
        <w:spacing w:after="80"/>
      </w:pPr>
      <w:r>
        <w:rPr>
          <w:b w:val="0"/>
          <w:i w:val="0"/>
        </w:rPr>
        <w:t>Con người đặt túi xuống và bắt đầu nghi thức hằng ngày: một buổi đánh giá sprint giờ diễn ra mỗi sáng, chứ không phải hai tuần một lần. Đang chờ họ là một dòng các pull request do AI tạo ra, bằng chứng kiểm thử, và các cờ cảnh báo rủi ro được sắp xếp gọn gàng—tiến độ trong 12 giờ còn nhiều hơn cả một đội ngũ truyền thống có thể đạt được trong một tháng.</w:t>
      </w:r>
    </w:p>
    <w:p>
      <w:pPr>
        <w:spacing w:after="80"/>
      </w:pPr>
      <w:r>
        <w:rPr>
          <w:b w:val="0"/>
          <w:i w:val="0"/>
        </w:rPr>
        <w:t>Công việc của các kỹ sư không phải là viết code nhiều đến thế, mà là định hướng, áp dụng phán đoán và điều chỉnh mức độ ưu tiên cho các AI agent đang làm việc cho họ. Trọng tâm của các kỹ sư thiên về việc cấu trúc các nhiệm vụ của agent thành những quy trình được định nghĩa chính xác, đảm bảo các hoạt động của chúng có thể dự đoán được và đạt chất lượng cao (ví dụ: định trước trình tự các hoạt động của agent), và cấu trúc các template cho đầu ra của agent.</w:t>
      </w:r>
    </w:p>
    <w:p>
      <w:pPr>
        <w:spacing w:after="80"/>
      </w:pPr>
      <w:r>
        <w:rPr>
          <w:b w:val="0"/>
          <w:i w:val="0"/>
        </w:rPr>
        <w:t>Nghe như khoa học viễn tưởng nhỉ? Không phải đâu.</w:t>
      </w:r>
    </w:p>
    <w:p>
      <w:pPr>
        <w:spacing w:after="80"/>
      </w:pPr>
      <w:r>
        <w:rPr>
          <w:b w:val="0"/>
          <w:i w:val="0"/>
        </w:rPr>
        <w:t>Một nhà máy agent cho một ngân hàng G-SIB lớn đã làm được điều này thành công, bao gồm cả nhịp sprint hằng ngày mới với sự tham gia của con người. Kết quả thật đáng kinh ngạc: nhanh gấp 10 lần với chi phí chỉ bằng một nửa. Đúng là một cuộc cách mạng!</w:t>
      </w:r>
    </w:p>
    <w:p>
      <w:pPr>
        <w:pStyle w:val="Heading2"/>
      </w:pPr>
      <w:r>
        <w:rPr>
          <w:rFonts w:ascii="Calibri" w:hAnsi="Calibri"/>
          <w:b/>
          <w:i w:val="0"/>
          <w:sz w:val="32"/>
        </w:rPr>
        <w:t>Những câu hỏi kinh doanh mà chương này sẽ giúp bạn trả lời</w:t>
      </w:r>
    </w:p>
    <w:p>
      <w:pPr>
        <w:spacing w:after="80"/>
        <w:ind w:left="360"/>
      </w:pPr>
      <w:r>
        <w:t xml:space="preserve">• </w:t>
      </w:r>
      <w:r>
        <w:rPr>
          <w:b w:val="0"/>
          <w:i w:val="0"/>
        </w:rPr>
        <w:t>Bạn có đang suy nghĩ thấu đáo về những tác động chiến lược của năng suất phát triển phần mềm tăng gấp 20 lần không?</w:t>
      </w:r>
    </w:p>
    <w:p>
      <w:pPr>
        <w:spacing w:after="80"/>
        <w:ind w:left="360"/>
      </w:pPr>
      <w:r>
        <w:t xml:space="preserve">• </w:t>
      </w:r>
      <w:r>
        <w:rPr>
          <w:b w:val="0"/>
          <w:i w:val="0"/>
        </w:rPr>
        <w:t>Việc công ty bạn dẫn đầu cuộc cách mạng này có quan trọng không, hay chỉ cần đi theo là được?</w:t>
      </w:r>
    </w:p>
    <w:p>
      <w:pPr>
        <w:spacing w:after="80"/>
        <w:ind w:left="360"/>
      </w:pPr>
      <w:r>
        <w:t xml:space="preserve">• </w:t>
      </w:r>
      <w:r>
        <w:rPr>
          <w:b w:val="0"/>
          <w:i w:val="0"/>
        </w:rPr>
        <w:t xml:space="preserve">Làm sao để bạn </w:t>
      </w:r>
      <w:r>
        <w:rPr>
          <w:b w:val="0"/>
          <w:i/>
        </w:rPr>
        <w:t>thực sự</w:t>
      </w:r>
      <w:r>
        <w:rPr>
          <w:b w:val="0"/>
          <w:i w:val="0"/>
        </w:rPr>
        <w:t xml:space="preserve"> biết liệu tổ chức của mình có đang tiến lên trên đường cong năng suất phát triển phần mềm hay không?</w:t>
      </w:r>
    </w:p>
    <w:p>
      <w:pPr>
        <w:spacing w:after="80"/>
      </w:pPr>
      <w:r>
        <w:rPr>
          <w:b w:val="0"/>
          <w:i w:val="0"/>
        </w:rPr>
        <w:t>Nếu GenAI có một ứng dụng sát thủ, thì đó chính là phát triển phần mềm. Và các năng lực của nó đã tăng trưởng theo cấp số nhân trong ba năm qua (Hình 20.1).</w:t>
      </w:r>
    </w:p>
    <w:p>
      <w:pPr>
        <w:spacing w:after="80"/>
      </w:pPr>
      <w:r>
        <w:rPr>
          <w:b w:val="0"/>
          <w:i w:val="0"/>
        </w:rPr>
        <w:t>Thật khó để đánh giá quá cao sự chuyển dịch đang diễn ra trong phát triển phần mềm. Về bản chất, các AI agent đang đảm nhận những nhiệm vụ và quy trình ngày càng phức tạp (chẳng hạn như tạo nguồn gốc bằng chứng, chạy các kiểm tra pháp lý và an ninh mạng, kiểm thử các tình huống giả định, và vừa đề xuất vừa đưa ra quyết định). Vai trò của con người là tuyên bố ý định và ranh giới ở mức cao, đánh giá đầu ra, và phản hồi lại các quyết định cùng đề xuất của agent. Sự thay đổi này đang dẫn đến những đội ngũ nhỏ hơn, chi phí đơn vị cho phát triển phần mềm thấp hơn nhiều, và thời gian từ ý tưởng đến tác động nhanh hơn rất nhiều.</w:t>
      </w:r>
    </w:p>
    <w:p>
      <w:pPr>
        <w:spacing w:after="80"/>
      </w:pPr>
      <w:r>
        <w:rPr>
          <w:b w:val="0"/>
          <w:i w:val="0"/>
        </w:rPr>
        <w:t>Để hiểu rõ hơn những tác động của sự chuyển dịch này, sẽ rất hữu ích khi nắm được tiến trình phát triển năng lực của GenAI trong phát triển phần mềm, bởi vì bước nhảy vọt đó đang bắt đầu diễn ra, dù chậm hơn, ở các lĩnh vực khác như luật, tư vấn, marketing, nhân sự, tài chính, v.v.</w:t>
      </w:r>
    </w:p>
    <w:p>
      <w:pPr>
        <w:jc w:val="center"/>
      </w:pPr>
      <w:r>
        <w:drawing>
          <wp:inline xmlns:a="http://schemas.openxmlformats.org/drawingml/2006/main" xmlns:pic="http://schemas.openxmlformats.org/drawingml/2006/picture">
            <wp:extent cx="5486400" cy="3180806"/>
            <wp:docPr id="128" name="Picture 128"/>
            <wp:cNvGraphicFramePr>
              <a:graphicFrameLocks noChangeAspect="1"/>
            </wp:cNvGraphicFramePr>
            <a:graphic>
              <a:graphicData uri="http://schemas.openxmlformats.org/drawingml/2006/picture">
                <pic:pic>
                  <pic:nvPicPr>
                    <pic:cNvPr id="0" name="c20ex001.png"/>
                    <pic:cNvPicPr/>
                  </pic:nvPicPr>
                  <pic:blipFill>
                    <a:blip r:embed="rId100"/>
                    <a:stretch>
                      <a:fillRect/>
                    </a:stretch>
                  </pic:blipFill>
                  <pic:spPr>
                    <a:xfrm>
                      <a:off x="0" y="0"/>
                      <a:ext cx="5486400" cy="3180806"/>
                    </a:xfrm>
                    <a:prstGeom prst="rect"/>
                  </pic:spPr>
                </pic:pic>
              </a:graphicData>
            </a:graphic>
          </wp:inline>
        </w:drawing>
      </w:r>
    </w:p>
    <w:p>
      <w:pPr>
        <w:spacing w:after="160"/>
        <w:jc w:val="center"/>
      </w:pPr>
      <w:r>
        <w:rPr>
          <w:rFonts w:ascii="Calibri" w:hAnsi="Calibri"/>
          <w:b w:val="0"/>
          <w:i/>
          <w:sz w:val="19"/>
        </w:rPr>
        <w:t>HÌNH 20.1</w:t>
      </w:r>
    </w:p>
    <w:p>
      <w:pPr>
        <w:spacing w:after="80"/>
      </w:pPr>
      <w:r>
        <w:rPr>
          <w:b w:val="0"/>
          <w:i w:val="0"/>
        </w:rPr>
        <w:t>Tiến trình này có thể được chia thành bốn cấp độ hỗ trợ nhà phát triển:</w:t>
      </w:r>
    </w:p>
    <w:p>
      <w:pPr>
        <w:spacing w:after="80"/>
        <w:ind w:left="360"/>
      </w:pPr>
      <w:r>
        <w:t xml:space="preserve">• </w:t>
      </w:r>
      <w:r>
        <w:rPr>
          <w:b/>
          <w:i w:val="0"/>
        </w:rPr>
        <w:t>Cấp độ 1: Phát triển không có GenAI.</w:t>
      </w:r>
      <w:r>
        <w:rPr>
          <w:b w:val="0"/>
          <w:i w:val="0"/>
        </w:rPr>
        <w:t xml:space="preserve"> Lập trình viên tự viết toàn bộ code một mình. Chất lượng thì ổn, nhưng tốc độ bị giới hạn bởi việc một người có thể làm nhanh đến đâu.</w:t>
      </w:r>
    </w:p>
    <w:p>
      <w:pPr>
        <w:spacing w:after="80"/>
        <w:ind w:left="360"/>
      </w:pPr>
      <w:r>
        <w:t xml:space="preserve">• </w:t>
      </w:r>
      <w:r>
        <w:rPr>
          <w:b/>
          <w:i w:val="0"/>
        </w:rPr>
        <w:t>Cấp độ 2: Tăng tốc các nhiệm vụ riêng lẻ.</w:t>
      </w:r>
      <w:r>
        <w:rPr>
          <w:b w:val="0"/>
          <w:i w:val="0"/>
        </w:rPr>
        <w:t xml:space="preserve"> Lập trình viên viết vài dòng, và AI gợi ý mười dòng tiếp theo, cứ như thể bạn có một người lập trình cặp cực nhanh ngồi ngay bên cạnh. AI mang lại một cú hích năng suất đáng kể.</w:t>
      </w:r>
    </w:p>
    <w:p>
      <w:pPr>
        <w:spacing w:after="80"/>
        <w:ind w:left="360"/>
      </w:pPr>
      <w:r>
        <w:t xml:space="preserve">• </w:t>
      </w:r>
      <w:r>
        <w:rPr>
          <w:b/>
          <w:i w:val="0"/>
        </w:rPr>
        <w:t>Cấp độ 3: Tự động hóa toàn bộ các bước trong quy trình.</w:t>
      </w:r>
      <w:r>
        <w:rPr>
          <w:b w:val="0"/>
          <w:i w:val="0"/>
        </w:rPr>
        <w:t xml:space="preserve"> Lập trình viên mô tả một tính năng mới cho AI agent bằng tiếng Anh thông thường. AI tự động tạo ra phiên bản code đầu tiên, các bài kiểm thử, và tài liệu. Cú hích năng suất là vô cùng lớn.</w:t>
      </w:r>
    </w:p>
    <w:p>
      <w:pPr>
        <w:spacing w:after="80"/>
        <w:ind w:left="360"/>
      </w:pPr>
      <w:r>
        <w:t xml:space="preserve">• </w:t>
      </w:r>
      <w:r>
        <w:rPr>
          <w:b/>
          <w:i w:val="0"/>
        </w:rPr>
        <w:t>Cấp độ 4: Bàn giao toàn bộ ứng dụng.</w:t>
      </w:r>
      <w:r>
        <w:rPr>
          <w:b w:val="0"/>
          <w:i w:val="0"/>
        </w:rPr>
        <w:t xml:space="preserve"> Một đội ngũ nhỏ dẫn dắt một hệ thống AI agent được phối hợp nhịp nhàng, có thể bàn giao trọn vẹn một ứng dụng từ đầu đến cuối—từ thiết kế đến code đến kiểm thử đến tích hợp—chỉ nêu ra những quyết định thực sự cần đến phán đoán của con người. Kết quả là đòn bẩy gấp 20 lần: một vài người thực hành bàn giao được những gì mà trước đây cần cả một bộ phận lớn.</w:t>
      </w:r>
    </w:p>
    <w:p>
      <w:pPr>
        <w:spacing w:after="80"/>
      </w:pPr>
      <w:r>
        <w:rPr>
          <w:b w:val="0"/>
          <w:i w:val="0"/>
        </w:rPr>
        <w:t>Hầu hết các công ty đang ở Cấp độ 2 của tiến trình này. Cấp độ 3 đang ngày càng được áp dụng rộng rãi khi LLM đã tiến hóa từ những công cụ hoàn thành mã đơn giản ngay trong dòng thành những hệ thống tự chủ thực thi các tác vụ tái cấu trúc và hiện đại hóa đa tệp kéo dài. Cấp độ 4 phần lớn vẫn còn ở giai đoạn thử nghiệm tại thời điểm viết cuốn sách này, dù đã xuất hiện những phát triển đầy hứa hẹn.</w:t>
      </w:r>
    </w:p>
    <w:p>
      <w:pPr>
        <w:pStyle w:val="Heading2"/>
      </w:pPr>
      <w:r>
        <w:rPr>
          <w:rFonts w:ascii="Calibri" w:hAnsi="Calibri"/>
          <w:b/>
          <w:i w:val="0"/>
          <w:sz w:val="32"/>
        </w:rPr>
        <w:t>Các thực hành tốt nhất để áp dụng AI vào phát triển phần mềm</w:t>
      </w:r>
    </w:p>
    <w:p>
      <w:pPr>
        <w:spacing w:after="80"/>
      </w:pPr>
      <w:r>
        <w:rPr>
          <w:b w:val="0"/>
          <w:i w:val="0"/>
        </w:rPr>
        <w:t>McKinsey đã phân tích gần 300 công ty đại chúng để hiểu cách AI đang định hình lại phát triển phần mềm. Chúng tôi phát hiện rằng một nhóm nhỏ những đơn vị dẫn đầu—khoảng 20% đứng đầu—đang đạt được mức cải thiện 16–30% về năng suất, thời gian ra thị trường và trải nghiệm khách hàng, cùng với mức tăng 31–45% về chất lượng phần mềm.</w:t>
      </w:r>
    </w:p>
    <w:p>
      <w:pPr>
        <w:spacing w:after="80"/>
      </w:pPr>
      <w:r>
        <w:rPr>
          <w:b w:val="0"/>
          <w:i w:val="0"/>
        </w:rPr>
        <w:t>Điểm mấu chốt ở đây là việc chỉ đơn thuần cung cấp công cụ AI cho lập trình viên không tạo ra thay đổi đáng kể. Những công ty khai thác được giá trị thực sự là những công ty tái kiến trúc cách họ xây dựng phần mềm và nhúng sâu AI vào toàn bộ vòng đời phát triển—không chỉ cho việc viết mã.</w:t>
      </w:r>
    </w:p>
    <w:p>
      <w:pPr>
        <w:spacing w:after="80"/>
      </w:pPr>
      <w:r>
        <w:rPr>
          <w:b w:val="0"/>
          <w:i w:val="0"/>
        </w:rPr>
        <w:t>Họ triển khai nhiều trường hợp sử dụng AI trong phát triển, trải rộng từ hình thành ý tưởng, yêu cầu, thiết kế, viết mã, kiểm thử, triển khai đến vận hành, cho phép tăng tốc liên tục và lợi ích tích lũy.</w:t>
      </w:r>
    </w:p>
    <w:p>
      <w:pPr>
        <w:spacing w:after="80"/>
      </w:pPr>
      <w:r>
        <w:rPr>
          <w:b w:val="0"/>
          <w:i w:val="0"/>
        </w:rPr>
        <w:t xml:space="preserve">Các tổ chức này cũng biến mô hình phát triển của họ thành </w:t>
      </w:r>
      <w:r>
        <w:rPr>
          <w:b w:val="0"/>
          <w:i/>
        </w:rPr>
        <w:t>AI-native</w:t>
      </w:r>
      <w:r>
        <w:rPr>
          <w:b w:val="0"/>
          <w:i w:val="0"/>
        </w:rPr>
        <w:t xml:space="preserve"> (bản địa AI), phát triển vai trò, thực hành và quy trình làm việc để con người đóng vai trò điều phối các AI agent. Lập trình viên chuyển từ việc viết từng dòng mã sang giám sát quá trình sinh mã, xác thực kiến trúc và quản lý chất lượng; quản lý sản phẩm và nhà thiết kế đảm nhận nhiều hơn tư duy ở cấp hệ thống và tích hợp AI vào các tính năng và trải nghiệm. Đây là sự thay đổi căn bản trong cách các nhóm làm việc.</w:t>
      </w:r>
    </w:p>
    <w:p>
      <w:pPr>
        <w:spacing w:after="80"/>
      </w:pPr>
      <w:r>
        <w:rPr>
          <w:b w:val="0"/>
          <w:i w:val="0"/>
        </w:rPr>
        <w:t>Đằng sau những thay đổi này là ba yếu tố hỗ trợ then chốt quyết định thành công. Những đơn vị dẫn đầu:</w:t>
      </w:r>
    </w:p>
    <w:p>
      <w:pPr>
        <w:spacing w:after="80"/>
        <w:ind w:left="360"/>
      </w:pPr>
      <w:r>
        <w:t xml:space="preserve">1. </w:t>
      </w:r>
      <w:r>
        <w:rPr>
          <w:b w:val="0"/>
          <w:i w:val="0"/>
        </w:rPr>
        <w:t>Đầu tư nghiêm túc vào việc nâng cao kỹ năng, sử dụng các buổi workshop thực hành, mô phỏng sprint thực tế và huấn luyện thay vì đào tạo thụ động.</w:t>
      </w:r>
    </w:p>
    <w:p>
      <w:pPr>
        <w:spacing w:after="80"/>
        <w:ind w:left="360"/>
      </w:pPr>
      <w:r>
        <w:t xml:space="preserve">2. </w:t>
      </w:r>
      <w:r>
        <w:rPr>
          <w:b w:val="0"/>
          <w:i w:val="0"/>
        </w:rPr>
        <w:t>Thể chế hóa việc theo dõi kết quả—tần suất phát hành, tỷ lệ lỗi, trải nghiệm khách hàng—chứ không chỉ các chỉ số áp dụng đơn thuần.</w:t>
      </w:r>
    </w:p>
    <w:p>
      <w:pPr>
        <w:spacing w:after="80"/>
        <w:ind w:left="360"/>
      </w:pPr>
      <w:r>
        <w:t xml:space="preserve">3. </w:t>
      </w:r>
      <w:r>
        <w:rPr>
          <w:b w:val="0"/>
          <w:i w:val="0"/>
        </w:rPr>
        <w:t>Củng cố thay đổi thông qua các động lực và quản lý hiệu suất được căn chỉnh. Trên thực tế, khoảng 80% những đơn vị dẫn đầu liên kết các mục tiêu GenAI với đánh giá của quản lý sản phẩm và lập trình viên.</w:t>
      </w:r>
    </w:p>
    <w:p>
      <w:pPr>
        <w:spacing w:after="80"/>
      </w:pPr>
      <w:r>
        <w:rPr>
          <w:b w:val="0"/>
          <w:i w:val="0"/>
        </w:rPr>
        <w:t>Những yếu tố hỗ trợ này tạo ra trách nhiệm giải trình, tăng tốc học hỏi và giúp các nhóm tiếp thu những cách làm việc mới. Không có chúng, các tổ chức sẽ quay lại thói quen cũ, và tiềm năng của AI sẽ tan biến.</w:t>
      </w:r>
    </w:p>
    <w:p>
      <w:pPr>
        <w:spacing w:after="80"/>
      </w:pPr>
      <w:r>
        <w:rPr>
          <w:b w:val="0"/>
          <w:i w:val="0"/>
        </w:rPr>
        <w:t>Hàm ý rất rõ ràng: AI có thể chuyển đổi phát triển phần mềm, nhưng chỉ với những công ty sẵn sàng suy nghĩ lại mô hình vận hành của mình. Những công ty thiết kế lại quy trình làm việc, vai trò và quản trị xoay quanh AI có cơ hội tạo ra lợi thế hiệu suất thực sự.</w:t>
      </w:r>
    </w:p>
    <w:p>
      <w:pPr>
        <w:spacing w:after="80"/>
      </w:pPr>
      <w:r>
        <w:rPr>
          <w:b/>
          <w:i/>
        </w:rPr>
        <w:t>Tiếp cận AI trong phần mềm giống như bạn làm với bất kỳ chuyển đổi chiến lược nào—định hướng, đầu tư vào kỹ năng, đo lường kết quả và căn chỉnh động lực</w:t>
      </w:r>
      <w:r>
        <w:rPr>
          <w:b/>
          <w:i w:val="0"/>
        </w:rPr>
        <w:t>.</w:t>
      </w:r>
    </w:p>
    <w:p>
      <w:pPr>
        <w:jc w:val="center"/>
      </w:pPr>
      <w:r>
        <w:drawing>
          <wp:inline xmlns:a="http://schemas.openxmlformats.org/drawingml/2006/main" xmlns:pic="http://schemas.openxmlformats.org/drawingml/2006/picture">
            <wp:extent cx="457200" cy="447675"/>
            <wp:docPr id="129" name="Picture 129"/>
            <wp:cNvGraphicFramePr>
              <a:graphicFrameLocks noChangeAspect="1"/>
            </wp:cNvGraphicFramePr>
            <a:graphic>
              <a:graphicData uri="http://schemas.openxmlformats.org/drawingml/2006/picture">
                <pic:pic>
                  <pic:nvPicPr>
                    <pic:cNvPr id="0" name="CASE_STUDY_red.png"/>
                    <pic:cNvPicPr/>
                  </pic:nvPicPr>
                  <pic:blipFill>
                    <a:blip r:embed="rId10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Chuyển đổi phát triển phần mềm đầu-cuối của IBM</w:t>
      </w:r>
    </w:p>
    <w:p>
      <w:pPr>
        <w:spacing w:after="80"/>
      </w:pPr>
      <w:r>
        <w:rPr>
          <w:b w:val="0"/>
          <w:i w:val="0"/>
        </w:rPr>
        <w:t>Khi IBM bắt tay vào sứ mệnh thiết kế lại quy trình phát triển phần mềm của mình, đó không chỉ đơn thuần là viết mã tốt hơn. Các nhà lãnh đạo nhận ra rằng chuyển đổi thực sự đòi hỏi phải nhìn một cách toàn diện vào toàn bộ vòng đời phát triển.</w:t>
      </w:r>
    </w:p>
    <w:p>
      <w:pPr>
        <w:spacing w:after="80"/>
      </w:pPr>
      <w:r>
        <w:rPr>
          <w:b w:val="0"/>
          <w:i w:val="0"/>
        </w:rPr>
        <w:t>Việc triển khai ban đầu một mô hình phát triển phần mềm mới dùng AI đã gặp nhiều thách thức. Khoảng 200 người được đào tạo cách tuần một lần; tuy nhiên, mức độ tiếp nhận không đồng đều, và việc dùng công cụ lẫn các hành vi mới đều không bám trụ được. Nhiều người đã thử dùng công cụ AI, nhưng khi chúng ban đầu không hoạt động như mong đợi, họ lại quay về cách làm cũ. Chỉ sau vài tháng, rõ ràng là công ty phải chọn một hướng tiếp cận khác.</w:t>
      </w:r>
    </w:p>
    <w:p>
      <w:pPr>
        <w:spacing w:after="80"/>
      </w:pPr>
      <w:r>
        <w:rPr>
          <w:b w:val="0"/>
          <w:i w:val="0"/>
        </w:rPr>
        <w:t>Tuy nhiên, IBM biết rằng công cụ này thực sự hoạt động và có tiềm năng đảm nhận ngày càng nhiều tác vụ liên quan đến lập trình viên. Thế là họ cam kết thực hiện một chương trình hỗ trợ toàn diện hơn để thực sự nâng cao kỹ năng và hỗ trợ lập trình viên khi họ bắt đầu đưa AI vào quy trình làm việc của mình.</w:t>
      </w:r>
    </w:p>
    <w:p>
      <w:pPr>
        <w:spacing w:after="80"/>
      </w:pPr>
      <w:r>
        <w:rPr>
          <w:b w:val="0"/>
          <w:i w:val="0"/>
        </w:rPr>
        <w:t>Chiến dịch tổng lực này bao gồm việc phân công huấn luyện viên cho từng nhóm trong ít nhất hai sprint, tổ chức các giờ tư vấn "mang code của bạn đến" để giải quyết các vấn đề cụ thể, và thiết lập rồi nuôi dưỡng một cộng đồng Slack sôi nổi, nơi các champion (những người biết dùng công cụ AI thành thạo) trả lời câu hỏi thật nhanh.</w:t>
      </w:r>
    </w:p>
    <w:p>
      <w:pPr>
        <w:spacing w:after="80"/>
      </w:pPr>
      <w:r>
        <w:rPr>
          <w:b w:val="0"/>
          <w:i w:val="0"/>
        </w:rPr>
        <w:t>Trong khoảng sáu tháng, IBM đã đưa hơn 8,000 lập trình viên qua chương trình này. Trong giai đoạn đó, năng suất của từng cá nhân tăng lên đáng kể.</w:t>
      </w:r>
    </w:p>
    <w:p>
      <w:pPr>
        <w:pStyle w:val="Heading2"/>
      </w:pPr>
      <w:r>
        <w:rPr>
          <w:rFonts w:ascii="Calibri" w:hAnsi="Calibri"/>
          <w:b/>
          <w:i w:val="0"/>
          <w:sz w:val="32"/>
        </w:rPr>
        <w:t>Một nhà máy AI agent: Hoạt động thế nào?</w:t>
      </w:r>
    </w:p>
    <w:p>
      <w:pPr>
        <w:spacing w:after="80"/>
      </w:pPr>
      <w:r>
        <w:rPr>
          <w:b w:val="0"/>
          <w:i w:val="0"/>
        </w:rPr>
        <w:t>AI agent giúp ta có thể vận hành phát triển phần mềm như một nhà máy kỹ thuật số hai ca. Con người làm ca ngày, định hướng và đảm bảo chất lượng. AI agent làm ca đêm, đảm nhận phần thực thi nặng nhọc—viết code, kiểm thử, đánh giá, viết tài liệu—bên trong một quy trình được kiểm soát và thiết kế kỹ lưỡng. Nhưng để đạt đến điểm này cần phải thiết lập nhà máy một cách cẩn thận.</w:t>
      </w:r>
    </w:p>
    <w:p>
      <w:pPr>
        <w:spacing w:after="80"/>
      </w:pPr>
      <w:r>
        <w:rPr>
          <w:b w:val="0"/>
          <w:i w:val="0"/>
        </w:rPr>
        <w:t>Đầu tiên, tổ chức phải chuẩn bị môi trường mà các agent sẽ hoạt động. Agent cần yêu cầu có cấu trúc, user story rõ ràng, và tiêu chí chấp nhận không mập mờ—chúng không thể tự suy ra ý định kinh doanh. Chúng cũng cần ngữ cảnh phong phú về hệ thống: kiến thức chuyên ngành, sơ đồ kiến trúc, hợp đồng API, mô hình dữ liệu, ranh giới dịch vụ, và các kỳ vọng phi chức năng (như hiệu năng và độ tin cậy). Tất cả những thứ này được nạp vào môi trường của agent để AI hiểu nó đang xây gì và vì sao.</w:t>
      </w:r>
    </w:p>
    <w:p>
      <w:pPr>
        <w:spacing w:after="80"/>
      </w:pPr>
      <w:r>
        <w:rPr>
          <w:b w:val="0"/>
          <w:i w:val="0"/>
        </w:rPr>
        <w:t>Khi nhà máy đã được thiết lập, nhóm con người làm ca ngày. Vai trò của họ là quyết định điều gì quan trọng và chuyển ý định đó thành các tác vụ sẵn sàng cho agent. Họ tinh chỉnh user story, chuyển tính năng thành đặc tả, chia nhỏ công việc thành các tác vụ có phạm vi rõ ràng, và định nghĩa thế nào là "tốt". Họ đưa ra định hướng kiến trúc—giải thích mô-đun nào được chạm vào, mô-đun nào không nên thay đổi, và vì sao. Họ đặt mức ưu tiên, tinh chỉnh guardrail, và cập nhật kiểm thử cho những khu vực mà agent đã mắc lỗi. Nói ngắn gọn, con người chuyển từ gõ code sang chỉ đạo, phân rã, và kiểm soát chất lượng công việc.</w:t>
      </w:r>
    </w:p>
    <w:p>
      <w:pPr>
        <w:spacing w:after="80"/>
      </w:pPr>
      <w:r>
        <w:rPr>
          <w:b w:val="0"/>
          <w:i w:val="0"/>
        </w:rPr>
        <w:t>Khi chiều tối đến, ca đêm của các AI agent tiếp quản. Một đội agent phối hợp với nhau thực hiện các quy trình nhiều bước: agent viết code triển khai thay đổi hoặc tái cấu trúc mô-đun; agent kiểm thử tạo và chạy các bộ kiểm thử mới; agent QA phát hiện lỗi hồi quy; agent bảo mật quét tìm lỗ hổng hoặc rò rỉ bí mật; agent hiệu năng đo điểm chuẩn các đường dẫn quan trọng; và agent viết tài liệu viết lại cùng cập nhật tài liệu tham chiếu API và tóm tắt "những gì đã thay đổi".</w:t>
      </w:r>
    </w:p>
    <w:p>
      <w:pPr>
        <w:spacing w:after="80"/>
      </w:pPr>
      <w:r>
        <w:rPr>
          <w:b w:val="0"/>
          <w:i w:val="0"/>
        </w:rPr>
        <w:t>Một agent điều phối quản lý việc bàn giao: nếu kiểm thử thất bại, nó chuyển công việc về cho agent sửa lỗi; nếu hiệu năng giảm, nó gọi agent kiểm tra hiệu năng; nếu vi phạm chính sách, nó dừng quy trình. Đến sáng, nhà máy đã tạo ra một loạt pull request sẵn sàng để đánh giá, mỗi cái gồm code, kiểm thử, log, kết quả phân tích, và lý do giải thích bằng ngôn ngữ tự nhiên.</w:t>
      </w:r>
    </w:p>
    <w:p>
      <w:pPr>
        <w:spacing w:after="80"/>
      </w:pPr>
      <w:r>
        <w:rPr>
          <w:b w:val="0"/>
          <w:i w:val="0"/>
        </w:rPr>
        <w:t>Ngày hôm sau, nhóm con người tiếp tục ca ngày bằng việc đánh giá kết quả của ca đêm. Họ xem xét các bản tóm tắt, phê duyệt hoặc tinh chỉnh các yêu cầu cập nhật code, đánh giá mức độ phù hợp kiến trúc, và đưa ra định hướng mới cho AI. Họ điều chỉnh mức ưu tiên dựa trên những gì agent đã làm được qua đêm, siết chặt guardrail khi cần, và đánh dấu thêm nhiều phần của codebase là "an toàn để tự động hóa" khi độ tin cậy tăng lên.</w:t>
      </w:r>
    </w:p>
    <w:p>
      <w:pPr>
        <w:spacing w:after="80"/>
      </w:pPr>
      <w:r>
        <w:rPr>
          <w:b/>
          <w:i/>
        </w:rPr>
        <w:t>Nhịp làm việc mới trong một nhà máy agent: Ban ngày dành cho phán đoán, thiết kế, và định hướng; ban đêm dành cho thực thi, lặp lại, và cải tiến</w:t>
      </w:r>
      <w:r>
        <w:rPr>
          <w:b/>
          <w:i w:val="0"/>
        </w:rPr>
        <w:t>.</w:t>
      </w:r>
    </w:p>
    <w:p>
      <w:pPr>
        <w:spacing w:after="80"/>
      </w:pPr>
      <w:r>
        <w:rPr>
          <w:b w:val="0"/>
          <w:i w:val="0"/>
        </w:rPr>
        <w:t>Trong mô hình này, phát triển phần mềm trở thành một vòng lặp liên tục, tốc độ cao thay vì chu kỳ sprint hai tuần. Con người dẫn dắt hệ thống; agent làm việc; nền tảng kỹ thuật đảm bảo an toàn và chất lượng. Kết quả là một nhà máy sản xuất nhiều hơn, chất lượng cao hơn, với con người tập trung vào những phần công việc thực sự cần chuyên môn và phán đoán.</w:t>
      </w:r>
    </w:p>
    <w:p>
      <w:pPr>
        <w:spacing w:after="80"/>
      </w:pPr>
      <w:r>
        <w:rPr>
          <w:b w:val="0"/>
          <w:i w:val="0"/>
        </w:rPr>
        <w:t>Nếu bạn hỏi chúng tôi, điều này thật sự đáng kinh ngạc. Các trường hợp thành công vẫn còn ít và thưa thớt tính đến thời điểm viết bài này, nhưng những đột phá đang xuất hiện. Một công ty dịch vụ tài chính lớn, chẳng hạn, đã dựng lên đúng mô hình nhà máy AI agent này để phát triển một hệ thống thanh toán hoàn toàn mới và đang cải thiện năng suất 40–70%. LATAM Airlines cũng đã thử nghiệm một phiên bản của mô hình này và đang đạt mức tăng năng suất 50% (với các nhóm nhỏ hơn).</w:t>
      </w:r>
    </w:p>
    <w:p>
      <w:pPr>
        <w:spacing w:after="80"/>
      </w:pPr>
      <w:r>
        <w:rPr>
          <w:b w:val="0"/>
          <w:i w:val="0"/>
        </w:rPr>
        <w:t>Cần những gì để vận hành một nhà máy AI agent như mô tả ở trên?</w:t>
      </w:r>
    </w:p>
    <w:p>
      <w:pPr>
        <w:spacing w:after="80"/>
        <w:ind w:left="360"/>
      </w:pPr>
      <w:r>
        <w:t xml:space="preserve">• </w:t>
      </w:r>
      <w:r>
        <w:rPr>
          <w:b/>
          <w:i w:val="0"/>
        </w:rPr>
        <w:t>Đừng tiết kiệm ở phần nền tảng.</w:t>
      </w:r>
      <w:r>
        <w:rPr>
          <w:b w:val="0"/>
          <w:i w:val="0"/>
        </w:rPr>
        <w:t xml:space="preserve"> Mọi triển khai AI agent thành công đều dựa trên nền tảng vững chắc. LATAM nhấn mạnh hai điểm đặc biệt: một nền tảng kỹ thuật mạnh mẽ cung cấp cho agent các công cụ và môi trường chúng cần, và một mô hình vận hành hướng sản phẩm, nơi các nhóm đa chức năng đã hiểu rõ kỹ thuật phần mềm hiện đại.</w:t>
      </w:r>
    </w:p>
    <w:p>
      <w:pPr>
        <w:spacing w:after="80"/>
        <w:ind w:left="360"/>
      </w:pPr>
      <w:r>
        <w:t xml:space="preserve">• </w:t>
      </w:r>
      <w:r>
        <w:rPr>
          <w:b/>
          <w:i w:val="0"/>
        </w:rPr>
        <w:t>Đầu tư vào đồ thị tri thức (knowledge graphs).</w:t>
      </w:r>
      <w:r>
        <w:rPr>
          <w:b w:val="0"/>
          <w:i w:val="0"/>
        </w:rPr>
        <w:t xml:space="preserve"> Đồ thị tri thức là thiết yếu vì chúng hợp nhất mọi nguồn thông tin đầu vào—kho mã nguồn, tài liệu, và nhiều thứ khác—thành một mạng lưới có cấu trúc duy nhất, cho thấy các khái niệm, sự kiện và tài sản được kết nối với nhau như thế nào.</w:t>
      </w:r>
    </w:p>
    <w:p>
      <w:pPr>
        <w:spacing w:after="80"/>
        <w:ind w:left="360"/>
      </w:pPr>
      <w:r>
        <w:t xml:space="preserve">• </w:t>
      </w:r>
      <w:r>
        <w:rPr>
          <w:b/>
          <w:i w:val="0"/>
        </w:rPr>
        <w:t>Học cách chia nhỏ công việc thành các tác vụ sẵn sàng cho agent.</w:t>
      </w:r>
      <w:r>
        <w:rPr>
          <w:b w:val="0"/>
          <w:i w:val="0"/>
        </w:rPr>
        <w:t xml:space="preserve"> Con người cần phát triển kỹ năng phân rã các tính năng lớn thành những tác vụ nhỏ, được khoanh vùng rõ ràng với đầu vào, đầu ra và tiêu chí nghiệm thu cụ thể. Đây chính là điều cho phép các quy trình làm việc đa agent (multiagent) vận hành an toàn. Nếu không có các hạng mục công việc rời rạc, sẵn sàng cho agent, thì agent hoặc là bị kẹt, hoặc là đi chệch hướng.</w:t>
      </w:r>
    </w:p>
    <w:p>
      <w:pPr>
        <w:spacing w:after="80"/>
        <w:ind w:left="360"/>
      </w:pPr>
      <w:r>
        <w:t xml:space="preserve">• </w:t>
      </w:r>
      <w:r>
        <w:rPr>
          <w:b/>
          <w:i w:val="0"/>
        </w:rPr>
        <w:t>Thành thạo phát triển dựa trên đặc tả (spec-driven development) và kỹ thuật ngữ cảnh (context engineering).</w:t>
      </w:r>
      <w:r>
        <w:rPr>
          <w:b w:val="0"/>
          <w:i w:val="0"/>
        </w:rPr>
        <w:t xml:space="preserve"> Các đội ngũ cần làm rất tốt việc định nghĩa đặc tả rõ ràng—hệ thống nên làm gì, nên hành xử ra sao, và sẽ được kiểm thử như thế nào. AI có thể sinh mã, nhưng chỉ khi hướng dẫn của nó rõ ràng, có cấu trúc và đầy đủ.</w:t>
        <w:br/>
        <w:br/>
      </w:r>
      <w:r>
        <w:rPr>
          <w:b/>
          <w:i/>
        </w:rPr>
        <w:t>Bạn không thể "trò chuyện qua loa" mà có được phần mềm đạt chuẩn sản xuất. Bạn cần thành thạo cách đưa ra hướng dẫn tốt cho các AI agent</w:t>
      </w:r>
      <w:r>
        <w:rPr>
          <w:b/>
          <w:i w:val="0"/>
        </w:rPr>
        <w:t>.</w:t>
      </w:r>
      <w:r>
        <w:rPr>
          <w:b w:val="0"/>
          <w:i w:val="0"/>
        </w:rPr>
        <w:t xml:space="preserve"> </w:t>
        <w:br/>
        <w:t>Điều quan trọng không kém là cung cấp cho agent đúng ngữ cảnh—sơ đồ kiến trúc, mô hình dữ liệu, API, các ràng buộc và quy tắc nghiệp vụ—để AI có thể đưa ra quyết định đúng đắn. Đầu ra AI tốt đến từ ngữ cảnh tốt, chứ không phải từ cách diễn đạt khéo léo.</w:t>
      </w:r>
    </w:p>
    <w:p>
      <w:pPr>
        <w:spacing w:after="80"/>
        <w:ind w:left="360"/>
      </w:pPr>
      <w:r>
        <w:t xml:space="preserve">• </w:t>
      </w:r>
      <w:r>
        <w:rPr>
          <w:b/>
          <w:i w:val="0"/>
        </w:rPr>
        <w:t>Tăng cường năng lực phán đoán và kỹ năng đánh giá của con người.</w:t>
      </w:r>
      <w:r>
        <w:rPr>
          <w:b w:val="0"/>
          <w:i w:val="0"/>
        </w:rPr>
        <w:t xml:space="preserve"> Con người trở thành tổng biên tập của nhà máy. Họ phải xem xét các cập nhật được đề xuất, phát hiện sự lệch hướng kiến trúc, đánh giá xem công việc của agent có khớp với ý định hay không, và quyết định khi nào cần siết chặt các rào chắn (guardrails) hoặc điều chỉnh kiểm thử. Sự kết hợp giữa phán đoán sản phẩm, hiểu biết kiến trúc và đánh giá chất lượng này vẫn hoàn toàn thuộc về con người.</w:t>
      </w:r>
    </w:p>
    <w:p>
      <w:pPr>
        <w:spacing w:after="80"/>
        <w:ind w:left="360"/>
      </w:pPr>
      <w:r>
        <w:t xml:space="preserve">• </w:t>
      </w:r>
      <w:r>
        <w:rPr>
          <w:b/>
          <w:i w:val="0"/>
        </w:rPr>
        <w:t>Xem lại các kỳ vọng về hiệu suất.</w:t>
      </w:r>
      <w:r>
        <w:rPr>
          <w:b w:val="0"/>
          <w:i w:val="0"/>
        </w:rPr>
        <w:t xml:space="preserve"> Năng suất giữa con người và agent thay đổi cách các đội ngũ vận hành. LATAM nhận thấy một trong những thách thức lớn nhất khi áp dụng agentic AI là việc tái phân bổ con người sang các nhiệm vụ bổ sung khi agent giải phóng thời gian. Một số công ty giảm quy mô đội ngũ; số khác nâng cao chuẩn mực về những gì cần bàn giao trong một quý. Dù theo cách nào, các mô hình vận hành đều phải thay đổi.</w:t>
      </w:r>
    </w:p>
    <w:p>
      <w:pPr>
        <w:spacing w:after="80"/>
        <w:ind w:left="360"/>
      </w:pPr>
      <w:r>
        <w:t xml:space="preserve">• </w:t>
      </w:r>
      <w:r>
        <w:rPr>
          <w:b/>
          <w:i w:val="0"/>
        </w:rPr>
        <w:t>Theo dõi sát sao mức tiêu thụ token.</w:t>
      </w:r>
      <w:r>
        <w:rPr>
          <w:b w:val="0"/>
          <w:i w:val="0"/>
        </w:rPr>
        <w:t xml:space="preserve"> Trong một thế giới mà các đội ngũ có thể khởi tạo agent, rồi agent lại tạo thêm prompt hoặc sinh ra các subagent, mức tiêu thụ token có thể tăng theo cấp số nhân và dẫn đến việc vượt chi phí đáng kể (token về cơ bản là đơn vị xử lý của LLM). Để đối phó với vấn đề này, hãy xây dựng FinOps (quản lý hoạt động tài chính) của bạn để theo dõi và định hướng hoạt động của agent.</w:t>
      </w:r>
    </w:p>
    <w:p>
      <w:pPr>
        <w:spacing w:after="80"/>
      </w:pPr>
      <w:r>
        <w:rPr>
          <w:b w:val="0"/>
          <w:i w:val="0"/>
        </w:rPr>
        <w:t>Vận hành một nhà máy AI agent không phải là chuyện thay thế con người bằng tự động hóa—mà là tạo ra những điều kiện để con người và AI agent có thể làm việc cùng nhau với tốc độ cao và chất lượng cao. Những năng lực của con người nằm ở tầng trên—phân rã công việc, vận dụng phán đoán, tinh chỉnh hệ thống và quản lý chi phí—chính là thứ sẽ biến một nhà máy agent từ một thử nghiệm thành một lợi thế bền vững.</w:t>
      </w:r>
    </w:p>
    <w:p>
      <w:pPr>
        <w:jc w:val="center"/>
      </w:pPr>
      <w:r>
        <w:drawing>
          <wp:inline xmlns:a="http://schemas.openxmlformats.org/drawingml/2006/main" xmlns:pic="http://schemas.openxmlformats.org/drawingml/2006/picture">
            <wp:extent cx="1905000" cy="95250"/>
            <wp:docPr id="130" name="Picture 130"/>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Điều gì sẽ xảy ra nếu tiến bộ trong năng suất phát triển phần mềm chuyển từ biên giới hiện tại là cải thiện gấp 2 lần sang biên giới mới là cải thiện gấp 20 lần? Điều này sẽ thay đổi thế giới kinh doanh như thế nào?</w:t>
      </w:r>
    </w:p>
    <w:p>
      <w:pPr>
        <w:spacing w:after="80"/>
      </w:pPr>
      <w:r>
        <w:rPr>
          <w:b w:val="0"/>
          <w:i w:val="0"/>
        </w:rPr>
        <w:t>Chúng ta biết con đường đến đó có thể hơi gập ghềnh—bất kỳ ai trong chúng ta cũng có thể chỉ ra những vấn đề mà các công ty đang gặp phải, ngay cả khi chỉ đạt được những cải thiện năng suất khiêm tốn với AI agent. Nhưng thế giới này đang đến, và các lãnh đạo cấp cao nên suy nghĩ thấu đáo về các kịch bản và hệ quả.</w:t>
      </w:r>
    </w:p>
    <w:p>
      <w:pPr>
        <w:spacing w:after="80"/>
      </w:pPr>
      <w:r>
        <w:rPr>
          <w:b w:val="0"/>
          <w:i w:val="0"/>
        </w:rPr>
        <w:t>Dưới đây là một vài điều đáng cân nhắc:</w:t>
      </w:r>
    </w:p>
    <w:p>
      <w:pPr>
        <w:spacing w:after="80"/>
        <w:ind w:left="360"/>
      </w:pPr>
      <w:r>
        <w:t xml:space="preserve">• </w:t>
      </w:r>
      <w:r>
        <w:rPr>
          <w:b/>
          <w:i w:val="0"/>
        </w:rPr>
        <w:t>Mức tăng gấp 20 lần trong năng suất phát triển phần mềm biến các công ty lâu đời thành những đơn vị cải tiến kinh doanh liên tục, theo thời gian thực.</w:t>
      </w:r>
      <w:r>
        <w:rPr>
          <w:b w:val="0"/>
          <w:i w:val="0"/>
        </w:rPr>
        <w:t xml:space="preserve"> Hành trình khách hàng tiến hóa theo tuần, chứ không phải theo năm, xóa bỏ quán tính vốn đã định hình nên các ông lớn truyền thống.</w:t>
      </w:r>
    </w:p>
    <w:p>
      <w:pPr>
        <w:spacing w:after="80"/>
        <w:ind w:left="360"/>
      </w:pPr>
      <w:r>
        <w:t xml:space="preserve">• </w:t>
      </w:r>
      <w:r>
        <w:rPr>
          <w:b/>
          <w:i w:val="0"/>
        </w:rPr>
        <w:t>Đổi mới sáng tạo bị giới hạn bởi trí tưởng tượng, chứ không phải bởi năng lực.</w:t>
      </w:r>
      <w:r>
        <w:rPr>
          <w:b w:val="0"/>
          <w:i w:val="0"/>
        </w:rPr>
        <w:t xml:space="preserve"> Sản phẩm mới, dịch vụ số, công cụ định giá, thuật toán và công cụ vận hành có thể được tạo mẫu và kiểm thử trong vài ngày hoặc vài tuần.</w:t>
      </w:r>
    </w:p>
    <w:p>
      <w:pPr>
        <w:spacing w:after="80"/>
        <w:ind w:left="360"/>
      </w:pPr>
      <w:r>
        <w:t xml:space="preserve">• </w:t>
      </w:r>
      <w:r>
        <w:rPr>
          <w:b/>
          <w:i w:val="0"/>
        </w:rPr>
        <w:t>Hiện đại hóa không còn là một chương trình đồ sộ mà trở thành công việc thường ngày.</w:t>
      </w:r>
      <w:r>
        <w:rPr>
          <w:b w:val="0"/>
          <w:i w:val="0"/>
        </w:rPr>
        <w:t xml:space="preserve"> Các hệ thống cũ (legacy) có thể được tái cấu trúc ngay trong lúc vận hành, loại bỏ ràng buộc lớn nhất đối với các chuyển đổi Công nghệ &amp; AI.</w:t>
      </w:r>
    </w:p>
    <w:p>
      <w:pPr>
        <w:spacing w:after="80"/>
        <w:ind w:left="360"/>
      </w:pPr>
      <w:r>
        <w:t xml:space="preserve">• </w:t>
      </w:r>
      <w:r>
        <w:rPr>
          <w:b/>
          <w:i w:val="0"/>
        </w:rPr>
        <w:t>Các công ty sở hữu năng lực gấp 20 lần này bắt đầu bứt tốc khỏi những đối thủ chậm chạp hơn.</w:t>
      </w:r>
      <w:r>
        <w:rPr>
          <w:b w:val="0"/>
          <w:i w:val="0"/>
        </w:rPr>
        <w:t xml:space="preserve"> Phát hành nhanh hơn, chi phí thấp hơn, trải nghiệm tốt hơn và kiểm soát chặt chẽ hơn tạo ra một lợi thế cạnh tranh mang tính cấu trúc, tích lũy dần theo thời gian.</w:t>
      </w:r>
    </w:p>
    <w:p>
      <w:pPr>
        <w:spacing w:after="80"/>
        <w:ind w:left="360"/>
      </w:pPr>
      <w:r>
        <w:t xml:space="preserve">• </w:t>
      </w:r>
      <w:r>
        <w:rPr>
          <w:b/>
          <w:i w:val="0"/>
        </w:rPr>
        <w:t>Đòn bẩy vận hành (operating leverage) tăng mạnh khi năng suất do AI dẫn dắt làm giảm chi phí biên của sự thay đổi.</w:t>
      </w:r>
      <w:r>
        <w:rPr>
          <w:b w:val="0"/>
          <w:i w:val="0"/>
        </w:rPr>
        <w:t xml:space="preserve"> Các công ty có thể tung ra nhiều tính năng hơn, hiện đại hóa nhiều hệ thống hơn và tự động hóa nhiều quy trình hơn mà không cần tăng nhân sự, mở rộng khoảng cách giữa sản lượng và chi phí.</w:t>
      </w:r>
    </w:p>
    <w:p>
      <w:pPr>
        <w:spacing w:after="80"/>
      </w:pPr>
      <w:r>
        <w:rPr>
          <w:b/>
          <w:i/>
        </w:rPr>
        <w:t>Công ty của bạn có thể làm được gì với mức cải thiện gấp 20 lần trong năng suất phát triển phần mềm?</w:t>
      </w:r>
    </w:p>
    <w:p>
      <w:pPr>
        <w:pStyle w:val="Heading2"/>
      </w:pPr>
      <w:r>
        <w:rPr>
          <w:rFonts w:ascii="Calibri" w:hAnsi="Calibri"/>
          <w:b/>
          <w:i w:val="0"/>
          <w:sz w:val="32"/>
        </w:rPr>
        <w:t>Những câu hỏi cần đặt ra</w:t>
      </w:r>
    </w:p>
    <w:p>
      <w:pPr>
        <w:spacing w:after="80"/>
      </w:pPr>
      <w:r>
        <w:rPr>
          <w:b w:val="0"/>
          <w:i w:val="0"/>
        </w:rPr>
        <w:t>AI có khả năng mở ra những bước tiến vượt bậc về năng suất phát triển phần mềm, nhưng nó đòi hỏi nhiều hơn là công nghệ—cần cả sự lãnh đạo táo bạo, dám suy nghĩ lại về quy trình làm việc và mô hình vận hành. Hãy đặt những câu hỏi này cho ban điều hành cấp cao của bạn: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 1:</w:t>
            </w:r>
          </w:p>
        </w:tc>
        <w:tc>
          <w:tcPr>
            <w:tcW w:type="dxa" w:w="4680"/>
          </w:tcPr>
          <w:p>
            <w:r/>
            <w:r>
              <w:rPr>
                <w:b w:val="0"/>
                <w:i w:val="0"/>
                <w:sz w:val="19"/>
              </w:rPr>
              <w:t>Chúng ta có cần dẫn đầu cuộc cách mạng gấp 20 lần này không, hay chỉ cần bám theo các đối thủ cùng ngành?</w:t>
            </w:r>
          </w:p>
        </w:tc>
      </w:tr>
      <w:tr>
        <w:tc>
          <w:tcPr>
            <w:tcW w:type="dxa" w:w="4680"/>
          </w:tcPr>
          <w:p>
            <w:r/>
            <w:r>
              <w:rPr>
                <w:b/>
                <w:i w:val="0"/>
                <w:sz w:val="19"/>
              </w:rPr>
              <w:t>Câu hỏi 2:</w:t>
            </w:r>
          </w:p>
        </w:tc>
        <w:tc>
          <w:tcPr>
            <w:tcW w:type="dxa" w:w="4680"/>
          </w:tcPr>
          <w:p>
            <w:r/>
            <w:r>
              <w:rPr>
                <w:b w:val="0"/>
                <w:i w:val="0"/>
                <w:sz w:val="19"/>
              </w:rPr>
              <w:t>Chúng ta sẽ theo dõi như thế nào việc AI trong phát triển phần mềm đang cải thiện năng suất và chất lượng sản phẩm/nền tảng của chúng ta ra sao?</w:t>
            </w:r>
          </w:p>
        </w:tc>
      </w:tr>
      <w:tr>
        <w:tc>
          <w:tcPr>
            <w:tcW w:type="dxa" w:w="4680"/>
          </w:tcPr>
          <w:p>
            <w:r/>
            <w:r>
              <w:rPr>
                <w:b/>
                <w:i w:val="0"/>
                <w:sz w:val="19"/>
              </w:rPr>
              <w:t>Câu hỏi 3:</w:t>
            </w:r>
          </w:p>
        </w:tc>
        <w:tc>
          <w:tcPr>
            <w:tcW w:type="dxa" w:w="4680"/>
          </w:tcPr>
          <w:p>
            <w:r/>
            <w:r>
              <w:rPr>
                <w:b w:val="0"/>
                <w:i w:val="0"/>
                <w:sz w:val="19"/>
              </w:rPr>
              <w:t>Chiến lược của chúng ta sẽ thay đổi thế nào nếu chi phí phát triển tiệm cận mức không?</w:t>
            </w:r>
          </w:p>
        </w:tc>
      </w:tr>
    </w:tbl>
    <w:p>
      <w:pPr>
        <w:spacing w:after="0"/>
      </w:pPr>
    </w:p>
    <w:p>
      <w:pPr>
        <w:pStyle w:val="Heading2"/>
      </w:pPr>
      <w:r>
        <w:rPr>
          <w:rFonts w:ascii="Calibri" w:hAnsi="Calibri"/>
          <w:b/>
          <w:i w:val="0"/>
          <w:sz w:val="32"/>
        </w:rPr>
        <w:t>Ghi chú</w:t>
      </w:r>
    </w:p>
    <w:p>
      <w:pPr>
        <w:spacing w:after="80"/>
        <w:ind w:left="360"/>
      </w:pPr>
      <w:r>
        <w:t xml:space="preserve">1. </w:t>
      </w:r>
      <w:r>
        <w:rPr>
          <w:b w:val="0"/>
          <w:i w:val="0"/>
        </w:rPr>
        <w:t>1   Ngân hàng có tầm quan trọng hệ thống toàn cầu (Global Systemically Important Bank).</w:t>
      </w:r>
    </w:p>
    <w:p>
      <w:pPr>
        <w:spacing w:after="80"/>
        <w:ind w:left="360"/>
      </w:pPr>
      <w:r>
        <w:t xml:space="preserve">2. </w:t>
      </w:r>
      <w:r>
        <w:rPr>
          <w:b w:val="0"/>
          <w:i w:val="0"/>
        </w:rPr>
        <w:t>2   Charlotte Relyea, Jose Mario Pena, Martin Harrysson, Matt Linderman, Nandita Bothra, và Natasha Maniar, “Unlocking the value of AI in software development,” McKinsey, ngày 3 tháng 11 năm 2025.</w:t>
      </w:r>
    </w:p>
    <w:p>
      <w:pPr>
        <w:pStyle w:val="Heading2"/>
      </w:pPr>
      <w:r>
        <w:rPr>
          <w:rFonts w:ascii="Calibri" w:hAnsi="Calibri"/>
          <w:b/>
          <w:i/>
          <w:sz w:val="32"/>
        </w:rPr>
        <w:t>“Điều cốt yếu thì vô hình trước mắt.”</w:t>
      </w:r>
    </w:p>
    <w:p>
      <w:pPr>
        <w:spacing w:after="80"/>
      </w:pPr>
      <w:r>
        <w:rPr>
          <w:b/>
          <w:i w:val="0"/>
        </w:rPr>
        <w:t>— Antoine de Saint-Exupéry</w:t>
      </w:r>
    </w:p>
    <w:p>
      <w:pPr>
        <w:pStyle w:val="Heading1"/>
      </w:pPr>
      <w:r>
        <w:rPr>
          <w:rFonts w:ascii="Calibri" w:hAnsi="Calibri"/>
          <w:b/>
          <w:i w:val="0"/>
          <w:sz w:val="40"/>
        </w:rPr>
        <w:t>CHƯƠNG 21</w:t>
      </w:r>
      <w:r>
        <w:rPr>
          <w:rFonts w:ascii="Calibri" w:hAnsi="Calibri"/>
          <w:b/>
          <w:i w:val="0"/>
          <w:sz w:val="40"/>
        </w:rPr>
      </w:r>
      <w:r>
        <w:rPr>
          <w:rFonts w:ascii="Calibri" w:hAnsi="Calibri"/>
          <w:b/>
          <w:i w:val="0"/>
          <w:sz w:val="40"/>
        </w:rPr>
        <w:t>Một nền tảng AI để tăng tốc phát triển mô hình</w:t>
      </w:r>
    </w:p>
    <w:p>
      <w:pPr>
        <w:spacing w:after="80"/>
      </w:pPr>
      <w:r>
        <w:rPr>
          <w:b w:val="0"/>
          <w:i w:val="0"/>
        </w:rPr>
        <w:t>Ngân hàng hàng đầu châu Á DBS đã tái tạo chính mình thành một trong những ngân hàng số tiên tiến nhất thế giới. Họ hiện đại hóa các hệ thống cốt lõi, chuyển mạnh lên đám mây, tổ chức lại theo mô hình nền tảng, và xây dựng lại năng lực kỹ thuật ngay trong nội bộ. Đến khi làn sóng AI ập đến, DBS đã có sự rõ ràng về kiến trúc, nền tảng đám mây, và sức mạnh kỹ thuật của một công ty công nghệ thực thụ.</w:t>
      </w:r>
    </w:p>
    <w:p>
      <w:pPr>
        <w:pStyle w:val="Heading2"/>
      </w:pPr>
      <w:r>
        <w:rPr>
          <w:rFonts w:ascii="Calibri" w:hAnsi="Calibri"/>
          <w:b/>
          <w:i w:val="0"/>
          <w:sz w:val="32"/>
        </w:rPr>
        <w:t>Những câu hỏi kinh doanh mà chương này sẽ giúp bạn trả lời</w:t>
      </w:r>
    </w:p>
    <w:p>
      <w:pPr>
        <w:spacing w:after="80"/>
        <w:ind w:left="360"/>
      </w:pPr>
      <w:r>
        <w:t xml:space="preserve">• </w:t>
      </w:r>
      <w:r>
        <w:rPr>
          <w:b w:val="0"/>
          <w:i w:val="0"/>
        </w:rPr>
        <w:t>Nền tảng AI là gì và liệu công ty bạn có cần một nền tảng như vậy không?</w:t>
      </w:r>
    </w:p>
    <w:p>
      <w:pPr>
        <w:spacing w:after="80"/>
        <w:ind w:left="360"/>
      </w:pPr>
      <w:r>
        <w:t xml:space="preserve">• </w:t>
      </w:r>
      <w:r>
        <w:rPr>
          <w:b w:val="0"/>
          <w:i w:val="0"/>
        </w:rPr>
        <w:t>Kiến trúc nền tảng AI mục tiêu của bạn nên như thế nào để đáp ứng cả nhu cầu trước mắt lẫn lâu dài?</w:t>
      </w:r>
    </w:p>
    <w:p>
      <w:pPr>
        <w:spacing w:after="80"/>
        <w:ind w:left="360"/>
      </w:pPr>
      <w:r>
        <w:t xml:space="preserve">• </w:t>
      </w:r>
      <w:r>
        <w:rPr>
          <w:b w:val="0"/>
          <w:i w:val="0"/>
        </w:rPr>
        <w:t>Bạn nên xây dựng nền tảng AI của mình như thế nào để cân bằng giữa tốc độ, an toàn và khả năng mở rộng trong tương lai?</w:t>
      </w:r>
    </w:p>
    <w:p>
      <w:pPr>
        <w:spacing w:after="80"/>
        <w:ind w:left="360"/>
      </w:pPr>
      <w:r>
        <w:t xml:space="preserve">• </w:t>
      </w:r>
      <w:r>
        <w:rPr>
          <w:b w:val="0"/>
          <w:i w:val="0"/>
        </w:rPr>
        <w:t>Đội ngũ lãnh đạo cấp cao nên quản trị các quyết định then chốt về đầu tư, đội ngũ và các thước đo thành công như thế nào?</w:t>
      </w:r>
    </w:p>
    <w:p>
      <w:pPr>
        <w:spacing w:after="80"/>
      </w:pPr>
      <w:r>
        <w:rPr>
          <w:b w:val="0"/>
          <w:i w:val="0"/>
        </w:rPr>
        <w:t>Vậy nên, khi DBS dấn thân vào AI, họ không bắt đầu từ vị trí đứng yên. Họ đã chạy nước rút. Những thành công ban đầu trong quản lý rủi ro, tương tác khách hàng và vận hành đã chứng minh giá trị của AI—nhưng cũng làm lộ ra một nút thắt quan trọng: xây dựng và triển khai các mô hình AI ở quy mô công nghiệp (Hình 21.1). AI cần phải trở nên "vô hình"—được nhúng vào mọi quyết định, mọi hành trình, mọi tương tác.</w:t>
      </w:r>
    </w:p>
    <w:p>
      <w:pPr>
        <w:jc w:val="center"/>
      </w:pPr>
      <w:r>
        <w:drawing>
          <wp:inline xmlns:a="http://schemas.openxmlformats.org/drawingml/2006/main" xmlns:pic="http://schemas.openxmlformats.org/drawingml/2006/picture">
            <wp:extent cx="5486400" cy="5676854"/>
            <wp:docPr id="131" name="Picture 131"/>
            <wp:cNvGraphicFramePr>
              <a:graphicFrameLocks noChangeAspect="1"/>
            </wp:cNvGraphicFramePr>
            <a:graphic>
              <a:graphicData uri="http://schemas.openxmlformats.org/drawingml/2006/picture">
                <pic:pic>
                  <pic:nvPicPr>
                    <pic:cNvPr id="0" name="c21ex001.png"/>
                    <pic:cNvPicPr/>
                  </pic:nvPicPr>
                  <pic:blipFill>
                    <a:blip r:embed="rId102"/>
                    <a:stretch>
                      <a:fillRect/>
                    </a:stretch>
                  </pic:blipFill>
                  <pic:spPr>
                    <a:xfrm>
                      <a:off x="0" y="0"/>
                      <a:ext cx="5486400" cy="5676854"/>
                    </a:xfrm>
                    <a:prstGeom prst="rect"/>
                  </pic:spPr>
                </pic:pic>
              </a:graphicData>
            </a:graphic>
          </wp:inline>
        </w:drawing>
      </w:r>
    </w:p>
    <w:p>
      <w:pPr>
        <w:spacing w:after="160"/>
        <w:jc w:val="center"/>
      </w:pPr>
      <w:r>
        <w:rPr>
          <w:rFonts w:ascii="Calibri" w:hAnsi="Calibri"/>
          <w:b w:val="0"/>
          <w:i/>
          <w:sz w:val="19"/>
        </w:rPr>
        <w:t>HÌNH 21.1</w:t>
      </w:r>
    </w:p>
    <w:p>
      <w:pPr>
        <w:spacing w:after="80"/>
      </w:pPr>
      <w:r>
        <w:rPr>
          <w:b w:val="0"/>
          <w:i w:val="0"/>
        </w:rPr>
        <w:t>Câu trả lời là một nền tảng dữ liệu (được đề cập trong Chương 25) và một nền tảng AI. Cùng nhau, chúng cung cấp năng lực để tạo, triển khai, giám sát và cải thiện hàng trăm mô hình một cách an toàn và nhất quán. Trước đây DBS mất 18 tháng để phát triển và mở rộng một mô hình; giờ đây công ty có thể làm điều đó trong hai hoặc ba tháng. Điều mở ra bước đột phá này không phải là một thuật toán đột phá mà là một nền tảng.</w:t>
      </w:r>
    </w:p>
    <w:p>
      <w:pPr>
        <w:spacing w:after="80"/>
      </w:pPr>
      <w:r>
        <w:rPr>
          <w:b w:val="0"/>
          <w:i w:val="0"/>
        </w:rPr>
        <w:t>Một nền tảng AI mang đến cho các đội phát triển mọi thứ họ cần để xây dựng và vận hành các giải pháp AI mà không phải phát minh lại từ đầu mỗi lần. Nền tảng AI tồn tại để đạt được năm mục tiêu:</w:t>
      </w:r>
    </w:p>
    <w:p>
      <w:pPr>
        <w:spacing w:after="80"/>
        <w:ind w:left="360"/>
      </w:pPr>
      <w:r>
        <w:t xml:space="preserve">1. </w:t>
      </w:r>
      <w:r>
        <w:rPr>
          <w:b/>
          <w:i w:val="0"/>
        </w:rPr>
        <w:t>Tốc độ</w:t>
      </w:r>
      <w:r>
        <w:rPr>
          <w:b w:val="0"/>
          <w:i w:val="0"/>
        </w:rPr>
        <w:t xml:space="preserve"> bằng cách rút ngắn thời gian từ ý tưởng đến giải pháp AI hoạt động thực tế từ hàng tháng xuống hàng tuần hoặc thậm chí hàng ngày</w:t>
      </w:r>
    </w:p>
    <w:p>
      <w:pPr>
        <w:spacing w:after="80"/>
        <w:ind w:left="360"/>
      </w:pPr>
      <w:r>
        <w:t xml:space="preserve">2. </w:t>
      </w:r>
      <w:r>
        <w:rPr>
          <w:b/>
          <w:i w:val="0"/>
        </w:rPr>
        <w:t>Tính nhất quán và an toàn</w:t>
      </w:r>
      <w:r>
        <w:rPr>
          <w:b w:val="0"/>
          <w:i w:val="0"/>
        </w:rPr>
        <w:t xml:space="preserve"> bằng cách đảm bảo mọi giải pháp AI đều đáp ứng cùng các tiêu chuẩn về bảo mật, tuân thủ và đạo đức</w:t>
      </w:r>
    </w:p>
    <w:p>
      <w:pPr>
        <w:spacing w:after="80"/>
        <w:ind w:left="360"/>
      </w:pPr>
      <w:r>
        <w:t xml:space="preserve">3. </w:t>
      </w:r>
      <w:r>
        <w:rPr>
          <w:b/>
          <w:i w:val="0"/>
        </w:rPr>
        <w:t>Kiểm soát chi phí</w:t>
      </w:r>
      <w:r>
        <w:rPr>
          <w:b w:val="0"/>
          <w:i w:val="0"/>
        </w:rPr>
        <w:t xml:space="preserve"> bằng cách ngăn chặn chi phí sử dụng LLM và hóa đơn đám mây tăng vọt thông qua giám sát mô hình và minh bạch chi phí</w:t>
      </w:r>
    </w:p>
    <w:p>
      <w:pPr>
        <w:spacing w:after="80"/>
        <w:ind w:left="360"/>
      </w:pPr>
      <w:r>
        <w:t xml:space="preserve">4. </w:t>
      </w:r>
      <w:r>
        <w:rPr>
          <w:b/>
          <w:i w:val="0"/>
        </w:rPr>
        <w:t>Chất lượng</w:t>
      </w:r>
      <w:r>
        <w:rPr>
          <w:b w:val="0"/>
          <w:i w:val="0"/>
        </w:rPr>
        <w:t xml:space="preserve"> bằng cách cung cấp sẵn các công cụ kiểm thử, đánh giá và giám sát để kết quả AI có thể được tin cậy</w:t>
      </w:r>
    </w:p>
    <w:p>
      <w:pPr>
        <w:spacing w:after="80"/>
        <w:ind w:left="360"/>
      </w:pPr>
      <w:r>
        <w:t xml:space="preserve">5. </w:t>
      </w:r>
      <w:r>
        <w:rPr>
          <w:b/>
          <w:i w:val="0"/>
        </w:rPr>
        <w:t>Khả năng mở rộng</w:t>
      </w:r>
      <w:r>
        <w:rPr>
          <w:b w:val="0"/>
          <w:i w:val="0"/>
        </w:rPr>
        <w:t xml:space="preserve"> bằng cách cho phép hàng chục, thậm chí hàng trăm đội cùng xây dựng một lúc, mà không phá vỡ các quy tắc chung hay trùng lặp công sức</w:t>
      </w:r>
    </w:p>
    <w:p>
      <w:pPr>
        <w:spacing w:after="80"/>
      </w:pPr>
      <w:r>
        <w:rPr>
          <w:b w:val="0"/>
          <w:i w:val="0"/>
        </w:rPr>
        <w:t>Toàn bộ câu chuyện của DBS sẽ xuất hiện trong Chương 39, nhưng có hai bài học nổi bật. Thứ nhất, bạn không thể đạt tới "nồi vàng" AI mà không đầu tư vào các nền tảng cơ bản—kiến trúc đám mây, một nền tảng dữ liệu thống nhất, phát triển phần mềm hiện đại và đội ngũ kỹ sư tài năng. Thứ hai, một khi những nền tảng cơ bản đó đã sẵn sàng, bước đột phá đến từ việc công nghiệp hóa AI bằng một nền tảng. Đó là cách AI chuyển từ những thắng lợi đơn lẻ sang giá trị doanh nghiệp bền vững.</w:t>
      </w:r>
    </w:p>
    <w:p>
      <w:pPr>
        <w:spacing w:after="80"/>
      </w:pPr>
      <w:r>
        <w:rPr>
          <w:b w:val="0"/>
          <w:i w:val="0"/>
        </w:rPr>
        <w:t>Trong chương này, chúng tôi giải thích kiến trúc cơ bản của một nền tảng AI, các đánh đổi giữa tự xây dựng và mua sẵn, cùng những thực tiễn tốt nhất để thiết lập năng lực quan trọng này.</w:t>
      </w:r>
    </w:p>
    <w:p>
      <w:pPr>
        <w:pStyle w:val="Heading2"/>
      </w:pPr>
      <w:r>
        <w:rPr>
          <w:rFonts w:ascii="Calibri" w:hAnsi="Calibri"/>
          <w:b/>
          <w:i w:val="0"/>
          <w:sz w:val="32"/>
        </w:rPr>
        <w:t>Kiến trúc của các nền tảng AI</w:t>
      </w:r>
    </w:p>
    <w:p>
      <w:pPr>
        <w:spacing w:after="80"/>
      </w:pPr>
      <w:r>
        <w:rPr>
          <w:b w:val="0"/>
          <w:i w:val="0"/>
        </w:rPr>
        <w:t>Một nền tảng AI có sáu thành phần (Triển lãm 21.2). Khi được cấu trúc tốt, các yếu tố trong mỗi lớp của kiến trúc có thể dễ dàng được thêm vào hoặc thay thế bằng những cái tốt hơn.</w:t>
      </w:r>
    </w:p>
    <w:p>
      <w:pPr>
        <w:jc w:val="center"/>
      </w:pPr>
      <w:r>
        <w:drawing>
          <wp:inline xmlns:a="http://schemas.openxmlformats.org/drawingml/2006/main" xmlns:pic="http://schemas.openxmlformats.org/drawingml/2006/picture">
            <wp:extent cx="5486400" cy="5453704"/>
            <wp:docPr id="132" name="Picture 132"/>
            <wp:cNvGraphicFramePr>
              <a:graphicFrameLocks noChangeAspect="1"/>
            </wp:cNvGraphicFramePr>
            <a:graphic>
              <a:graphicData uri="http://schemas.openxmlformats.org/drawingml/2006/picture">
                <pic:pic>
                  <pic:nvPicPr>
                    <pic:cNvPr id="0" name="c21ex002.png"/>
                    <pic:cNvPicPr/>
                  </pic:nvPicPr>
                  <pic:blipFill>
                    <a:blip r:embed="rId103"/>
                    <a:stretch>
                      <a:fillRect/>
                    </a:stretch>
                  </pic:blipFill>
                  <pic:spPr>
                    <a:xfrm>
                      <a:off x="0" y="0"/>
                      <a:ext cx="5486400" cy="5453704"/>
                    </a:xfrm>
                    <a:prstGeom prst="rect"/>
                  </pic:spPr>
                </pic:pic>
              </a:graphicData>
            </a:graphic>
          </wp:inline>
        </w:drawing>
      </w:r>
    </w:p>
    <w:p>
      <w:pPr>
        <w:spacing w:after="160"/>
        <w:jc w:val="center"/>
      </w:pPr>
      <w:r>
        <w:rPr>
          <w:rFonts w:ascii="Calibri" w:hAnsi="Calibri"/>
          <w:b w:val="0"/>
          <w:i/>
          <w:sz w:val="19"/>
        </w:rPr>
        <w:t>TRIỂN LÃM 21.2</w:t>
      </w:r>
    </w:p>
    <w:p>
      <w:pPr>
        <w:spacing w:after="80"/>
        <w:ind w:left="360"/>
      </w:pPr>
      <w:r>
        <w:t xml:space="preserve">1. </w:t>
      </w:r>
      <w:r>
        <w:rPr>
          <w:b/>
          <w:i w:val="0"/>
        </w:rPr>
        <w:t>Các mẫu ứng dụng: Xây dựng cái gì.</w:t>
      </w:r>
      <w:r>
        <w:rPr>
          <w:b w:val="0"/>
          <w:i w:val="0"/>
        </w:rPr>
        <w:t xml:space="preserve"> Các mẫu ứng dụng là những cách tiếp cận được chuẩn hóa để áp dụng AI vào các vấn đề kinh doanh phổ biến. Ví dụ bao gồm tổng hợp nội dung thô thành thông tin hữu ích cho nhân viên hoặc phát triển trợ lý AI cho lực lượng chuyên môn đặc thù.</w:t>
        <w:br/>
        <w:t>Bằng cách hệ thống hóa các mẫu này và làm cho chúng dễ tìm thấy, các tổ chức giảm thiểu sự trùng lặp nỗ lực, tăng tốc phát triển giải pháp và tạo ra sự nhất quán.</w:t>
      </w:r>
    </w:p>
    <w:p>
      <w:pPr>
        <w:spacing w:after="80"/>
        <w:ind w:left="360"/>
      </w:pPr>
      <w:r>
        <w:t xml:space="preserve">2. </w:t>
      </w:r>
      <w:r>
        <w:rPr>
          <w:b/>
          <w:i w:val="0"/>
        </w:rPr>
        <w:t>Quy trình phát triển: Xây dựng và triển khai như thế nào.</w:t>
      </w:r>
      <w:r>
        <w:rPr>
          <w:b w:val="0"/>
          <w:i w:val="0"/>
        </w:rPr>
        <w:t xml:space="preserve"> Quy trình phát triển quy định cách các mô hình được xây dựng, xác thực và triển khai vào sản xuất. Nó thường bao gồm chuẩn bị dữ liệu, huấn luyện mô hình, đánh giá, kiểm thử, triển khai và giám sát.</w:t>
      </w:r>
    </w:p>
    <w:p>
      <w:pPr>
        <w:spacing w:after="80"/>
        <w:ind w:left="360"/>
      </w:pPr>
      <w:r>
        <w:t xml:space="preserve">3. </w:t>
      </w:r>
      <w:r>
        <w:rPr>
          <w:b/>
          <w:i w:val="0"/>
        </w:rPr>
        <w:t>Các khối xây dựng giải pháp AI: Các công cụ để tái sử dụng.</w:t>
      </w:r>
      <w:r>
        <w:rPr>
          <w:b w:val="0"/>
          <w:i w:val="0"/>
        </w:rPr>
        <w:t xml:space="preserve"> Các nền tảng hàng đầu sẽ chứa hàng tá những thứ này. Ví dụ bao gồm tổng hợp nội dung, chuyển đổi giọng nói thành văn bản, chuỗi logic, tạo mã, thư viện prompt, mô hình chấm điểm tín dụng, v.v. Các khối xây dựng cho phép nhiều nhóm sử dụng các thành phần chung thay vì tự xây dựng giải pháp riêng.</w:t>
      </w:r>
    </w:p>
    <w:p>
      <w:pPr>
        <w:spacing w:after="80"/>
        <w:ind w:left="360"/>
      </w:pPr>
      <w:r>
        <w:t xml:space="preserve">4. </w:t>
      </w:r>
      <w:r>
        <w:rPr>
          <w:b/>
          <w:i w:val="0"/>
        </w:rPr>
        <w:t>Các mô hình AI: Trí tuệ được cung cấp như thế nào.</w:t>
      </w:r>
      <w:r>
        <w:rPr>
          <w:b w:val="0"/>
          <w:i w:val="0"/>
        </w:rPr>
        <w:t xml:space="preserve"> Các mô hình AI là động cơ tạo ra dự đoán, phân loại, đề xuất hoặc nội dung. Chúng bao gồm từ các mô hình thống kê truyền thống và thuật toán ML đến các mô hình nền tảng lớn như GPT hoặc Gemini.</w:t>
        <w:br/>
        <w:t>Một số mô hình được tinh chỉnh trên dữ liệu doanh nghiệp; những mô hình khác được sử dụng nguyên trạng với các kỹ thuật như tạo tăng cường truy xuất (RAG).</w:t>
      </w:r>
    </w:p>
    <w:p>
      <w:pPr>
        <w:spacing w:after="80"/>
        <w:ind w:left="360"/>
      </w:pPr>
      <w:r>
        <w:t xml:space="preserve">5. </w:t>
      </w:r>
      <w:r>
        <w:rPr>
          <w:b/>
          <w:i w:val="0"/>
        </w:rPr>
        <w:t>Các rào chắn AI tự động, có trách nhiệm: Bảo vệ những gì bạn xây dựng như thế nào.</w:t>
      </w:r>
      <w:r>
        <w:rPr>
          <w:b w:val="0"/>
          <w:i w:val="0"/>
        </w:rPr>
        <w:t xml:space="preserve"> Các microservice này được kích hoạt tại các điểm then chốt trong vòng đời mô hình hoặc trong các đánh giá AI có trách nhiệm.</w:t>
        <w:br/>
        <w:t>Chúng tự động kiểm toán các prompt và phản hồi để phát hiện vi phạm chính sách dữ liệu, kiểm tra đầu ra để tìm ảo giác hoặc thiên kiến, theo dõi chi phí suy luận LLM và truy vấn vector, và quy kết những chi phí đó trở lại từng giải pháp riêng lẻ.</w:t>
      </w:r>
    </w:p>
    <w:p>
      <w:pPr>
        <w:spacing w:after="80"/>
        <w:ind w:left="360"/>
      </w:pPr>
      <w:r>
        <w:t xml:space="preserve">6. </w:t>
      </w:r>
      <w:r>
        <w:rPr>
          <w:b/>
          <w:i w:val="0"/>
        </w:rPr>
        <w:t>Lưới AI: Mọi thứ kết nối và hoạt động cùng nhau như thế nào.</w:t>
      </w:r>
      <w:r>
        <w:rPr>
          <w:b w:val="0"/>
          <w:i w:val="0"/>
        </w:rPr>
        <w:t xml:space="preserve"> Lưới AI là một tập hợp các công nghệ được ghép nối với nhau để cho phép các agent gọi dữ liệu, công cụ và mô hình một cách an toàn mà không cần tích hợp điểm-điểm. Lưới là một khái niệm kiến trúc, không phải một sản phẩm. Nó hoạt động bằng cách kết hợp các API, sự kiện, định tuyến, ngữ nghĩa, quy tắc và công nghệ ghi log thành một lớp phối hợp chung duy nhất giúp mọi thứ luôn nhất quán và kết nối. Trong thực tế, lưới trở thành lớp điều phối cho các quy trình được hỗ trợ bởi AI. Nó định tuyến các tác vụ đến đúng agent, cung cấp ngữ cảnh cần thiết cho các hành động và đảm bảo rằng mọi bước đều hoạt động trong phạm vi quyền hạn, nguồn gốc và quy tắc kiểm toán của doanh nghiệp. Đây là cách các tổ chức mở rộng quy mô từ các ứng dụng GenAI biệt lập sang các quy trình làm việc tự động, phân tán, với sự kiểm soát nhất quán.</w:t>
      </w:r>
    </w:p>
    <w:p>
      <w:pPr>
        <w:pStyle w:val="Heading2"/>
      </w:pPr>
      <w:r>
        <w:rPr>
          <w:rFonts w:ascii="Calibri" w:hAnsi="Calibri"/>
          <w:b/>
          <w:i w:val="0"/>
          <w:sz w:val="32"/>
        </w:rPr>
        <w:t>Bạn nên tự xây dựng hay mua nền tảng AI của mình?</w:t>
      </w:r>
    </w:p>
    <w:p>
      <w:pPr>
        <w:spacing w:after="80"/>
      </w:pPr>
      <w:r>
        <w:rPr>
          <w:b w:val="0"/>
          <w:i w:val="0"/>
        </w:rPr>
        <w:t>Các công ty có ba lựa chọn thực tế để có được các năng lực nền tảng AI (Triển lãm 21.3).</w:t>
      </w:r>
    </w:p>
    <w:p>
      <w:pPr>
        <w:spacing w:after="80"/>
        <w:ind w:left="360"/>
      </w:pPr>
      <w:r>
        <w:t xml:space="preserve">1. </w:t>
      </w:r>
      <w:r>
        <w:rPr>
          <w:b/>
          <w:i w:val="0"/>
        </w:rPr>
        <w:t>Bật các agent AI SaaS.</w:t>
      </w:r>
      <w:r>
        <w:rPr>
          <w:b w:val="0"/>
          <w:i w:val="0"/>
        </w:rPr>
        <w:t xml:space="preserve"> Bạn có thể chỉ cần bật các agent AI nhúng đi kèm với các sản phẩm SaaS chính của mình như Salesforce, Microsoft 365, ServiceNow và Workday. Điều này mang lại cải thiện năng suất nhanh chóng, cục bộ trong từng công cụ, nhưng các agent này hoạt động biệt lập và không thể dễ dàng tự động hóa các quy trình làm việc xuyên hệ thống.</w:t>
      </w:r>
    </w:p>
    <w:p>
      <w:pPr>
        <w:spacing w:after="80"/>
        <w:ind w:left="360"/>
      </w:pPr>
      <w:r>
        <w:t xml:space="preserve">2. </w:t>
      </w:r>
      <w:r>
        <w:rPr>
          <w:b/>
          <w:i w:val="0"/>
        </w:rPr>
        <w:t>Mua một nền tảng AI.</w:t>
      </w:r>
      <w:r>
        <w:rPr>
          <w:b w:val="0"/>
          <w:i w:val="0"/>
        </w:rPr>
        <w:t xml:space="preserve"> Con đường thứ hai là mua một nền tảng AI từ nhà cung cấp. Điều này mang lại khởi đầu nhanh hơn với các thành phần dựng sẵn, quản trị và tích hợp, nhưng đi kèm với sự cứng nhắc, bị khóa vào nhà cung cấp, chi phí cao và khả năng hạn chế trong việc phản ánh dữ liệu độc quyền, quy tắc và quy trình cạnh tranh của bạn.</w:t>
      </w:r>
    </w:p>
    <w:p>
      <w:pPr>
        <w:spacing w:after="80"/>
        <w:ind w:left="360"/>
      </w:pPr>
      <w:r>
        <w:t xml:space="preserve">3. </w:t>
      </w:r>
      <w:r>
        <w:rPr>
          <w:b/>
          <w:i w:val="0"/>
        </w:rPr>
        <w:t>Tự xây dựng/kết hợp nền tảng AI của bạn.</w:t>
      </w:r>
      <w:r>
        <w:rPr>
          <w:b w:val="0"/>
          <w:i w:val="0"/>
        </w:rPr>
        <w:t xml:space="preserve"> Lựa chọn thứ ba là tự xây dựng—hay chính xác hơn là kết hợp—một nền tảng AI bằng cách sử dụng các thành phần đám mây, mã nguồn mở và nhà cung cấp. Điều này đòi hỏi nhiều nỗ lực kỹ thuật hơn ngay từ đầu nhưng là cách tiếp cận duy nhất mang lại cho bạn sự linh hoạt hoàn toàn, tự động hóa xuyên hệ thống và sự khác biệt hóa lâu dài.</w:t>
      </w:r>
    </w:p>
    <w:p>
      <w:pPr>
        <w:jc w:val="center"/>
      </w:pPr>
      <w:r>
        <w:drawing>
          <wp:inline xmlns:a="http://schemas.openxmlformats.org/drawingml/2006/main" xmlns:pic="http://schemas.openxmlformats.org/drawingml/2006/picture">
            <wp:extent cx="5486400" cy="6277676"/>
            <wp:docPr id="133" name="Picture 133"/>
            <wp:cNvGraphicFramePr>
              <a:graphicFrameLocks noChangeAspect="1"/>
            </wp:cNvGraphicFramePr>
            <a:graphic>
              <a:graphicData uri="http://schemas.openxmlformats.org/drawingml/2006/picture">
                <pic:pic>
                  <pic:nvPicPr>
                    <pic:cNvPr id="0" name="c21ex003.png"/>
                    <pic:cNvPicPr/>
                  </pic:nvPicPr>
                  <pic:blipFill>
                    <a:blip r:embed="rId104"/>
                    <a:stretch>
                      <a:fillRect/>
                    </a:stretch>
                  </pic:blipFill>
                  <pic:spPr>
                    <a:xfrm>
                      <a:off x="0" y="0"/>
                      <a:ext cx="5486400" cy="6277676"/>
                    </a:xfrm>
                    <a:prstGeom prst="rect"/>
                  </pic:spPr>
                </pic:pic>
              </a:graphicData>
            </a:graphic>
          </wp:inline>
        </w:drawing>
      </w:r>
    </w:p>
    <w:p>
      <w:pPr>
        <w:spacing w:after="160"/>
        <w:jc w:val="center"/>
      </w:pPr>
      <w:r>
        <w:rPr>
          <w:rFonts w:ascii="Calibri" w:hAnsi="Calibri"/>
          <w:b w:val="0"/>
          <w:i/>
          <w:sz w:val="19"/>
        </w:rPr>
        <w:t>TRIỂN LÃM 21.3</w:t>
      </w:r>
    </w:p>
    <w:p>
      <w:pPr>
        <w:jc w:val="center"/>
      </w:pPr>
      <w:r>
        <w:drawing>
          <wp:inline xmlns:a="http://schemas.openxmlformats.org/drawingml/2006/main" xmlns:pic="http://schemas.openxmlformats.org/drawingml/2006/picture">
            <wp:extent cx="457200" cy="447675"/>
            <wp:docPr id="134" name="Picture 134"/>
            <wp:cNvGraphicFramePr>
              <a:graphicFrameLocks noChangeAspect="1"/>
            </wp:cNvGraphicFramePr>
            <a:graphic>
              <a:graphicData uri="http://schemas.openxmlformats.org/drawingml/2006/picture">
                <pic:pic>
                  <pic:nvPicPr>
                    <pic:cNvPr id="0" name="RULE_OF_THUMB_red.png"/>
                    <pic:cNvPicPr/>
                  </pic:nvPicPr>
                  <pic:blipFill>
                    <a:blip r:embed="rId10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Các khoản đầu tư điển hình để xây dựng một nền tảng AI</w:t>
      </w:r>
    </w:p>
    <w:p>
      <w:pPr>
        <w:spacing w:after="80"/>
      </w:pPr>
      <w:r>
        <w:rPr>
          <w:b w:val="0"/>
          <w:i w:val="0"/>
        </w:rPr>
        <w:t>Hầu hết các công ty chi từ 5 triệu đến 10 triệu đô-la trong 6 đến 12 tháng đầu tiên để dựng lên một phiên bản hoạt động được với quyền truy cập mô hình, một kho vector (vector store), một lưới AI (AI mesh) cơ bản, các rào chắn (guardrails), và bộ công cụ cho làn sóng tác nhân (agent) sản xuất đầu tiên.</w:t>
      </w:r>
    </w:p>
    <w:p>
      <w:pPr>
        <w:spacing w:after="80"/>
      </w:pPr>
      <w:r>
        <w:rPr>
          <w:b w:val="0"/>
          <w:i w:val="0"/>
        </w:rPr>
        <w:t>Một nền tảng cấp doanh nghiệp đầy đủ thường mất 12–24 tháng và tổng vốn đầu tư từ 10 triệu đến 30 triệu đô-la, tùy thuộc vào quy mô, độ phức tạp pháp lý, và mức độ trưởng thành của nền tảng hiện có. Công việc này do nhóm kỹ thuật nền tảng (platform engineering) chủ trì với sự hỗ trợ từ các nhóm kỹ thuật AI, dữ liệu, kiến trúc, và bảo mật.</w:t>
      </w:r>
    </w:p>
    <w:p>
      <w:pPr>
        <w:pStyle w:val="Heading2"/>
      </w:pPr>
      <w:r>
        <w:rPr>
          <w:rFonts w:ascii="Calibri" w:hAnsi="Calibri"/>
          <w:b/>
          <w:i w:val="0"/>
          <w:sz w:val="32"/>
        </w:rPr>
        <w:t>Các thực hành tốt nhất để xây dựng một nền tảng AI</w:t>
      </w:r>
    </w:p>
    <w:p>
      <w:pPr>
        <w:spacing w:after="80"/>
      </w:pPr>
      <w:r>
        <w:rPr>
          <w:b w:val="0"/>
          <w:i w:val="0"/>
        </w:rPr>
        <w:t>Khi cân nhắc cách xây dựng (hoặc xây dựng lại) một nền tảng AI, điều quan trọng là phải ghi nhớ những điểm sau:</w:t>
      </w:r>
    </w:p>
    <w:p>
      <w:pPr>
        <w:spacing w:after="80"/>
        <w:ind w:left="360"/>
      </w:pPr>
      <w:r>
        <w:t xml:space="preserve">• </w:t>
      </w:r>
      <w:r>
        <w:rPr>
          <w:b/>
          <w:i w:val="0"/>
        </w:rPr>
        <w:t>Bắt đầu nhỏ nhưng kiến trúc hướng tới quy mô lớn.</w:t>
      </w:r>
      <w:r>
        <w:rPr>
          <w:b w:val="0"/>
          <w:i w:val="0"/>
        </w:rPr>
        <w:t xml:space="preserve"> Hãy bắt đầu với hai hoặc ba trường hợp sử dụng có ý nghĩa—chẳng hạn như chatbot hỗ trợ khách hàng hoặc công cụ tóm tắt tài liệu—và chỉ xây dựng nền tảng tối thiểu cần thiết để hỗ trợ chúng: bảo mật cơ bản, ghi log, quyền truy cập mô hình, và minh bạch chi phí. Những bằng chứng giá trị ban đầu này sẽ giúp kiểm chứng kiến trúc.</w:t>
      </w:r>
    </w:p>
    <w:p>
      <w:pPr>
        <w:spacing w:after="80"/>
        <w:ind w:left="360"/>
      </w:pPr>
      <w:r>
        <w:t xml:space="preserve">• </w:t>
      </w:r>
      <w:r>
        <w:rPr>
          <w:b/>
          <w:i w:val="0"/>
        </w:rPr>
        <w:t>Đầu tư sớm vào quy trình phát triển.</w:t>
      </w:r>
      <w:r>
        <w:rPr>
          <w:b w:val="0"/>
          <w:i w:val="0"/>
        </w:rPr>
        <w:t xml:space="preserve"> Quy trình phát triển—cách các nhóm xây dựng, kiểm thử, đánh giá, phê duyệt, triển khai, và giám sát AI—chính là thứ biến AI từ một nghề thủ công thành năng lực công nghiệp hóa. Đầu tư sớm vào việc phát triển quy trình sẽ giúp người dùng hình thành khả năng nhận diện mẫu (pattern recognition).</w:t>
      </w:r>
    </w:p>
    <w:p>
      <w:pPr>
        <w:spacing w:after="80"/>
        <w:ind w:left="360"/>
      </w:pPr>
      <w:r>
        <w:t xml:space="preserve">• </w:t>
      </w:r>
      <w:r>
        <w:rPr>
          <w:b/>
          <w:i w:val="0"/>
        </w:rPr>
        <w:t>Xây dựng rào chắn ngay từ ngày đầu.</w:t>
      </w:r>
      <w:r>
        <w:rPr>
          <w:b w:val="0"/>
          <w:i w:val="0"/>
        </w:rPr>
        <w:t xml:space="preserve"> Hãy bắt đầu bằng việc xây dựng một tập nhỏ những điều không thể thương lượng: ai được truy cập cái gì, việc gì cần con người phê duyệt (và ai chịu trách nhiệm), và cách mọi hành động được ghi log và kiểm soát. Hãy làm việc này với một nhóm chuyên gia gọn nhẹ từ các mảng kỹ thuật, bảo mật, dữ liệu, rủi ro, và nghiệp vụ.</w:t>
      </w:r>
    </w:p>
    <w:p>
      <w:pPr>
        <w:spacing w:after="80"/>
        <w:ind w:left="360"/>
      </w:pPr>
      <w:r>
        <w:t xml:space="preserve">• </w:t>
      </w:r>
      <w:r>
        <w:rPr>
          <w:b/>
          <w:i w:val="0"/>
        </w:rPr>
        <w:t>Thiết kế nền tảng theo hướng có thể kết hợp và tái sử dụng.</w:t>
      </w:r>
      <w:r>
        <w:rPr>
          <w:b w:val="0"/>
          <w:i w:val="0"/>
        </w:rPr>
        <w:t xml:space="preserve"> Hãy xây dựng nền tảng sao cho các mô hình, prompt, công cụ, và quy trình có thể được hoán đổi hoặc tái kết hợp mà không cần làm lại từ đầu—điều này còn gọi là khả năng kết hợp (composability). Điều này giúp bạn tránh bị khóa vào nhà cung cấp (vendor lock-in), cho phép bạn áp dụng những mô hình mạnh hơn khi chúng xuất hiện, và tăng tốc phát triển nhờ cung cấp các khối xây dựng chuẩn.</w:t>
      </w:r>
    </w:p>
    <w:p>
      <w:pPr>
        <w:spacing w:after="80"/>
        <w:ind w:left="360"/>
      </w:pPr>
      <w:r>
        <w:t xml:space="preserve">• </w:t>
      </w:r>
      <w:r>
        <w:rPr>
          <w:b/>
          <w:i w:val="0"/>
        </w:rPr>
        <w:t>Đo lường hiệu suất và mức độ áp dụng của nền tảng.</w:t>
      </w:r>
      <w:r>
        <w:rPr>
          <w:b w:val="0"/>
          <w:i w:val="0"/>
        </w:rPr>
        <w:t xml:space="preserve"> Hãy theo dõi một tập nhỏ các chỉ số phản ánh việc sử dụng thực tế và tác động kinh doanh. Những chỉ số này giúp nhóm nền tảng ưu tiên cải tiến và truyền đạt tác động. Các chỉ số mẫu bao gồm:</w:t>
      </w:r>
    </w:p>
    <w:p>
      <w:pPr>
        <w:spacing w:after="80"/>
        <w:ind w:left="720"/>
      </w:pPr>
      <w:r>
        <w:t xml:space="preserve">• </w:t>
      </w:r>
      <w:r>
        <w:rPr>
          <w:b/>
          <w:i w:val="0"/>
        </w:rPr>
        <w:t>Mức độ áp dụng:</w:t>
      </w:r>
      <w:r>
        <w:rPr>
          <w:b w:val="0"/>
          <w:i w:val="0"/>
        </w:rPr>
        <w:t xml:space="preserve"> Tỷ lệ phần trăm kỹ sư sử dụng nền tảng và tần suất sử dụng</w:t>
      </w:r>
    </w:p>
    <w:p>
      <w:pPr>
        <w:spacing w:after="80"/>
        <w:ind w:left="720"/>
      </w:pPr>
      <w:r>
        <w:t xml:space="preserve">• </w:t>
      </w:r>
      <w:r>
        <w:rPr>
          <w:b/>
          <w:i w:val="0"/>
        </w:rPr>
        <w:t>Thời gian ra thị trường:</w:t>
      </w:r>
      <w:r>
        <w:rPr>
          <w:b w:val="0"/>
          <w:i w:val="0"/>
        </w:rPr>
        <w:t xml:space="preserve"> Các nhóm mất bao lâu để đi từ ý tưởng đến giải pháp đang chạy thực tế</w:t>
      </w:r>
    </w:p>
    <w:p>
      <w:pPr>
        <w:spacing w:after="80"/>
        <w:ind w:left="720"/>
      </w:pPr>
      <w:r>
        <w:t xml:space="preserve">• </w:t>
      </w:r>
      <w:r>
        <w:rPr>
          <w:b/>
          <w:i w:val="0"/>
        </w:rPr>
        <w:t>Tái sử dụng:</w:t>
      </w:r>
      <w:r>
        <w:rPr>
          <w:b w:val="0"/>
          <w:i w:val="0"/>
        </w:rPr>
        <w:t xml:space="preserve"> Tỷ lệ phần trăm giải pháp được xây dựng bằng các thành phần dùng chung</w:t>
      </w:r>
    </w:p>
    <w:p>
      <w:pPr>
        <w:spacing w:after="80"/>
        <w:ind w:left="720"/>
      </w:pPr>
      <w:r>
        <w:t xml:space="preserve">• </w:t>
      </w:r>
      <w:r>
        <w:rPr>
          <w:b/>
          <w:i w:val="0"/>
        </w:rPr>
        <w:t>Chất lượng:</w:t>
      </w:r>
      <w:r>
        <w:rPr>
          <w:b w:val="0"/>
          <w:i w:val="0"/>
        </w:rPr>
        <w:t xml:space="preserve"> Độ chính xác, điểm đánh giá, tỷ lệ lỗi, và mức độ hài lòng của người dùng</w:t>
      </w:r>
    </w:p>
    <w:p>
      <w:pPr>
        <w:spacing w:after="80"/>
        <w:ind w:left="720"/>
      </w:pPr>
      <w:r>
        <w:t xml:space="preserve">• </w:t>
      </w:r>
      <w:r>
        <w:rPr>
          <w:b/>
          <w:i w:val="0"/>
        </w:rPr>
        <w:t>An toàn:</w:t>
      </w:r>
      <w:r>
        <w:rPr>
          <w:b w:val="0"/>
          <w:i w:val="0"/>
        </w:rPr>
        <w:t xml:space="preserve"> Các vi phạm bị rào chắn phát hiện hoặc ngăn chặn</w:t>
      </w:r>
    </w:p>
    <w:p>
      <w:pPr>
        <w:spacing w:after="80"/>
        <w:ind w:left="720"/>
      </w:pPr>
      <w:r>
        <w:t xml:space="preserve">• </w:t>
      </w:r>
      <w:r>
        <w:rPr>
          <w:b/>
          <w:i w:val="0"/>
        </w:rPr>
        <w:t>Chi phí đơn vị:</w:t>
      </w:r>
      <w:r>
        <w:rPr>
          <w:b w:val="0"/>
          <w:i w:val="0"/>
        </w:rPr>
        <w:t xml:space="preserve"> Chi phí cho mỗi 1.000 yêu cầu</w:t>
      </w:r>
    </w:p>
    <w:p>
      <w:pPr>
        <w:spacing w:after="80"/>
        <w:ind w:left="360"/>
      </w:pPr>
      <w:r>
        <w:t xml:space="preserve">• </w:t>
      </w:r>
      <w:r>
        <w:rPr>
          <w:b/>
          <w:i w:val="0"/>
        </w:rPr>
        <w:t>Công nghiệp hóa nền tảng bằng một nhóm chuyên trách.</w:t>
      </w:r>
      <w:r>
        <w:rPr>
          <w:b w:val="0"/>
          <w:i w:val="0"/>
        </w:rPr>
        <w:t xml:space="preserve"> Khi nền tảng đã mang lại giá trị, hãy cam kết vận hành nó như một sản phẩm với các mức dịch vụ (service levels), quy trình tiếp nhận yêu cầu, tài liệu, và lộ trình phát triển. Hầu hết các tổ chức thành lập một nhóm nền tảng thường trực gồm các kỹ sư dữ liệu, kỹ sư ML/AI, kỹ sư prompt, kiến trúc sư cloud, chuyên gia LLM, và nhân sự SRE/DevOps.</w:t>
      </w:r>
    </w:p>
    <w:p>
      <w:pPr>
        <w:jc w:val="center"/>
      </w:pPr>
      <w:r>
        <w:drawing>
          <wp:inline xmlns:a="http://schemas.openxmlformats.org/drawingml/2006/main" xmlns:pic="http://schemas.openxmlformats.org/drawingml/2006/picture">
            <wp:extent cx="457200" cy="447675"/>
            <wp:docPr id="135" name="Picture 135"/>
            <wp:cNvGraphicFramePr>
              <a:graphicFrameLocks noChangeAspect="1"/>
            </wp:cNvGraphicFramePr>
            <a:graphic>
              <a:graphicData uri="http://schemas.openxmlformats.org/drawingml/2006/picture">
                <pic:pic>
                  <pic:nvPicPr>
                    <pic:cNvPr id="0" name="CASE_STUDY_red.png"/>
                    <pic:cNvPicPr/>
                  </pic:nvPicPr>
                  <pic:blipFill>
                    <a:blip r:embed="rId10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Nền tảng AI của Verizon</w:t>
      </w:r>
    </w:p>
    <w:p>
      <w:pPr>
        <w:spacing w:after="80"/>
      </w:pPr>
      <w:r>
        <w:rPr>
          <w:b w:val="0"/>
          <w:i w:val="0"/>
        </w:rPr>
        <w:t>Verizon bắt đầu hành trình xây dựng nền tảng AI bằng việc thành lập một trung tâm xuất sắc (center of excellence - COE) về GenAI, được hỗ trợ bởi một hội đồng AI. COE là một nhóm liên chức năng gồm 15–20 người đến từ các bộ phận kỹ thuật, rủi ro, pháp lý, tuân thủ, v.v., mỗi người dành 30–50% thời gian của mình để dẫn dắt các sáng kiến GenAI cụ thể và xây dựng các năng lực của nền tảng AI.</w:t>
      </w:r>
    </w:p>
    <w:p>
      <w:pPr>
        <w:spacing w:after="80"/>
      </w:pPr>
      <w:r>
        <w:rPr>
          <w:b w:val="0"/>
          <w:i w:val="0"/>
        </w:rPr>
        <w:t>Để hạ thấp rào cản kỹ thuật cho các nhóm sản phẩm, Verizon đã xây dựng nền tảng Verizon Enterprise GenAI Services (VEGAS). Nền tảng này cung cấp các công cụ tự phục vụ, các khối xây dựng có thể tái sử dụng và hạ tầng được tích hợp sẵn để tăng tốc phát triển giải pháp. Các thành phần chính của nó gồm:</w:t>
      </w:r>
    </w:p>
    <w:p>
      <w:pPr>
        <w:spacing w:after="80"/>
        <w:ind w:left="360"/>
      </w:pPr>
      <w:r>
        <w:t xml:space="preserve">• </w:t>
      </w:r>
      <w:r>
        <w:rPr>
          <w:b/>
          <w:i w:val="0"/>
        </w:rPr>
        <w:t>Quy trình phát triển:</w:t>
      </w:r>
      <w:r>
        <w:rPr>
          <w:b w:val="0"/>
          <w:i w:val="0"/>
        </w:rPr>
        <w:t xml:space="preserve"> Quản lý prompt và mô hình, các công cụ tích hợp</w:t>
      </w:r>
    </w:p>
    <w:p>
      <w:pPr>
        <w:spacing w:after="80"/>
        <w:ind w:left="360"/>
      </w:pPr>
      <w:r>
        <w:t xml:space="preserve">• </w:t>
      </w:r>
      <w:r>
        <w:rPr>
          <w:b/>
          <w:i w:val="0"/>
        </w:rPr>
        <w:t>Các mô-đun năng lực tái sử dụng:</w:t>
      </w:r>
      <w:r>
        <w:rPr>
          <w:b w:val="0"/>
          <w:i w:val="0"/>
        </w:rPr>
        <w:t xml:space="preserve"> Dành cho các tác vụ như dịch thuật, tóm tắt, phân tích cảm xúc</w:t>
      </w:r>
    </w:p>
    <w:p>
      <w:pPr>
        <w:spacing w:after="80"/>
        <w:ind w:left="360"/>
      </w:pPr>
      <w:r>
        <w:t xml:space="preserve">• </w:t>
      </w:r>
      <w:r>
        <w:rPr>
          <w:b/>
          <w:i w:val="0"/>
        </w:rPr>
        <w:t>Dịch vụ mô hình/hạ tầng:</w:t>
      </w:r>
      <w:r>
        <w:rPr>
          <w:b w:val="0"/>
          <w:i w:val="0"/>
        </w:rPr>
        <w:t xml:space="preserve"> Truy cập vào các mô hình đã được huấn luyện trước và dịch vụ lưu trữ</w:t>
      </w:r>
    </w:p>
    <w:p>
      <w:pPr>
        <w:spacing w:after="80"/>
      </w:pPr>
      <w:r>
        <w:rPr>
          <w:b w:val="0"/>
          <w:i w:val="0"/>
        </w:rPr>
        <w:t>Bằng cách trừu tượng hóa sự phức tạp và tích hợp sẵn bảo mật cùng tuân thủ, VEGAS cho phép các nhóm xây dựng giải pháp GenAI nhanh hơn, nhất quán hơn và với chi phí thấp hơn.</w:t>
      </w:r>
    </w:p>
    <w:p>
      <w:pPr>
        <w:spacing w:after="80"/>
      </w:pPr>
      <w:r>
        <w:rPr>
          <w:b w:val="0"/>
          <w:i w:val="0"/>
        </w:rPr>
        <w:t>Một đổi mới cốt lõi là việc giới thiệu các mẫu thiết kế GenAI (GenAI design patterns)—những hướng dẫn chỉ dẫn được chuẩn hóa và có thể tái sử dụng cho các trường hợp sử dụng phổ biến như tạo nội dung, tương tác với khách hàng/nhân viên, trợ lý AI và năng suất của lập trình viên. Mỗi mẫu quy định rõ các template đầu vào/đầu ra, mô hình được đề xuất, các thực hành tốt nhất khi viết prompt, các tùy chọn tích hợp và các yêu cầu tuân thủ. Cách tiếp cận theo mô-đun này mang lại khả năng lặp lại, giảm chi phí kỹ thuật và đảm bảo chất lượng, đồng thời vẫn cho phép các đơn vị kinh doanh khác nhau tùy chỉnh linh hoạt.</w:t>
      </w:r>
    </w:p>
    <w:p>
      <w:pPr>
        <w:spacing w:after="80"/>
      </w:pPr>
      <w:r>
        <w:rPr>
          <w:b w:val="0"/>
          <w:i w:val="0"/>
        </w:rPr>
        <w:t>Nhận thấy chi phí sử dụng LLM có thể biến động, Verizon đã tích hợp các năng lực FinOps (tài chính và vận hành) vào quá trình triển khai. Các nhà lãnh đạo và nhân viên được đào tạo về những tác động tài chính và vận hành của các lựa chọn GenAI, chẳng hạn như mô hình cơ sở so với mô hình được tinh chỉnh, lưu trữ tại chỗ so với trên cloud, và các chiến lược caching.</w:t>
      </w:r>
    </w:p>
    <w:p>
      <w:pPr>
        <w:spacing w:after="80"/>
      </w:pPr>
      <w:r>
        <w:rPr>
          <w:b w:val="0"/>
          <w:i w:val="0"/>
        </w:rPr>
        <w:t>Các lãnh đạo cấp cao nhận được đào tạo cơ bản, quản lý cấp trung tham gia các buổi đào tạo sâu rộng hơn, còn các nhóm kỹ thuật sử dụng những mô-đun chi tiết. Kiến thức tài chính chung này giúp các nhóm cân bằng giữa tốc độ và đổi mới với việc kiểm soát chi phí và tính bền vững.</w:t>
      </w:r>
    </w:p>
    <w:p>
      <w:pPr>
        <w:jc w:val="center"/>
      </w:pPr>
      <w:r>
        <w:drawing>
          <wp:inline xmlns:a="http://schemas.openxmlformats.org/drawingml/2006/main" xmlns:pic="http://schemas.openxmlformats.org/drawingml/2006/picture">
            <wp:extent cx="1905000" cy="95250"/>
            <wp:docPr id="136" name="Picture 136"/>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Xây dựng một nền tảng AI cấp doanh nghiệp là một năng lực mang tính chiến lược. Nó đòi hỏi một nhóm do CTO dẫn dắt (hoặc một giám đốc nền tảng - chief platform officer), một khoản đầu tư được bảo vệ trong năm đầu tiên, và một kế hoạch rõ ràng để vừa cung cấp một nền tảng tối thiểu vừa triển khai một số ít trường hợp sử dụng có giá trị cao trên nền tảng đó.</w:t>
      </w:r>
    </w:p>
    <w:p>
      <w:pPr>
        <w:spacing w:after="80"/>
      </w:pPr>
      <w:r>
        <w:rPr>
          <w:b w:val="0"/>
          <w:i w:val="0"/>
        </w:rPr>
        <w:t>Các CEO nên yêu cầu tiến độ rõ ràng mỗi 90 ngày và theo dõi một tập hợp nhỏ các chỉ số, chẳng hạn như mức độ tiếp nhận của lập trình viên, thời gian triển khai một mô hình hoặc agent mới, mức độ tái sử dụng các thành phần dùng chung, và mức độ mà các guardrail được tự động hóa thay vì phải thực thi thủ công.</w:t>
      </w:r>
    </w:p>
    <w:p>
      <w:pPr>
        <w:pStyle w:val="Heading2"/>
      </w:pPr>
      <w:r>
        <w:rPr>
          <w:rFonts w:ascii="Calibri" w:hAnsi="Calibri"/>
          <w:b/>
          <w:i w:val="0"/>
          <w:sz w:val="32"/>
        </w:rPr>
        <w:t>Những câu hỏi cần đặt ra</w:t>
      </w:r>
    </w:p>
    <w:p>
      <w:pPr>
        <w:spacing w:after="80"/>
      </w:pPr>
      <w:r>
        <w:rPr>
          <w:b w:val="0"/>
          <w:i w:val="0"/>
        </w:rPr>
        <w:t>Thành công trong tương lai của các nỗ lực AI sẽ phụ thuộc vào việc bạn có một kế hoạch công nghiệp hóa AI và một nền tảng AI chất lượng để hỗ trợ nó hay không. Hãy cân nhắc đặt những câu hỏi sau cho các nhà lãnh đạo kinh doanh và công nghệ của bạn: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Q1:</w:t>
            </w:r>
          </w:p>
        </w:tc>
        <w:tc>
          <w:tcPr>
            <w:tcW w:type="dxa" w:w="4680"/>
          </w:tcPr>
          <w:p>
            <w:r/>
            <w:r>
              <w:rPr>
                <w:b w:val="0"/>
                <w:i w:val="0"/>
                <w:sz w:val="19"/>
              </w:rPr>
              <w:t>Cách tiếp cận để công nghiệp hóa AI (như DBS đã làm) sẽ là gì?</w:t>
            </w:r>
          </w:p>
        </w:tc>
      </w:tr>
      <w:tr>
        <w:tc>
          <w:tcPr>
            <w:tcW w:type="dxa" w:w="4680"/>
          </w:tcPr>
          <w:p>
            <w:r/>
            <w:r>
              <w:rPr>
                <w:b/>
                <w:i w:val="0"/>
                <w:sz w:val="19"/>
              </w:rPr>
              <w:t>Q2:</w:t>
            </w:r>
          </w:p>
        </w:tc>
        <w:tc>
          <w:tcPr>
            <w:tcW w:type="dxa" w:w="4680"/>
          </w:tcPr>
          <w:p>
            <w:r/>
            <w:r>
              <w:rPr>
                <w:b w:val="0"/>
                <w:i w:val="0"/>
                <w:sz w:val="19"/>
              </w:rPr>
              <w:t>Lộ trình phát triển nền tảng AI là gì, và liệu nó có gắn kết với các lĩnh vực ưu tiên và các trường hợp sử dụng liên quan không?</w:t>
            </w:r>
          </w:p>
        </w:tc>
      </w:tr>
      <w:tr>
        <w:tc>
          <w:tcPr>
            <w:tcW w:type="dxa" w:w="4680"/>
          </w:tcPr>
          <w:p>
            <w:r/>
            <w:r>
              <w:rPr>
                <w:b/>
                <w:i w:val="0"/>
                <w:sz w:val="19"/>
              </w:rPr>
              <w:t>Q3:</w:t>
            </w:r>
          </w:p>
        </w:tc>
        <w:tc>
          <w:tcPr>
            <w:tcW w:type="dxa" w:w="4680"/>
          </w:tcPr>
          <w:p>
            <w:r/>
            <w:r>
              <w:rPr>
                <w:b w:val="0"/>
                <w:i w:val="0"/>
                <w:sz w:val="19"/>
              </w:rPr>
              <w:t>Ai sẽ chịu trách nhiệm về việc này và chúng ta sẽ đo lường tiến độ như thế nào?</w:t>
            </w:r>
          </w:p>
        </w:tc>
      </w:tr>
    </w:tbl>
    <w:p>
      <w:pPr>
        <w:spacing w:after="0"/>
      </w:pPr>
    </w:p>
    <w:p>
      <w:pPr>
        <w:pStyle w:val="Heading2"/>
      </w:pPr>
      <w:r>
        <w:rPr>
          <w:rFonts w:ascii="Calibri" w:hAnsi="Calibri"/>
          <w:b/>
          <w:i w:val="0"/>
          <w:sz w:val="32"/>
        </w:rPr>
        <w:t>Ghi chú</w:t>
      </w:r>
    </w:p>
    <w:p>
      <w:pPr>
        <w:spacing w:after="80"/>
        <w:ind w:left="360"/>
      </w:pPr>
      <w:r>
        <w:t xml:space="preserve">1. </w:t>
      </w:r>
      <w:r>
        <w:rPr>
          <w:b w:val="0"/>
          <w:i w:val="0"/>
        </w:rPr>
        <w:t>1   AI mesh còn được gọi là "fabric" vì nó đan xen xuyên suốt nền tảng.</w:t>
      </w:r>
    </w:p>
    <w:p>
      <w:pPr>
        <w:spacing w:after="80"/>
        <w:ind w:left="360"/>
      </w:pPr>
      <w:r>
        <w:t xml:space="preserve">2. </w:t>
      </w:r>
      <w:r>
        <w:rPr>
          <w:b w:val="0"/>
          <w:i w:val="0"/>
        </w:rPr>
        <w:t>2   Mullery et al., "Case study: Enable and scale GenAI experiments with Verizon's platform strategy," Gartner, August 6, 2024.</w:t>
      </w:r>
    </w:p>
    <w:p>
      <w:pPr>
        <w:pStyle w:val="Heading2"/>
      </w:pPr>
      <w:r>
        <w:rPr>
          <w:rFonts w:ascii="Calibri" w:hAnsi="Calibri"/>
          <w:b/>
          <w:i/>
          <w:sz w:val="32"/>
        </w:rPr>
        <w:t>"Mọi thứ nên được làm đơn giản nhất có thể, nhưng không đơn giản hơn."</w:t>
      </w:r>
    </w:p>
    <w:p>
      <w:pPr>
        <w:spacing w:after="80"/>
      </w:pPr>
      <w:r>
        <w:rPr>
          <w:b/>
          <w:i w:val="0"/>
        </w:rPr>
        <w:t>— Albert Einstein</w:t>
      </w:r>
    </w:p>
    <w:p>
      <w:pPr>
        <w:pStyle w:val="Heading1"/>
      </w:pPr>
      <w:r>
        <w:rPr>
          <w:rFonts w:ascii="Calibri" w:hAnsi="Calibri"/>
          <w:b/>
          <w:i w:val="0"/>
          <w:sz w:val="40"/>
        </w:rPr>
        <w:t>CHƯƠNG 22</w:t>
      </w:r>
      <w:r>
        <w:rPr>
          <w:rFonts w:ascii="Calibri" w:hAnsi="Calibri"/>
          <w:b/>
          <w:i w:val="0"/>
          <w:sz w:val="40"/>
        </w:rPr>
      </w:r>
      <w:r>
        <w:rPr>
          <w:rFonts w:ascii="Calibri" w:hAnsi="Calibri"/>
          <w:b/>
          <w:i w:val="0"/>
          <w:sz w:val="40"/>
        </w:rPr>
        <w:t>Nghệ thuật phát triển các giải pháp AI tác tử</w:t>
      </w:r>
    </w:p>
    <w:p>
      <w:pPr>
        <w:spacing w:after="80"/>
      </w:pPr>
      <w:r>
        <w:rPr>
          <w:b w:val="0"/>
          <w:i w:val="0"/>
        </w:rPr>
        <w:t>Năm 2025 là một khoảnh khắc bước ngoặt trong việc cung cấp các năng lực công nghệ để phát triển và vận hành các quy trình công việc tác tử phức tạp.</w:t>
      </w:r>
    </w:p>
    <w:p>
      <w:pPr>
        <w:spacing w:after="80"/>
      </w:pPr>
      <w:r>
        <w:rPr>
          <w:b w:val="0"/>
          <w:i w:val="0"/>
        </w:rPr>
        <w:t>Các hệ thống tác tử giờ đây có thể ghi nhớ, suy luận và làm việc liên tục trong khoảng thời gian dài (tức là vài giờ và sớm muộn sẽ còn lâu hơn nhiều). Những tiến bộ trong quản lý ngữ cảnh và bộ nhớ nghĩa là các AI agent có thể tiếp thu lượng lớn thông tin, theo dõi các mục tiêu và ràng buộc, và tiếp tục công việc dang dở sau vài giờ hoặc vài ngày.</w:t>
      </w:r>
    </w:p>
    <w:p>
      <w:pPr>
        <w:spacing w:after="80"/>
      </w:pPr>
      <w:r>
        <w:rPr>
          <w:b w:val="0"/>
          <w:i w:val="0"/>
        </w:rPr>
        <w:t>Trên thực tế, điều này cho phép các công ty giao cho agent những nhiệm vụ phức tạp hơn, điều phối các nhóm agent để lập kế hoạch, thực thi và phối hợp các quy trình công việc đầu-cuối như thiết kế lại một quy trình kinh doanh cốt lõi, xử lý một ngoại lệ trong chuỗi cung ứng từ lúc phát hiện đến lúc giải quyết, hoặc phát triển phần mềm từ giai đoạn yêu cầu cho đến tận khâu kiểm thử, triển khai và quản lý.</w:t>
      </w:r>
    </w:p>
    <w:p>
      <w:pPr>
        <w:spacing w:after="80"/>
      </w:pPr>
      <w:r>
        <w:rPr>
          <w:b w:val="0"/>
          <w:i w:val="0"/>
        </w:rPr>
        <w:t>Chúng ta không nói về buổi bình minh của kỷ nguyên trợ lý thông minh. Những đột phá này đang báo hiệu một kỷ nguyên mà AI tác tử có thể hoạt động như một lực lượng lao động số có khả năng thực hiện những công việc quan trọng ở quy mô lớn.</w:t>
      </w:r>
    </w:p>
    <w:p>
      <w:pPr>
        <w:spacing w:after="80"/>
      </w:pPr>
      <w:r>
        <w:rPr>
          <w:b w:val="0"/>
          <w:i w:val="0"/>
        </w:rPr>
        <w:t>AI tác tử phụ thuộc vào các mô hình nền tảng, vốn rất mạnh mẽ nhưng đầu ra mở của chúng khiến việc đánh giá và đảm bảo độ tin cậy trở nên phức tạp hơn nhiều so với các hệ thống ML. Ngay cả những nhà nghiên cứu đã xây dựng chúng cũng sẽ thừa nhận rằng trong tận sâu bên trong những mạng nơ-ron nhiều tầng phức tạp này, trên thực tế vẫn chưa thể quan sát hoặc hiểu hết mọi lựa chọn mà các mô hình này đưa ra.</w:t>
      </w:r>
    </w:p>
    <w:p>
      <w:pPr>
        <w:spacing w:after="80"/>
      </w:pPr>
      <w:r>
        <w:rPr>
          <w:b w:val="0"/>
          <w:i w:val="0"/>
        </w:rPr>
        <w:t>Khi cuốn sách này được đưa đi in, hiệu suất của LLM đang cải thiện nhanh chóng, dù kết quả các bài kiểm tra độ chính xác và benchmark vẫn khác nhau đáng kể tùy theo độ phức tạp của nhiệm vụ được giao. Vậy nên, đúng, nó rất ấn tượng, nhưng những mô hình này không hoàn hảo, và chúng ta thấy các năng lực đang tiến hóa theo hướng các mô hình thực tế.</w:t>
      </w:r>
    </w:p>
    <w:p>
      <w:pPr>
        <w:spacing w:after="80"/>
      </w:pPr>
      <w:r>
        <w:rPr>
          <w:b w:val="0"/>
          <w:i w:val="0"/>
        </w:rPr>
        <w:t>Vậy nên mấu chốt là hiểu được các mô hình agentic làm tốt điều gì, cách đặt mức ràng buộc phù hợp cho chúng để phát huy tối đa năng lực, và cần đưa ra những quyết định công nghệ nào để chúng hoạt động tốt nhất.</w:t>
      </w:r>
    </w:p>
    <w:p>
      <w:pPr>
        <w:pStyle w:val="Heading2"/>
      </w:pPr>
      <w:r>
        <w:rPr>
          <w:rFonts w:ascii="Calibri" w:hAnsi="Calibri"/>
          <w:b/>
          <w:i w:val="0"/>
          <w:sz w:val="32"/>
        </w:rPr>
        <w:t>Những câu hỏi kinh doanh mà chương này sẽ giúp bạn trả lời</w:t>
      </w:r>
    </w:p>
    <w:p>
      <w:pPr>
        <w:spacing w:after="80"/>
        <w:ind w:left="360"/>
      </w:pPr>
      <w:r>
        <w:t xml:space="preserve">• </w:t>
      </w:r>
      <w:r>
        <w:rPr>
          <w:b w:val="0"/>
          <w:i w:val="0"/>
        </w:rPr>
        <w:t>Agent có thể được dùng tốt nhất ở đâu?</w:t>
      </w:r>
    </w:p>
    <w:p>
      <w:pPr>
        <w:spacing w:after="80"/>
        <w:ind w:left="360"/>
      </w:pPr>
      <w:r>
        <w:t xml:space="preserve">• </w:t>
      </w:r>
      <w:r>
        <w:rPr>
          <w:b w:val="0"/>
          <w:i w:val="0"/>
        </w:rPr>
        <w:t>Cần những gì để xây dựng và vận hành AI agent trong các quy trình công việc kinh doanh?</w:t>
      </w:r>
    </w:p>
    <w:p>
      <w:pPr>
        <w:spacing w:after="80"/>
        <w:ind w:left="360"/>
      </w:pPr>
      <w:r>
        <w:t xml:space="preserve">• </w:t>
      </w:r>
      <w:r>
        <w:rPr>
          <w:b w:val="0"/>
          <w:i w:val="0"/>
        </w:rPr>
        <w:t>Bạn nên mua hay tự xây dựng AI agent?</w:t>
      </w:r>
    </w:p>
    <w:p>
      <w:pPr>
        <w:spacing w:after="80"/>
      </w:pPr>
      <w:r>
        <w:rPr>
          <w:b w:val="0"/>
          <w:i w:val="0"/>
        </w:rPr>
        <w:t>Điều này đã làm nảy sinh một ngành kỹ thuật AI mới, tập trung vào nghệ thuật và khoa học của việc xây dựng các giải pháp AI với các mô hình nền tảng (foundation model). Nghĩa là cách thiết kế kiến trúc, tích hợp, xây dựng, huấn luyện và kiểm thử các giải pháp AI agentic sao cho vừa an toàn, vừa hiệu quả, vừa có thể dự đoán được.</w:t>
      </w:r>
    </w:p>
    <w:p>
      <w:pPr>
        <w:spacing w:after="80"/>
      </w:pPr>
      <w:r>
        <w:rPr>
          <w:b w:val="0"/>
          <w:i w:val="0"/>
        </w:rPr>
        <w:t>Trả lời câu hỏi "làm thế nào" đó chính là trọng tâm của chương này.</w:t>
      </w:r>
    </w:p>
    <w:p>
      <w:pPr>
        <w:pStyle w:val="Heading2"/>
      </w:pPr>
      <w:r>
        <w:rPr>
          <w:rFonts w:ascii="Calibri" w:hAnsi="Calibri"/>
          <w:b/>
          <w:i w:val="0"/>
          <w:sz w:val="32"/>
        </w:rPr>
        <w:t>Agent có thể làm gì (và chưa thể làm gì)</w:t>
      </w:r>
    </w:p>
    <w:p>
      <w:pPr>
        <w:spacing w:after="80"/>
      </w:pPr>
      <w:r>
        <w:rPr>
          <w:b w:val="0"/>
          <w:i w:val="0"/>
        </w:rPr>
        <w:t>Điểm khởi đầu đầu tiên khi bạn xây dựng các quy trình agentic là hiểu rõ agent giỏi ở điểm nào, và ở đâu chúng ít phù hợp hơn (Hình 22.1).</w:t>
      </w:r>
    </w:p>
    <w:p>
      <w:pPr>
        <w:jc w:val="center"/>
      </w:pPr>
      <w:r>
        <w:drawing>
          <wp:inline xmlns:a="http://schemas.openxmlformats.org/drawingml/2006/main" xmlns:pic="http://schemas.openxmlformats.org/drawingml/2006/picture">
            <wp:extent cx="5486400" cy="4443531"/>
            <wp:docPr id="137" name="Picture 137"/>
            <wp:cNvGraphicFramePr>
              <a:graphicFrameLocks noChangeAspect="1"/>
            </wp:cNvGraphicFramePr>
            <a:graphic>
              <a:graphicData uri="http://schemas.openxmlformats.org/drawingml/2006/picture">
                <pic:pic>
                  <pic:nvPicPr>
                    <pic:cNvPr id="0" name="c22ex001.png"/>
                    <pic:cNvPicPr/>
                  </pic:nvPicPr>
                  <pic:blipFill>
                    <a:blip r:embed="rId106"/>
                    <a:stretch>
                      <a:fillRect/>
                    </a:stretch>
                  </pic:blipFill>
                  <pic:spPr>
                    <a:xfrm>
                      <a:off x="0" y="0"/>
                      <a:ext cx="5486400" cy="4443531"/>
                    </a:xfrm>
                    <a:prstGeom prst="rect"/>
                  </pic:spPr>
                </pic:pic>
              </a:graphicData>
            </a:graphic>
          </wp:inline>
        </w:drawing>
      </w:r>
    </w:p>
    <w:p>
      <w:pPr>
        <w:spacing w:after="160"/>
        <w:jc w:val="center"/>
      </w:pPr>
      <w:r>
        <w:rPr>
          <w:rFonts w:ascii="Calibri" w:hAnsi="Calibri"/>
          <w:b w:val="0"/>
          <w:i/>
          <w:sz w:val="19"/>
        </w:rPr>
        <w:t>HÌNH 22.1</w:t>
      </w:r>
    </w:p>
    <w:p>
      <w:pPr>
        <w:spacing w:after="80"/>
      </w:pPr>
      <w:r>
        <w:rPr>
          <w:b w:val="0"/>
          <w:i w:val="0"/>
        </w:rPr>
        <w:t>AI agent rất phù hợp với:</w:t>
      </w:r>
    </w:p>
    <w:p>
      <w:pPr>
        <w:spacing w:after="80"/>
        <w:ind w:left="360"/>
      </w:pPr>
      <w:r>
        <w:t xml:space="preserve">• </w:t>
      </w:r>
      <w:r>
        <w:rPr>
          <w:b/>
          <w:i w:val="0"/>
        </w:rPr>
        <w:t>Các quy trình có cấu trúc, mang tính lặp lại và khối lượng lớn.</w:t>
      </w:r>
      <w:r>
        <w:rPr>
          <w:b w:val="0"/>
          <w:i w:val="0"/>
        </w:rPr>
        <w:t xml:space="preserve"> Agent có thể làm việc liên tục, giảm tỷ lệ lỗi, và giải phóng con người khỏi công việc đơn điệu. Ví dụ bao gồm việc trích xuất từ tài liệu phi cấu trúc hoặc chuẩn hóa dữ liệu để xử lý hóa đơn hay cập nhật hồ sơ CRM. Tác động là giảm chi phí.</w:t>
      </w:r>
    </w:p>
    <w:p>
      <w:pPr>
        <w:spacing w:after="80"/>
        <w:ind w:left="360"/>
      </w:pPr>
      <w:r>
        <w:t xml:space="preserve">• </w:t>
      </w:r>
      <w:r>
        <w:rPr>
          <w:b/>
          <w:i w:val="0"/>
        </w:rPr>
        <w:t>Truy xuất và tổng hợp thông tin ở quy mô lớn.</w:t>
      </w:r>
      <w:r>
        <w:rPr>
          <w:b w:val="0"/>
          <w:i w:val="0"/>
        </w:rPr>
        <w:t xml:space="preserve"> Agent có thể nhanh chóng tìm kiếm, trích xuất và tóm tắt thông tin từ các tập dữ liệu nội bộ hoặc bên ngoài lớn. Ví dụ bao gồm soạn thảo báo cáo, RFP, hoặc điều phối việc thu thập dữ liệu từ các tập dữ liệu khác nhau. Tác động là tốc độ đạt được thông tin insight.</w:t>
      </w:r>
    </w:p>
    <w:p>
      <w:pPr>
        <w:spacing w:after="80"/>
        <w:ind w:left="360"/>
      </w:pPr>
      <w:r>
        <w:t xml:space="preserve">• </w:t>
      </w:r>
      <w:r>
        <w:rPr>
          <w:b/>
          <w:i w:val="0"/>
        </w:rPr>
        <w:t>Điều phối xuyên hệ thống.</w:t>
      </w:r>
      <w:r>
        <w:rPr>
          <w:b w:val="0"/>
          <w:i w:val="0"/>
        </w:rPr>
        <w:t xml:space="preserve"> Agent có thể đóng vai trò như mô liên kết giữa các công cụ—API, nền tảng SaaS, hệ thống nội bộ—và làm việc này linh hoạt hơn nhiều so với các thế hệ công nghệ tự động hóa trước đây. Ví dụ bao gồm kích hoạt quy trình dựa trên sự kiện, và điều phối các quy trình nhiều bước (chẳng hạn như cấp phát phần mềm hoặc định tuyến phê duyệt). Tác động là thông lượng quy trình nhanh hơn, linh hoạt hơn và đáng tin cậy hơn.</w:t>
      </w:r>
    </w:p>
    <w:p>
      <w:pPr>
        <w:spacing w:after="80"/>
        <w:ind w:left="360"/>
      </w:pPr>
      <w:r>
        <w:t xml:space="preserve">• </w:t>
      </w:r>
      <w:r>
        <w:rPr>
          <w:b/>
          <w:i w:val="0"/>
        </w:rPr>
        <w:t>Hỗ trợ ra quyết định trong các ràng buộc rõ ràng.</w:t>
      </w:r>
      <w:r>
        <w:rPr>
          <w:b w:val="0"/>
          <w:i w:val="0"/>
        </w:rPr>
        <w:t xml:space="preserve"> Khi vấn đề được định nghĩa rõ ràng và rủi ro có thể quản lý được, agent giúp đề xuất và xếp hạng các lựa chọn; con người vẫn nắm quyền quyết định cuối cùng ở những nơi chi phí sai sót cao. Ví dụ cho trường hợp trước bao gồm gợi ý tối ưu hóa nội dung marketing, đề xuất phản hồi tốt nhất tiếp theo cho khách hàng dựa trên những thành công trong quá khứ. Tác động là tốc độ và tăng chiều sâu phân tích.</w:t>
      </w:r>
    </w:p>
    <w:p>
      <w:pPr>
        <w:spacing w:after="80"/>
      </w:pPr>
      <w:r>
        <w:rPr>
          <w:b w:val="0"/>
          <w:i w:val="0"/>
        </w:rPr>
        <w:t>AI agent ít phù hợp hơn với:</w:t>
      </w:r>
    </w:p>
    <w:p>
      <w:pPr>
        <w:spacing w:after="80"/>
        <w:ind w:left="360"/>
      </w:pPr>
      <w:r>
        <w:t xml:space="preserve">• </w:t>
      </w:r>
      <w:r>
        <w:rPr>
          <w:b/>
          <w:i w:val="0"/>
        </w:rPr>
        <w:t>Những quyết định mơ hồ, mở hoặc mang tính chiến lược quan trọng.</w:t>
      </w:r>
      <w:r>
        <w:rPr>
          <w:b w:val="0"/>
          <w:i w:val="0"/>
        </w:rPr>
        <w:t xml:space="preserve"> Agent gặp khó khăn khi mục tiêu không rõ ràng, các đánh đổi không minh bạch, hoặc hậu quả có rủi ro cao. Ví dụ bao gồm việc đưa ra quyết định tuyển dụng hoặc quyết định về đạo đức.</w:t>
      </w:r>
    </w:p>
    <w:p>
      <w:pPr>
        <w:spacing w:after="80"/>
        <w:ind w:left="360"/>
      </w:pPr>
      <w:r>
        <w:t xml:space="preserve">• </w:t>
      </w:r>
      <w:r>
        <w:rPr>
          <w:b/>
          <w:i w:val="0"/>
        </w:rPr>
        <w:t>Những công việc đòi hỏi sự đồng cảm sâu sắc hoặc xây dựng mối quan hệ.</w:t>
      </w:r>
      <w:r>
        <w:rPr>
          <w:b w:val="0"/>
          <w:i w:val="0"/>
        </w:rPr>
        <w:t xml:space="preserve"> AI agent có thể mô phỏng sự lịch thiệp nhưng không thể xây dựng lòng tin một cách chân thực hay xử lý những cảm xúc phức tạp. Ví dụ bao gồm các cuộc trò chuyện nhạy cảm về nhân sự, quản lý quan hệ khách hàng cho những thương vụ phức tạp, hoặc giải quyết tranh chấp.</w:t>
      </w:r>
    </w:p>
    <w:p>
      <w:pPr>
        <w:spacing w:after="80"/>
        <w:ind w:left="360"/>
      </w:pPr>
      <w:r>
        <w:t xml:space="preserve">• </w:t>
      </w:r>
      <w:r>
        <w:rPr>
          <w:b/>
          <w:i w:val="0"/>
        </w:rPr>
        <w:t>Công việc phụ thuộc vào kiến thức ngầm hoặc bối cảnh vật lý.</w:t>
      </w:r>
      <w:r>
        <w:rPr>
          <w:b w:val="0"/>
          <w:i w:val="0"/>
        </w:rPr>
        <w:t xml:space="preserve"> Agent thiếu trực giác về các động lực trong thế giới thực và thường hoạt động kém ở những nơi mà việc hiểu môi trường vật lý hoặc các chuẩn mực bất thành văn là thiết yếu. Ví dụ bao gồm các hoạt động thực địa hoặc những hành động mà các định luật vật lý được áp dụng.</w:t>
      </w:r>
    </w:p>
    <w:p>
      <w:pPr>
        <w:spacing w:after="80"/>
        <w:ind w:left="360"/>
      </w:pPr>
      <w:r>
        <w:t xml:space="preserve">• </w:t>
      </w:r>
      <w:r>
        <w:rPr>
          <w:b/>
          <w:i w:val="0"/>
        </w:rPr>
        <w:t>Các quy trình có rủi ro cao về quy định, pháp lý hoặc an toàn.</w:t>
      </w:r>
      <w:r>
        <w:rPr>
          <w:b w:val="0"/>
          <w:i w:val="0"/>
        </w:rPr>
        <w:t xml:space="preserve"> Mặc dù AI có thể hỗ trợ các nhiệm vụ tuân thủ, việc giao phó hoàn toàn chúng có thể mang lại rủi ro đáng kể. Ví dụ bao gồm hồ sơ nộp cho cơ quan quản lý, chẩn đoán y khoa hoặc đề xuất điều trị, hoặc quyết định tín dụng mà không có sự xem xét của con người.</w:t>
      </w:r>
    </w:p>
    <w:p>
      <w:pPr>
        <w:spacing w:after="80"/>
      </w:pPr>
      <w:r>
        <w:rPr>
          <w:b w:val="0"/>
          <w:i w:val="0"/>
        </w:rPr>
        <w:t>Tổng quan này cung cấp một điểm khởi đầu hữu ích để hiểu cách sử dụng agent, nhưng đây không phải là quyết định nhị phân dùng agent/không dùng agent. Thực tế, có cả một phổ lựa chọn từ các kỹ thuật tự động hóa truyền thống cho những nhiệm vụ cơ bản đến các quy trình agent tiên tiến hơn được con người dẫn dắt cho những nhiệm vụ phức tạp, rủi ro cao hơn (Hình 22.2).</w:t>
      </w:r>
    </w:p>
    <w:p>
      <w:pPr>
        <w:jc w:val="center"/>
      </w:pPr>
      <w:r>
        <w:drawing>
          <wp:inline xmlns:a="http://schemas.openxmlformats.org/drawingml/2006/main" xmlns:pic="http://schemas.openxmlformats.org/drawingml/2006/picture">
            <wp:extent cx="5486400" cy="6443020"/>
            <wp:docPr id="138" name="Picture 138"/>
            <wp:cNvGraphicFramePr>
              <a:graphicFrameLocks noChangeAspect="1"/>
            </wp:cNvGraphicFramePr>
            <a:graphic>
              <a:graphicData uri="http://schemas.openxmlformats.org/drawingml/2006/picture">
                <pic:pic>
                  <pic:nvPicPr>
                    <pic:cNvPr id="0" name="c22ex002.png"/>
                    <pic:cNvPicPr/>
                  </pic:nvPicPr>
                  <pic:blipFill>
                    <a:blip r:embed="rId107"/>
                    <a:stretch>
                      <a:fillRect/>
                    </a:stretch>
                  </pic:blipFill>
                  <pic:spPr>
                    <a:xfrm>
                      <a:off x="0" y="0"/>
                      <a:ext cx="5486400" cy="6443020"/>
                    </a:xfrm>
                    <a:prstGeom prst="rect"/>
                  </pic:spPr>
                </pic:pic>
              </a:graphicData>
            </a:graphic>
          </wp:inline>
        </w:drawing>
      </w:r>
    </w:p>
    <w:p>
      <w:pPr>
        <w:spacing w:after="160"/>
        <w:jc w:val="center"/>
      </w:pPr>
      <w:r>
        <w:rPr>
          <w:rFonts w:ascii="Calibri" w:hAnsi="Calibri"/>
          <w:b w:val="0"/>
          <w:i/>
          <w:sz w:val="19"/>
        </w:rPr>
        <w:t>HÌNH 22.2</w:t>
      </w:r>
    </w:p>
    <w:p>
      <w:pPr>
        <w:pStyle w:val="Heading2"/>
      </w:pPr>
      <w:r>
        <w:rPr>
          <w:rFonts w:ascii="Calibri" w:hAnsi="Calibri"/>
          <w:b/>
          <w:i w:val="0"/>
          <w:sz w:val="32"/>
        </w:rPr>
        <w:t>Thiết kế quy trình làm việc với các agent "bị ràng buộc"</w:t>
      </w:r>
    </w:p>
    <w:p>
      <w:pPr>
        <w:spacing w:after="80"/>
      </w:pPr>
      <w:r>
        <w:rPr>
          <w:b w:val="0"/>
          <w:i w:val="0"/>
        </w:rPr>
        <w:t>Để AI agent hoạt động thành thạo, chúng cần được "ràng buộc". Trên thực tế, điều đó có nghĩa là chúng cần những nhiệm vụ được xác định rõ ràng, mang tính tất định với các hướng dẫn rõ ràng (guardrail - rào chắn bảo vệ) về cách chúng thực hiện những nhiệm vụ đó.</w:t>
      </w:r>
    </w:p>
    <w:p>
      <w:pPr>
        <w:spacing w:after="80"/>
      </w:pPr>
      <w:r>
        <w:rPr>
          <w:b w:val="0"/>
          <w:i w:val="0"/>
        </w:rPr>
        <w:t>Hãy xem xét một quy trình phức tạp như việc phán quyết một yêu cầu bồi thường chăm sóc sức khỏe. Chúng ta cần hiểu loại yêu cầu được nộp, xem xét tất cả tài liệu và lịch sử hiện tại lẫn quá khứ của bệnh nhân hoặc yêu cầu này, truy xuất các chính sách liên quan, đánh giá dựa trên các tiêu chí về sự cần thiết y tế, và xem xét các dấu hiệu gian lận, ở mức tối thiểu.</w:t>
      </w:r>
    </w:p>
    <w:p>
      <w:pPr>
        <w:spacing w:after="80"/>
      </w:pPr>
      <w:r>
        <w:rPr>
          <w:b w:val="0"/>
          <w:i w:val="0"/>
        </w:rPr>
        <w:t>Việc phát triển một AI agent duy nhất để thực hiện những nhiệm vụ khác nhau đó sẽ đòi hỏi ngữ cảnh và suy luận đa bước, tạo ra hết lớp này đến lớp khác các khả năng sai sót. Nó cũng sẽ đòi hỏi một lượng token khổng lồ để mô hình đáp ứng nhu cầu về bộ nhớ và ngữ cảnh. Và khi lỗi được phát hiện, gần như không thể quan sát chuỗi logic chi tiết để hiểu điều gì đã sai vì một agent duy nhất không để lại dấu vết kiểu đó.</w:t>
      </w:r>
    </w:p>
    <w:p>
      <w:pPr>
        <w:spacing w:after="80"/>
      </w:pPr>
      <w:r>
        <w:rPr>
          <w:b/>
          <w:i/>
        </w:rPr>
        <w:t>Thực hành tốt nhất khi xây dựng quy trình agent là chia nhỏ các nhiệm vụ càng nhiều càng tốt, và giao cho mỗi nhiệm vụ một agent với hướng dẫn rõ ràng</w:t>
      </w:r>
      <w:r>
        <w:rPr>
          <w:b/>
          <w:i w:val="0"/>
        </w:rPr>
        <w:t>.</w:t>
      </w:r>
    </w:p>
    <w:p>
      <w:pPr>
        <w:spacing w:after="80"/>
      </w:pPr>
      <w:r>
        <w:rPr>
          <w:b w:val="0"/>
          <w:i w:val="0"/>
        </w:rPr>
        <w:t>Hãy xem xét quy trình agent (đã được đơn giản hóa) cho việc phán quyết yêu cầu bồi thường trong Hình 22.3. Mỗi nhiệm vụ được đại diện bởi một agent riêng, được hỗ trợ bởi cùng một LLM.</w:t>
      </w:r>
    </w:p>
    <w:p>
      <w:pPr>
        <w:spacing w:after="80"/>
      </w:pPr>
      <w:r>
        <w:rPr>
          <w:b w:val="0"/>
          <w:i w:val="0"/>
        </w:rPr>
        <w:t>Ở mức độ chi tiết này, chúng ta có thể xác định phạm vi được phép của từng nhiệm vụ, kiểm thử và tinh chỉnh các phản hồi một cách tỉ mỉ dựa trên một loạt tiêu chí thành công (sẽ bàn thêm ở phần sau trong chương này), và quan sát hiệu suất của từng nhiệm vụ.</w:t>
      </w:r>
    </w:p>
    <w:p>
      <w:pPr>
        <w:spacing w:after="80"/>
      </w:pPr>
      <w:r>
        <w:rPr>
          <w:b w:val="0"/>
          <w:i w:val="0"/>
        </w:rPr>
        <w:t>Mức độ chi tiết này cũng giúp làm rõ nơi mà người đánh giá (con người) nên thực hiện một số phản hồi nhất định do agent đề xuất. Ngoài ra, nó cho phép quy trình làm việc dễ dàng được sửa đổi hơn, chẳng hạn như loại bỏ các bước con người khi hiệu suất của agent đáp ứng được nhiệm vụ.</w:t>
      </w:r>
    </w:p>
    <w:p>
      <w:pPr>
        <w:spacing w:after="80"/>
      </w:pPr>
      <w:r>
        <w:rPr>
          <w:b w:val="0"/>
          <w:i w:val="0"/>
        </w:rPr>
        <w:t>Một số agent cũng có thể được tái sử dụng khi nhiệm vụ của chúng phổ biến ở nhiều quy trình làm việc khác nhau, chẳng hạn như một agent tuân thủ chính sách đã được huấn luyện được dùng lại trong một quy trình làm việc để giúp trả lời các câu hỏi từ các thành viên của chương trình bảo hiểm sức khỏe.</w:t>
      </w:r>
    </w:p>
    <w:p>
      <w:pPr>
        <w:jc w:val="center"/>
      </w:pPr>
      <w:r>
        <w:drawing>
          <wp:inline xmlns:a="http://schemas.openxmlformats.org/drawingml/2006/main" xmlns:pic="http://schemas.openxmlformats.org/drawingml/2006/picture">
            <wp:extent cx="5486400" cy="6533710"/>
            <wp:docPr id="139" name="Picture 139"/>
            <wp:cNvGraphicFramePr>
              <a:graphicFrameLocks noChangeAspect="1"/>
            </wp:cNvGraphicFramePr>
            <a:graphic>
              <a:graphicData uri="http://schemas.openxmlformats.org/drawingml/2006/picture">
                <pic:pic>
                  <pic:nvPicPr>
                    <pic:cNvPr id="0" name="c22ex003.png"/>
                    <pic:cNvPicPr/>
                  </pic:nvPicPr>
                  <pic:blipFill>
                    <a:blip r:embed="rId108"/>
                    <a:stretch>
                      <a:fillRect/>
                    </a:stretch>
                  </pic:blipFill>
                  <pic:spPr>
                    <a:xfrm>
                      <a:off x="0" y="0"/>
                      <a:ext cx="5486400" cy="6533710"/>
                    </a:xfrm>
                    <a:prstGeom prst="rect"/>
                  </pic:spPr>
                </pic:pic>
              </a:graphicData>
            </a:graphic>
          </wp:inline>
        </w:drawing>
      </w:r>
    </w:p>
    <w:p>
      <w:pPr>
        <w:spacing w:after="160"/>
        <w:jc w:val="center"/>
      </w:pPr>
      <w:r>
        <w:rPr>
          <w:rFonts w:ascii="Calibri" w:hAnsi="Calibri"/>
          <w:b w:val="0"/>
          <w:i/>
          <w:sz w:val="19"/>
        </w:rPr>
        <w:t>TRIỂN LÃM 22.3</w:t>
      </w:r>
    </w:p>
    <w:p>
      <w:pPr>
        <w:spacing w:after="80"/>
      </w:pPr>
      <w:r>
        <w:rPr>
          <w:b w:val="0"/>
          <w:i w:val="0"/>
        </w:rPr>
        <w:t>Điểm mấu chốt ở đây là xây dựng các agent và đặt ra các rào chắn ở cấp độ nhiệm vụ, chứ không phải ở cấp độ giải pháp tổng thể.</w:t>
      </w:r>
    </w:p>
    <w:p>
      <w:pPr>
        <w:pStyle w:val="Heading2"/>
      </w:pPr>
      <w:r>
        <w:rPr>
          <w:rFonts w:ascii="Calibri" w:hAnsi="Calibri"/>
          <w:b/>
          <w:i w:val="0"/>
          <w:sz w:val="32"/>
        </w:rPr>
        <w:t>Thông minh hơn với đầu vào để có đầu ra tốt hơn</w:t>
      </w:r>
    </w:p>
    <w:p>
      <w:pPr>
        <w:spacing w:after="80"/>
      </w:pPr>
      <w:r>
        <w:rPr>
          <w:b w:val="0"/>
          <w:i w:val="0"/>
        </w:rPr>
        <w:t>Tối ưu hóa hiệu suất của LLM đòi hỏi phải hiểu rõ những kỹ thuật nào thực sự cải thiện kết quả—và những kỹ thuật nào tạo ra sự phức tạp không cần thiết.</w:t>
      </w:r>
    </w:p>
    <w:p>
      <w:pPr>
        <w:spacing w:after="80"/>
      </w:pPr>
      <w:r>
        <w:rPr>
          <w:b w:val="0"/>
          <w:i w:val="0"/>
        </w:rPr>
        <w:t>Dưới đây là những kỹ thuật chính để tạo ra mức độ ngữ cảnh mạnh mẽ và hiệu suất giá trị:</w:t>
      </w:r>
    </w:p>
    <w:p>
      <w:pPr>
        <w:spacing w:after="80"/>
        <w:ind w:left="360"/>
      </w:pPr>
      <w:r>
        <w:t xml:space="preserve">• </w:t>
      </w:r>
      <w:r>
        <w:rPr>
          <w:b/>
          <w:i w:val="0"/>
        </w:rPr>
        <w:t>Kỹ thuật prompt (prompt engineering)</w:t>
      </w:r>
      <w:r>
        <w:rPr>
          <w:b w:val="0"/>
          <w:i w:val="0"/>
        </w:rPr>
        <w:t xml:space="preserve"> có thể cải thiện chất lượng một cách đáng kể mà không cần sửa đổi mô hình nền tảng. Tuy nhiên, việc prompt trở nên không đủ khi một nhiệm vụ đòi hỏi phải dựa trên kiến thức độc quyền, thuật ngữ ổn định, hoặc các quy tắc miền nhất quán.</w:t>
      </w:r>
    </w:p>
    <w:p>
      <w:pPr>
        <w:spacing w:after="80"/>
        <w:ind w:left="360"/>
      </w:pPr>
      <w:r>
        <w:t xml:space="preserve">• </w:t>
      </w:r>
      <w:r>
        <w:rPr>
          <w:b/>
          <w:i w:val="0"/>
        </w:rPr>
        <w:t>Kỹ thuật ngữ cảnh (context engineering)</w:t>
      </w:r>
      <w:r>
        <w:rPr>
          <w:b w:val="0"/>
          <w:i w:val="0"/>
        </w:rPr>
        <w:t xml:space="preserve"> đảm bảo rằng thông tin đúng đắn đang được truy cập. Khi các mô hình LLM phát triển về khả năng suy luận đa bước, chúng ngày càng phụ thuộc vào chất lượng, tính liên quan và cách định hình cửa sổ ngữ cảnh hạn chế của mình (lượng văn bản cố định mà một LLM có thể xử lý).</w:t>
        <w:br/>
        <w:t>Kỹ thuật ngữ cảnh là lĩnh vực đảm bảo rằng các mô hình LLM được neo đậu vào dữ liệu đúng, vào đúng thời điểm, ở đúng định dạng—giảm thiểu ảo giác (hallucination), cải thiện tính nhất quán, và căn chỉnh hành vi với các quy tắc của doanh nghiệp.</w:t>
        <w:br/>
        <w:br/>
        <w:br/>
        <w:br/>
        <w:br/>
        <w:t>RAG so với kỹ thuật ngữ cảnh</w:t>
        <w:br/>
        <w:br/>
        <w:br/>
        <w:t>RAG là về việc agent tìm nạp thông tin gì</w:t>
        <w:br/>
        <w:t>Kỹ thuật ngữ cảnh là về cách bạn lắp ráp và kiểm soát mọi thứ mà mô hình nhìn thấy (ví dụ: hướng dẫn hệ thống, vai trò, bộ nhớ, dữ liệu được truy xuất, ngân sách token)</w:t>
      </w:r>
    </w:p>
    <w:p>
      <w:pPr>
        <w:spacing w:after="80"/>
        <w:ind w:left="360"/>
      </w:pPr>
      <w:r>
        <w:t xml:space="preserve">• </w:t>
      </w:r>
      <w:r>
        <w:rPr>
          <w:b/>
          <w:i w:val="0"/>
        </w:rPr>
        <w:t>Tạo sinh tăng cường truy xuất (Retrieval-augmented generation - RAG)</w:t>
      </w:r>
      <w:r>
        <w:rPr>
          <w:b w:val="0"/>
          <w:i w:val="0"/>
        </w:rPr>
        <w:t xml:space="preserve"> cho phép mô hình lấy từ nội dung có thẩm quyền, động thay vì dựa vào bộ nhớ đã được huấn luyện trước của nó. RAG đặc biệt mạnh mẽ trong môi trường doanh nghiệp, nơi các câu trả lời phải phù hợp với tài liệu chính sách nội bộ, các ràng buộc pháp lý, hoặc ngữ cảnh cụ thể thay đổi thường xuyên.</w:t>
      </w:r>
    </w:p>
    <w:p>
      <w:pPr>
        <w:spacing w:after="80"/>
        <w:ind w:left="360"/>
      </w:pPr>
      <w:r>
        <w:t xml:space="preserve">• </w:t>
      </w:r>
      <w:r>
        <w:rPr>
          <w:b/>
          <w:i w:val="0"/>
        </w:rPr>
        <w:t>Tinh chỉnh (Fine-tuning)</w:t>
      </w:r>
      <w:r>
        <w:rPr>
          <w:b w:val="0"/>
          <w:i w:val="0"/>
        </w:rPr>
        <w:t xml:space="preserve"> giải quyết các mẫu hành vi khó mã hóa trong prompt (ví dụ: quy tắc phân loại). Nó cần thiết trong những tình huống cụ thể—khi bạn muốn mô hình học các mẫu mà việc prompt hoặc truy xuất không thể tạo ra một cách đáng tin cậy. Điều này bao gồm các trường hợp như thực thi một giọng điệu phức tạp và nhất quán qua nhiều tương tác hoặc dạy suy luận chuyên biệt với mức độ chính xác cao (chẳng hạn như phân loại y tế hoặc quy tắc thẩm định bảo hiểm).</w:t>
        <w:br/>
        <w:t>Tinh chỉnh không lý tưởng cho nội dung thay đổi thường xuyên hoặc đòi hỏi nền tảng thực tế chính xác, được kiểm soát phiên bản. Các kiến trúc hàng đầu coi tinh chỉnh như một con dao mổ—chứ không phải một cây búa—dành riêng cho những hành vi hẹp, ổn định đòi hỏi mô hình phải "học" các quy tắc hành vi cụ thể thay vì chỉ đơn thuần "tra cứu".</w:t>
      </w:r>
    </w:p>
    <w:p>
      <w:pPr>
        <w:pStyle w:val="Heading2"/>
      </w:pPr>
      <w:r>
        <w:rPr>
          <w:rFonts w:ascii="Calibri" w:hAnsi="Calibri"/>
          <w:b/>
          <w:i w:val="0"/>
          <w:sz w:val="32"/>
        </w:rPr>
        <w:t>Kiểm thử sớm và thường xuyên</w:t>
      </w:r>
    </w:p>
    <w:p>
      <w:pPr>
        <w:spacing w:after="80"/>
      </w:pPr>
      <w:r>
        <w:rPr>
          <w:b w:val="0"/>
          <w:i w:val="0"/>
        </w:rPr>
        <w:t>Không giống như các ứng dụng thông thường, các agent AI giới thiệu một mô hình mối đe dọa hoàn toàn khác biệt do các thuộc tính cố hữu và hành vi vận hành của chúng.</w:t>
      </w:r>
    </w:p>
    <w:p>
      <w:pPr>
        <w:jc w:val="center"/>
      </w:pPr>
      <w:r>
        <w:drawing>
          <wp:inline xmlns:a="http://schemas.openxmlformats.org/drawingml/2006/main" xmlns:pic="http://schemas.openxmlformats.org/drawingml/2006/picture">
            <wp:extent cx="457200" cy="447675"/>
            <wp:docPr id="140" name="Picture 140"/>
            <wp:cNvGraphicFramePr>
              <a:graphicFrameLocks noChangeAspect="1"/>
            </wp:cNvGraphicFramePr>
            <a:graphic>
              <a:graphicData uri="http://schemas.openxmlformats.org/drawingml/2006/picture">
                <pic:pic>
                  <pic:nvPicPr>
                    <pic:cNvPr id="0" name="RULE_OF_THUMB_red.png"/>
                    <pic:cNvPicPr/>
                  </pic:nvPicPr>
                  <pic:blipFill>
                    <a:blip r:embed="rId105"/>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Tỷ lệ xây dựng-so với-kiểm thử cho các quy trình làm việc dạng agent</w:t>
      </w:r>
    </w:p>
    <w:p>
      <w:pPr>
        <w:spacing w:after="80"/>
      </w:pPr>
      <w:r>
        <w:rPr>
          <w:b w:val="0"/>
          <w:i w:val="0"/>
        </w:rPr>
        <w:t>Hãy lên kế hoạch dành khoảng một phần ba thời gian để xây dựng quy trình làm việc dạng agent và hai phần ba thời gian để kiểm thử nó. Đó là bởi vì các agent AI không mang tính xác định hay có thể dự đoán, nên gánh nặng cho việc kiểm thử đã tăng lên.</w:t>
      </w:r>
    </w:p>
    <w:p>
      <w:pPr>
        <w:pStyle w:val="Heading2"/>
      </w:pPr>
      <w:r>
        <w:rPr>
          <w:rFonts w:ascii="Calibri" w:hAnsi="Calibri"/>
          <w:b/>
          <w:i w:val="0"/>
          <w:sz w:val="32"/>
        </w:rPr>
        <w:t>Những rủi ro mới trong thế giới agent</w:t>
      </w:r>
    </w:p>
    <w:p>
      <w:pPr>
        <w:spacing w:after="80"/>
      </w:pPr>
      <w:r>
        <w:rPr>
          <w:b/>
          <w:i w:val="0"/>
        </w:rPr>
        <w:t>Đầu ra không xác định:</w:t>
      </w:r>
      <w:r>
        <w:rPr>
          <w:b w:val="0"/>
          <w:i w:val="0"/>
        </w:rPr>
        <w:t xml:space="preserve"> Cùng một đầu vào có thể tạo ra các phản hồi khác nhau.</w:t>
      </w:r>
    </w:p>
    <w:p>
      <w:pPr>
        <w:spacing w:after="80"/>
      </w:pPr>
      <w:r>
        <w:rPr>
          <w:b/>
          <w:i w:val="0"/>
        </w:rPr>
        <w:t>Hành vi nổi lên (emergent behaviors):</w:t>
      </w:r>
      <w:r>
        <w:rPr>
          <w:b w:val="0"/>
          <w:i w:val="0"/>
        </w:rPr>
        <w:t xml:space="preserve"> Những khả năng không được lập trình rõ ràng có thể xuất hiện khi các agent tương tác với nhau (ví dụ: hai agent định giá bắt đầu bắt chước lẫn nhau).</w:t>
      </w:r>
    </w:p>
    <w:p>
      <w:pPr>
        <w:spacing w:after="80"/>
      </w:pPr>
      <w:r>
        <w:rPr>
          <w:b/>
          <w:i w:val="0"/>
        </w:rPr>
        <w:t>Bề mặt tấn công mở rộng:</w:t>
      </w:r>
      <w:r>
        <w:rPr>
          <w:b w:val="0"/>
          <w:i w:val="0"/>
        </w:rPr>
        <w:t xml:space="preserve"> Dễ bị tổn thương trước các thao túng đặc thù của LLM như prompt injection (chèn hướng dẫn độc hại để vượt qua lập trình ban đầu), jailbreak (dùng prompt tinh vi hoặc đối kháng để vượt qua bộ lọc an toàn tích hợp của AI), hoặc rò rỉ dữ liệu.</w:t>
      </w:r>
    </w:p>
    <w:p>
      <w:pPr>
        <w:spacing w:after="80"/>
      </w:pPr>
      <w:r>
        <w:rPr>
          <w:b/>
          <w:i w:val="0"/>
        </w:rPr>
        <w:t>Ra quyết định tự động:</w:t>
      </w:r>
      <w:r>
        <w:rPr>
          <w:b w:val="0"/>
          <w:i w:val="0"/>
        </w:rPr>
        <w:t xml:space="preserve"> Có khả năng gây ra những hành động ngoài ý muốn trong thực tế.</w:t>
      </w:r>
    </w:p>
    <w:p>
      <w:pPr>
        <w:spacing w:after="80"/>
      </w:pPr>
      <w:r>
        <w:rPr>
          <w:b/>
          <w:i/>
        </w:rPr>
        <w:t>Nếu không có các biện pháp kiểm soát đầy đủ, AI agent có thể để lộ dữ liệu nhạy cảm, vi phạm quy định (như HIPAA, GDPR hoặc CCPA), hoặc gây ra sự cố an toàn thông qua việc tạo ra hướng dẫn có hại</w:t>
      </w:r>
      <w:r>
        <w:rPr>
          <w:b/>
          <w:i w:val="0"/>
        </w:rPr>
        <w:t>.</w:t>
      </w:r>
    </w:p>
    <w:p>
      <w:pPr>
        <w:spacing w:after="80"/>
      </w:pPr>
      <w:r>
        <w:rPr>
          <w:b w:val="0"/>
          <w:i w:val="0"/>
        </w:rPr>
        <w:t>Tổ chức bảo mật phi lợi nhuận OWASP đã công bố một nghiên cứu nêu bật mối đe dọa đang phát triển nhanh chóng của các lỗ hổng đặc thù AI, trong đó phát hiện prompt injection và các nỗ lực jailbreak là một trong những mối đe dọa kiểm soát hàng đầu. Các phương pháp an toàn và bảo mật tiêu chuẩn, thường tập trung vào các lỗ hổng đã được thiết lập, giải quyết được nhiều rủi ro đặc thù của AI agent này.</w:t>
      </w:r>
    </w:p>
    <w:p>
      <w:pPr>
        <w:spacing w:after="80"/>
      </w:pPr>
      <w:r>
        <w:rPr>
          <w:b w:val="0"/>
          <w:i w:val="0"/>
        </w:rPr>
        <w:t>Vì lý do này, điều quan trọng là phải hiểu rằng việc kiểm thử còn quan trọng hơn—và đòi hỏi nhiều nguồn lực hơn—để quản lý dải rủi ro này.</w:t>
      </w:r>
    </w:p>
    <w:p>
      <w:pPr>
        <w:pStyle w:val="Heading2"/>
      </w:pPr>
      <w:r>
        <w:rPr>
          <w:rFonts w:ascii="Calibri" w:hAnsi="Calibri"/>
          <w:b/>
          <w:i w:val="0"/>
          <w:sz w:val="32"/>
        </w:rPr>
        <w:t>Các thực hành tốt nhất để kiểm thử AI agent</w:t>
      </w:r>
    </w:p>
    <w:p>
      <w:pPr>
        <w:spacing w:after="80"/>
      </w:pPr>
      <w:r>
        <w:rPr>
          <w:b/>
          <w:i w:val="0"/>
        </w:rPr>
        <w:t>Xác định phạm vi và yêu cầu.</w:t>
      </w:r>
      <w:r>
        <w:rPr>
          <w:b w:val="0"/>
          <w:i w:val="0"/>
        </w:rPr>
        <w:t xml:space="preserve"> Xác định rõ agent nên làm gì và không nên làm gì. Đặt ra các tiêu chuẩn có thể đo lường được về độ chính xác, tính nhất quán, giọng điệu thương hiệu, tỷ lệ giải quyết vấn đề và chuyển tiếp (biết khi nào cần bàn giao).</w:t>
      </w:r>
    </w:p>
    <w:p>
      <w:pPr>
        <w:spacing w:after="80"/>
      </w:pPr>
      <w:r>
        <w:rPr>
          <w:b/>
          <w:i w:val="0"/>
        </w:rPr>
        <w:t>Định nghĩa các ranh giới đỏ rõ ràng (tức là các tiêu chuẩn rủi ro có thể kiểm thử).</w:t>
      </w:r>
      <w:r>
        <w:rPr>
          <w:b w:val="0"/>
          <w:i w:val="0"/>
        </w:rPr>
        <w:t xml:space="preserve"> Bao gồm các tuyên bố thực tế không được hỗ trợ trong câu trả lời bị ràng buộc bởi chính sách, các khẳng định thực tế không có trích dẫn có thể truy xuất, và các khẳng định thiếu độ tin cậy hoặc quyền hạn đầy đủ. Với mỗi trường hợp, hãy định nghĩa các tình huống từ đơn giản đến đối kháng (khách hàng cố lừa hoặc jailbreak agent) hoặc nhạy cảm về tuân thủ (cố gắng tiết lộ PII). Khi agent đi vào hoạt động, hãy ghi lại các lỗi mới để kiểm thử trong tương lai. Yêu cầu rõ ràng các đường chuyển tiếp khi các ràng buộc không được đáp ứng.</w:t>
      </w:r>
    </w:p>
    <w:p>
      <w:pPr>
        <w:spacing w:after="80"/>
      </w:pPr>
      <w:r>
        <w:rPr>
          <w:b/>
          <w:i w:val="0"/>
        </w:rPr>
        <w:t>Xây dựng bộ dữ liệu kiểm thử chất lượng cao.</w:t>
      </w:r>
      <w:r>
        <w:rPr>
          <w:b w:val="0"/>
          <w:i w:val="0"/>
        </w:rPr>
        <w:t xml:space="preserve"> Bắt đầu với các tương tác lịch sử đã ẩn danh (phiếu hỗ trợ, nhật ký trò chuyện) bao gồm các trường hợp (như ngôn ngữ mơ hồ, hoặc khách hàng đang xúc động) và các trường hợp đối kháng (như jailbreak) để xây dựng dữ liệu huấn luyện.</w:t>
      </w:r>
    </w:p>
    <w:p>
      <w:pPr>
        <w:spacing w:after="80"/>
      </w:pPr>
      <w:r>
        <w:rPr>
          <w:b/>
          <w:i w:val="0"/>
        </w:rPr>
        <w:t>Sử dụng phương pháp kiểm thử theo lớp.</w:t>
      </w:r>
      <w:r>
        <w:rPr>
          <w:b w:val="0"/>
          <w:i w:val="0"/>
        </w:rPr>
        <w:t xml:space="preserve"> Xây dựng một tập hợp các lớp củng cố lẫn nhau để cung cấp:</w:t>
      </w:r>
    </w:p>
    <w:p>
      <w:pPr>
        <w:spacing w:after="80"/>
        <w:ind w:left="360"/>
      </w:pPr>
      <w:r>
        <w:t xml:space="preserve">• </w:t>
      </w:r>
      <w:r>
        <w:rPr>
          <w:b/>
          <w:i w:val="0"/>
        </w:rPr>
        <w:t>Kiểm thử tĩnh:</w:t>
      </w:r>
      <w:r>
        <w:rPr>
          <w:b w:val="0"/>
          <w:i w:val="0"/>
        </w:rPr>
        <w:t xml:space="preserve"> Trước khi thực hiện kiểm thử go-live, hãy tiến hành đánh giá prompt.</w:t>
      </w:r>
    </w:p>
    <w:p>
      <w:pPr>
        <w:spacing w:after="80"/>
        <w:ind w:left="360"/>
      </w:pPr>
      <w:r>
        <w:t xml:space="preserve">• </w:t>
      </w:r>
      <w:r>
        <w:rPr>
          <w:b/>
          <w:i w:val="0"/>
        </w:rPr>
        <w:t>LLM-as-judge:</w:t>
      </w:r>
      <w:r>
        <w:rPr>
          <w:b w:val="0"/>
          <w:i w:val="0"/>
        </w:rPr>
        <w:t xml:space="preserve"> Tự động hóa hàng nghìn bài kiểm thử với chấm điểm dựa trên quy tắc và đánh giá đầu ra bằng các quy tắc định trước thay vì chỉ dựa vào phán đoán của con người hoặc các chỉ số thống kê. Thang đánh giá phải rõ ràng và được cập nhật, và LLM judge phải được hiệu chỉnh dựa trên một tập tham số được gán nhãn bởi con người và được theo dõi để phát hiện sự lệch hướng theo thời gian.</w:t>
      </w:r>
    </w:p>
    <w:p>
      <w:pPr>
        <w:spacing w:after="80"/>
        <w:ind w:left="360"/>
      </w:pPr>
      <w:r>
        <w:t xml:space="preserve">• </w:t>
      </w:r>
      <w:r>
        <w:rPr>
          <w:b/>
          <w:i w:val="0"/>
        </w:rPr>
        <w:t>Đánh giá của con người:</w:t>
      </w:r>
      <w:r>
        <w:rPr>
          <w:b w:val="0"/>
          <w:i w:val="0"/>
        </w:rPr>
        <w:t xml:space="preserve"> Có những người đánh giá đã được đào tạo để đánh giá tính nhất quán thương hiệu, trải nghiệm khách hàng, sự đồng cảm và các ảo giác tinh tế hơn.</w:t>
      </w:r>
    </w:p>
    <w:p>
      <w:pPr>
        <w:spacing w:after="80"/>
        <w:ind w:left="360"/>
      </w:pPr>
      <w:r>
        <w:t xml:space="preserve">• </w:t>
      </w:r>
      <w:r>
        <w:rPr>
          <w:b/>
          <w:i w:val="0"/>
        </w:rPr>
        <w:t>Chế độ shadow trực tiếp:</w:t>
      </w:r>
      <w:r>
        <w:rPr>
          <w:b w:val="0"/>
          <w:i w:val="0"/>
        </w:rPr>
        <w:t xml:space="preserve"> Thí điểm với con người hoàn toàn trong vòng lặp, đánh giá các câu trả lời gợi ý của agent trong thời gian thực.</w:t>
      </w:r>
    </w:p>
    <w:p>
      <w:pPr>
        <w:spacing w:after="80"/>
      </w:pPr>
      <w:r>
        <w:rPr>
          <w:b/>
          <w:i w:val="0"/>
        </w:rPr>
        <w:t>Kiểm thử hiệu suất của toàn bộ sản phẩm, không chỉ riêng agent.</w:t>
      </w:r>
      <w:r>
        <w:rPr>
          <w:b w:val="0"/>
          <w:i w:val="0"/>
        </w:rPr>
        <w:t xml:space="preserve"> Tập trung vào những khía cạnh quan trọng đối với trải nghiệm khách hàng như độ trễ, bộ nhớ và việc bàn giao với đầy đủ ngữ cảnh cho con người khi agent đạt đến giới hạn của nó. Đánh giá đầu ra kiểm thử dựa trên các tiêu chí thành công với các chỉ số chấm điểm khách quan.</w:t>
      </w:r>
    </w:p>
    <w:p>
      <w:pPr>
        <w:spacing w:after="80"/>
      </w:pPr>
      <w:r>
        <w:rPr>
          <w:b w:val="0"/>
          <w:i w:val="0"/>
        </w:rPr>
        <w:t>Thiết lập giám sát liên tục và ghi nhật ký sự cố sau khi agent đi vào hoạt động để theo dõi hiệu suất so với tất cả các tiêu chí thành công. Tập trung vào các lỗi lặp đi lặp lại và xây dựng kế hoạch khôi phục để có thể nhanh chóng quay về phiên bản trước, vô hiệu hóa các tính năng có rủi ro cao hơn, hoặc chuyển khách hàng sang nhân viên hỗ trợ.</w:t>
      </w:r>
    </w:p>
    <w:p>
      <w:pPr>
        <w:pStyle w:val="Heading2"/>
      </w:pPr>
      <w:r>
        <w:rPr>
          <w:rFonts w:ascii="Calibri" w:hAnsi="Calibri"/>
          <w:b/>
          <w:i w:val="0"/>
          <w:sz w:val="32"/>
        </w:rPr>
        <w:t>Hiểu rõ sự đánh đổi giữa mua và tự xây dựng với các AI agent</w:t>
      </w:r>
    </w:p>
    <w:p>
      <w:pPr>
        <w:spacing w:after="80"/>
      </w:pPr>
      <w:r>
        <w:rPr>
          <w:b w:val="0"/>
          <w:i w:val="0"/>
        </w:rPr>
        <w:t>Hầu hết các nhà cung cấp phần mềm lớn—trên mọi tầng của ngăn xếp công nghệ—đang nhanh chóng tích hợp các khả năng agentic vào sản phẩm của họ. Các nhà cung cấp dịch vụ đám mây đang nhúng các agent tự chủ vào hạ tầng và dịch vụ nền tảng; các nhà cung cấp ứng dụng đang thêm các copilot thực thi quy trình công việc trực tiếp vào CRM, ERP và các bộ công cụ năng suất; và các công cụ chuyên biệt đang ra mắt các agent được thiết kế riêng cho tài chính, chuỗi cung ứng, kỹ thuật và vận hành khách hàng.</w:t>
      </w:r>
    </w:p>
    <w:p>
      <w:pPr>
        <w:spacing w:after="80"/>
      </w:pPr>
      <w:r>
        <w:rPr>
          <w:b w:val="0"/>
          <w:i w:val="0"/>
        </w:rPr>
        <w:t>Những sản phẩm này đã mang đến cho các công ty những lối vào dễ dàng để sử dụng AI agent, khiến nhiều công ty lựa chọn các nền tảng ngang rộng lớn và tích hợp các agent có sẵn trong nhiều nền tảng miền cốt lõi khác nhau (CRM cho bán hàng, điện thoại cho trung tâm cuộc gọi, quản lý vốn nhân lực cho nhân sự). Trong hầu hết các trường hợp này, dữ liệu đã được tích hợp sẵn và các luồng quy trình đã được thiết kế.</w:t>
      </w:r>
    </w:p>
    <w:p>
      <w:pPr>
        <w:spacing w:after="80"/>
      </w:pPr>
      <w:r>
        <w:rPr>
          <w:b w:val="0"/>
          <w:i w:val="0"/>
        </w:rPr>
        <w:t>Chi phí thiết lập ban đầu thường khá hợp lý, mặc dù điều quan trọng cần lưu ý là mỗi giải pháp agentic đi kèm với các chi phí và cấu trúc cấp phép, sử dụng khác nhau và thay đổi nhanh chóng, từ chi phí cơ bản theo token đến mức giá gộp theo phút (chẳng hạn như cho phiên âm cuộc gọi).</w:t>
      </w:r>
    </w:p>
    <w:p>
      <w:pPr>
        <w:jc w:val="center"/>
      </w:pPr>
      <w:r>
        <w:drawing>
          <wp:inline xmlns:a="http://schemas.openxmlformats.org/drawingml/2006/main" xmlns:pic="http://schemas.openxmlformats.org/drawingml/2006/picture">
            <wp:extent cx="457200" cy="447675"/>
            <wp:docPr id="141" name="Picture 141"/>
            <wp:cNvGraphicFramePr>
              <a:graphicFrameLocks noChangeAspect="1"/>
            </wp:cNvGraphicFramePr>
            <a:graphic>
              <a:graphicData uri="http://schemas.openxmlformats.org/drawingml/2006/picture">
                <pic:pic>
                  <pic:nvPicPr>
                    <pic:cNvPr id="0" name="MANAGEMENT_TIP_red.png"/>
                    <pic:cNvPicPr/>
                  </pic:nvPicPr>
                  <pic:blipFill>
                    <a:blip r:embed="rId98"/>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Các câu hỏi cần cân nhắc khi mua AI agent</w:t>
      </w:r>
    </w:p>
    <w:p>
      <w:pPr>
        <w:spacing w:after="80"/>
        <w:ind w:left="360"/>
      </w:pPr>
      <w:r>
        <w:t xml:space="preserve">• </w:t>
      </w:r>
      <w:r>
        <w:rPr>
          <w:b w:val="0"/>
          <w:i w:val="0"/>
        </w:rPr>
        <w:t>Tổng chi phí cuối cùng của các agent là bao nhiêu (xét đến toàn bộ phạm vi chi phí từ quản lý đến sử dụng token)?</w:t>
      </w:r>
    </w:p>
    <w:p>
      <w:pPr>
        <w:spacing w:after="80"/>
        <w:ind w:left="360"/>
      </w:pPr>
      <w:r>
        <w:t xml:space="preserve">• </w:t>
      </w:r>
      <w:r>
        <w:rPr>
          <w:b w:val="0"/>
          <w:i w:val="0"/>
        </w:rPr>
        <w:t>Cần bao nhiêu công sức tích hợp, tùy chỉnh, đào tạo và kiểm thử sau khi mua?</w:t>
      </w:r>
    </w:p>
    <w:p>
      <w:pPr>
        <w:spacing w:after="80"/>
        <w:ind w:left="360"/>
      </w:pPr>
      <w:r>
        <w:t xml:space="preserve">• </w:t>
      </w:r>
      <w:r>
        <w:rPr>
          <w:b w:val="0"/>
          <w:i w:val="0"/>
        </w:rPr>
        <w:t>Bạn sẽ quản lý việc xây dựng, giám sát và phát triển thứ cuối cùng có thể là một "đội" agent phức tạp như thế nào?</w:t>
      </w:r>
    </w:p>
    <w:p>
      <w:pPr>
        <w:spacing w:after="80"/>
        <w:ind w:left="360"/>
      </w:pPr>
      <w:r>
        <w:t xml:space="preserve">• </w:t>
      </w:r>
      <w:r>
        <w:rPr>
          <w:b w:val="0"/>
          <w:i w:val="0"/>
        </w:rPr>
        <w:t>Bạn có thể mong đợi mức độ tái sử dụng agent là bao nhiêu?</w:t>
      </w:r>
    </w:p>
    <w:p>
      <w:pPr>
        <w:spacing w:after="80"/>
        <w:ind w:left="360"/>
      </w:pPr>
      <w:r>
        <w:t xml:space="preserve">• </w:t>
      </w:r>
      <w:r>
        <w:rPr>
          <w:b w:val="0"/>
          <w:i w:val="0"/>
        </w:rPr>
        <w:t>Agent sẽ là một phần trong việc xây dựng lợi thế cạnh tranh chiến lược của chúng ta hay chỉ hỗ trợ các quy trình phụ trợ?</w:t>
      </w:r>
    </w:p>
    <w:p>
      <w:pPr>
        <w:spacing w:after="80"/>
      </w:pPr>
      <w:r>
        <w:rPr>
          <w:b w:val="0"/>
          <w:i w:val="0"/>
        </w:rPr>
        <w:t>Như chúng ta đã thảo luận trong Chương 5, có nhiều loại quy trình công việc agentic khác nhau, từ tự động hóa tác vụ đơn giản đến các hệ thống đa quy trình phức tạp. Loại đầu tiên có sẵn rộng rãi (và thường được các nhà cung cấp SaaS cung cấp). Loại thứ hai sẽ là nguồn tạo ra sự khác biệt cạnh tranh và có khả năng sẽ đòi hỏi phải xây dựng các quy trình công việc bằng sự kết hợp giữa các agent có sẵn và agent tự xây dựng. Đi theo con đường này đòi hỏi đủ chuyên môn trong việc phát triển, tích hợp và quản lý các quy trình công việc agentic.</w:t>
      </w:r>
    </w:p>
    <w:p>
      <w:pPr>
        <w:spacing w:after="80"/>
      </w:pPr>
      <w:r>
        <w:rPr>
          <w:b w:val="0"/>
          <w:i w:val="0"/>
        </w:rPr>
        <w:t>Khi bạn cân nhắc cách xây dựng các quy trình công việc agentic này, hãy nhớ rằng bạn đang lắp ghép một tập hợp các tác vụ agent riêng biệt, được điều hành bởi các agent điều phối nhận diện ý định và gọi các tác vụ này để hoàn thành, cùng các agent tuân thủ kiểm tra tính chính xác và việc tuân thủ các rào chắn. Hệ thống này được tạo thành từ cái mà chúng ta gọi là "atomic agent" (agent nguyên tử) bởi vì mỗi agent tập trung vào một tác vụ cụ thể (chẳng hạn như điền biểu mẫu, tiếp nhận tài liệu, tóm tắt), và có thể được lắp ghép với các agent khác để hoàn thành các tác vụ và quy trình công việc phức tạp hơn.</w:t>
      </w:r>
    </w:p>
    <w:p>
      <w:pPr>
        <w:spacing w:after="80"/>
      </w:pPr>
      <w:r>
        <w:rPr>
          <w:b w:val="0"/>
          <w:i w:val="0"/>
        </w:rPr>
        <w:t>Những khả năng ở cấp độ tác vụ này thường lặp đi lặp lại nhiều lần trong các quy trình công việc xuyên suốt các miền khác nhau. Nếu được thiết kế chu đáo, những agent này có thể được tái sử dụng trong các quy trình công việc khác nhau. Cùng một agent điền biểu mẫu có thể được dùng trong mua sắm, nhân sự và bán hàng; cùng một agent tuân thủ có thể được dùng xuyên suốt các yêu cầu bồi thường và thu hồi nợ; cùng một agent tóm tắt có thể được dùng trong dịch vụ khách hàng, vận hành bán hàng và rủi ro. Hãy xem xét các khả năng agentic cần thiết cho một trường hợp sử dụng tạo tài liệu điển hình trong Triển lãm 22.4.</w:t>
      </w:r>
    </w:p>
    <w:p>
      <w:pPr>
        <w:jc w:val="center"/>
      </w:pPr>
      <w:r>
        <w:drawing>
          <wp:inline xmlns:a="http://schemas.openxmlformats.org/drawingml/2006/main" xmlns:pic="http://schemas.openxmlformats.org/drawingml/2006/picture">
            <wp:extent cx="5486400" cy="6973824"/>
            <wp:docPr id="142" name="Picture 142"/>
            <wp:cNvGraphicFramePr>
              <a:graphicFrameLocks noChangeAspect="1"/>
            </wp:cNvGraphicFramePr>
            <a:graphic>
              <a:graphicData uri="http://schemas.openxmlformats.org/drawingml/2006/picture">
                <pic:pic>
                  <pic:nvPicPr>
                    <pic:cNvPr id="0" name="c22ex004.png"/>
                    <pic:cNvPicPr/>
                  </pic:nvPicPr>
                  <pic:blipFill>
                    <a:blip r:embed="rId109"/>
                    <a:stretch>
                      <a:fillRect/>
                    </a:stretch>
                  </pic:blipFill>
                  <pic:spPr>
                    <a:xfrm>
                      <a:off x="0" y="0"/>
                      <a:ext cx="5486400" cy="6973824"/>
                    </a:xfrm>
                    <a:prstGeom prst="rect"/>
                  </pic:spPr>
                </pic:pic>
              </a:graphicData>
            </a:graphic>
          </wp:inline>
        </w:drawing>
      </w:r>
    </w:p>
    <w:p>
      <w:pPr>
        <w:spacing w:after="160"/>
        <w:jc w:val="center"/>
      </w:pPr>
      <w:r>
        <w:rPr>
          <w:rFonts w:ascii="Calibri" w:hAnsi="Calibri"/>
          <w:b w:val="0"/>
          <w:i/>
          <w:sz w:val="19"/>
        </w:rPr>
        <w:t>TRIỂN LÃM 22.4</w:t>
      </w:r>
    </w:p>
    <w:p>
      <w:pPr>
        <w:spacing w:after="80"/>
      </w:pPr>
      <w:r>
        <w:rPr>
          <w:b w:val="0"/>
          <w:i w:val="0"/>
        </w:rPr>
        <w:t>Để tăng tính hữu dụng, các tác nhân nguyên tử (atomic agents) cần sống trên một nền tảng trung tâm, nơi chúng có thể dễ dàng được tìm thấy và truy cập. Thông qua nền tảng AI, một nhóm trung tâm quản lý thư viện tác nhân, các khung đánh giá và rào chắn bảo vệ (guardrails), cùng nhiều loại lược đồ (schema) khác nhau (như theo dõi và giám sát).</w:t>
      </w:r>
    </w:p>
    <w:p>
      <w:pPr>
        <w:spacing w:after="80"/>
      </w:pPr>
      <w:r>
        <w:rPr>
          <w:b w:val="0"/>
          <w:i w:val="0"/>
        </w:rPr>
        <w:t>Hãy xem xét các nguyên tắc sau đây để dẫn dắt bạn qua quá trình ra quyết định tự xây dựng hay mua (build vs. buy) này:</w:t>
      </w:r>
    </w:p>
    <w:p>
      <w:pPr>
        <w:spacing w:after="80"/>
        <w:ind w:left="360"/>
      </w:pPr>
      <w:r>
        <w:t xml:space="preserve">1. </w:t>
      </w:r>
      <w:r>
        <w:rPr>
          <w:b/>
          <w:i w:val="0"/>
        </w:rPr>
        <w:t>Giá trị của IP:</w:t>
      </w:r>
      <w:r>
        <w:rPr>
          <w:b w:val="0"/>
          <w:i w:val="0"/>
        </w:rPr>
        <w:t xml:space="preserve"> Xác định giá trị của IP độc quyền, tùy chỉnh trong một quy trình công việc cụ thể đối với doanh nghiệp của bạn.</w:t>
      </w:r>
    </w:p>
    <w:p>
      <w:pPr>
        <w:spacing w:after="80"/>
        <w:ind w:left="360"/>
      </w:pPr>
      <w:r>
        <w:t xml:space="preserve">2. </w:t>
      </w:r>
      <w:r>
        <w:rPr>
          <w:b/>
          <w:i w:val="0"/>
        </w:rPr>
        <w:t>Tính kịp thời:</w:t>
      </w:r>
      <w:r>
        <w:rPr>
          <w:b w:val="0"/>
          <w:i w:val="0"/>
        </w:rPr>
        <w:t xml:space="preserve"> Tính đến các năng lực hiện có sẵn và dễ dàng tích hợp với các nguồn dữ liệu.</w:t>
      </w:r>
    </w:p>
    <w:p>
      <w:pPr>
        <w:spacing w:after="80"/>
        <w:ind w:left="360"/>
      </w:pPr>
      <w:r>
        <w:t xml:space="preserve">3. </w:t>
      </w:r>
      <w:r>
        <w:rPr>
          <w:b/>
          <w:i w:val="0"/>
        </w:rPr>
        <w:t>Khả năng tái sử dụng:</w:t>
      </w:r>
      <w:r>
        <w:rPr>
          <w:b w:val="0"/>
          <w:i w:val="0"/>
        </w:rPr>
        <w:t xml:space="preserve"> Hiểu rõ các phương thức phổ biến (các thành phần tác nhân) có khả năng được tái sử dụng thường xuyên và/hoặc tốn nhiều thời gian để huấn luyện lặp đi lặp lại.</w:t>
      </w:r>
    </w:p>
    <w:p>
      <w:pPr>
        <w:spacing w:after="80"/>
        <w:ind w:left="360"/>
      </w:pPr>
      <w:r>
        <w:t xml:space="preserve">4. </w:t>
      </w:r>
      <w:r>
        <w:rPr>
          <w:b/>
          <w:i w:val="0"/>
        </w:rPr>
        <w:t>Tổng chi phí sở hữu:</w:t>
      </w:r>
      <w:r>
        <w:rPr>
          <w:b w:val="0"/>
          <w:i w:val="0"/>
        </w:rPr>
        <w:t xml:space="preserve"> Nắm rõ toàn bộ chi phí dựa trên mức sử dụng để vận hành các tác nhân AI ở quy mô đầy đủ và mức độ áp dụng rộng rãi (đối với một số tác nhân copilot, chi phí hạ tầng có thể trở nên đáng kể khi mở rộng quy mô).</w:t>
      </w:r>
    </w:p>
    <w:p>
      <w:pPr>
        <w:spacing w:after="80"/>
        <w:ind w:left="360"/>
      </w:pPr>
      <w:r>
        <w:t xml:space="preserve">5. </w:t>
      </w:r>
      <w:r>
        <w:rPr>
          <w:b/>
          <w:i w:val="0"/>
        </w:rPr>
        <w:t>Khối lượng tùy chỉnh:</w:t>
      </w:r>
      <w:r>
        <w:rPr>
          <w:b w:val="0"/>
          <w:i w:val="0"/>
        </w:rPr>
        <w:t xml:space="preserve"> Hiểu rõ nhu cầu về công sức và nguồn lực để tùy chỉnh các tác nhân mã nguồn mở hoặc mua sẵn; những nhu cầu này có thể trở nên đáng kể.</w:t>
      </w:r>
    </w:p>
    <w:p>
      <w:pPr>
        <w:spacing w:after="80"/>
        <w:ind w:left="360"/>
      </w:pPr>
      <w:r>
        <w:t xml:space="preserve">6. </w:t>
      </w:r>
      <w:r>
        <w:rPr>
          <w:b/>
          <w:i w:val="0"/>
        </w:rPr>
        <w:t>Tính mô-đun:</w:t>
      </w:r>
      <w:r>
        <w:rPr>
          <w:b w:val="0"/>
          <w:i w:val="0"/>
        </w:rPr>
        <w:t xml:space="preserve"> Đánh giá xem kiến trúc của bạn có đủ tính mô-đun để cho phép hoán đổi các tác nhân và công cụ tác nhân hay không; điều này sẽ ngày càng trở nên quan trọng trước sự phát triển liên tục của các giải pháp tác nhân và các LLM nền tảng.</w:t>
      </w:r>
    </w:p>
    <w:p>
      <w:pPr>
        <w:pStyle w:val="Heading2"/>
      </w:pPr>
      <w:r>
        <w:rPr>
          <w:rFonts w:ascii="Calibri" w:hAnsi="Calibri"/>
          <w:b/>
          <w:i w:val="0"/>
          <w:sz w:val="32"/>
        </w:rPr>
        <w:t>Một kiến trúc có thể hỗ trợ nhiều nền tảng tác nhân</w:t>
      </w:r>
    </w:p>
    <w:p>
      <w:pPr>
        <w:spacing w:after="80"/>
      </w:pPr>
      <w:r>
        <w:rPr>
          <w:b w:val="0"/>
          <w:i w:val="0"/>
        </w:rPr>
        <w:t>Các tác nhân không sống biệt lập. Để hoạt động hiệu quả, chúng cần có một vị trí trong kiến trúc doanh nghiệp của bạn để có thể truy cập dữ liệu, ứng dụng và hệ thống một cách an toàn và ở quy mô lớn, cũng như giao tiếp với nhau. Hình 22.5 là kiến trúc tham chiếu của chúng tôi để tuân theo các nguyên tắc này khi xây dựng nền tảng tác nhân của bạn. Nó cho thấy cách các hệ thống và nền tảng tác nhân có thể được tích hợp vào một kiến trúc công nghệ.</w:t>
      </w:r>
    </w:p>
    <w:p>
      <w:pPr>
        <w:spacing w:after="80"/>
      </w:pPr>
      <w:r>
        <w:rPr>
          <w:b w:val="0"/>
          <w:i w:val="0"/>
        </w:rPr>
        <w:t>Ở phía trên, bạn sẽ thấy rằng kiến trúc này hỗ trợ nhiều nền tảng tác nhân, nơi lưu trữ và điều phối các tác nhân, công cụ và dữ liệu để thực hiện các nhiệm vụ và quy trình công việc.</w:t>
      </w:r>
    </w:p>
    <w:p>
      <w:pPr>
        <w:spacing w:after="80"/>
      </w:pPr>
      <w:r>
        <w:rPr>
          <w:b w:val="0"/>
          <w:i w:val="0"/>
        </w:rPr>
        <w:t>Ở phía dưới là các yếu tố hạ tầng chính. Chúng được cung cấp và cấu hình để hỗ trợ các môi trường chạy tác nhân sử dụng hạ tầng dưới dạng mã (infrastructure-as-code) với tự động hóa CI/CD nhằm đảm bảo hoạt động "mọi thứ dưới dạng mã" (everything-as-code) hoàn chỉnh.</w:t>
      </w:r>
    </w:p>
    <w:p>
      <w:pPr>
        <w:spacing w:after="80"/>
      </w:pPr>
      <w:r>
        <w:rPr>
          <w:b w:val="0"/>
          <w:i w:val="0"/>
        </w:rPr>
        <w:t>Giữa các lớp này là các dịch vụ điều phối dành riêng cho tác nhân (cung cấp khả năng kết nối liên nền tảng đồng thời đảm bảo các năng lực quản trị, bảo mật và vận hành) và các dịch vụ chia sẻ dành cho tác nhân (cung cấp quyền truy cập vào các mô hình nền tảng, các rào chắn bảo vệ AI có trách nhiệm được hỗ trợ bởi công nghệ, và các dịch vụ thường được cần đến).</w:t>
      </w:r>
    </w:p>
    <w:p>
      <w:pPr>
        <w:spacing w:after="80"/>
      </w:pPr>
      <w:r>
        <w:rPr>
          <w:b w:val="0"/>
          <w:i w:val="0"/>
        </w:rPr>
        <w:t>Giám sát kiến trúc này là cơ quan quản trị bao trùm toàn bộ hệ sinh thái tác nhân, đảm bảo các kiểm soát về ngành, quy định và tổ chức được áp dụng đúng cách, và doanh nghiệp có sự đảm bảo giá trị cho các khối lượng công việc tác nhân. Cơ quan quản trị này cũng chính là, hoặc được tích hợp chặt chẽ với, nhóm quản trị cho nền tảng AI mà chúng ta đã đề cập trong Chương 21.</w:t>
      </w:r>
    </w:p>
    <w:p>
      <w:pPr>
        <w:jc w:val="center"/>
      </w:pPr>
      <w:r>
        <w:drawing>
          <wp:inline xmlns:a="http://schemas.openxmlformats.org/drawingml/2006/main" xmlns:pic="http://schemas.openxmlformats.org/drawingml/2006/picture">
            <wp:extent cx="5486400" cy="6699805"/>
            <wp:docPr id="143" name="Picture 143"/>
            <wp:cNvGraphicFramePr>
              <a:graphicFrameLocks noChangeAspect="1"/>
            </wp:cNvGraphicFramePr>
            <a:graphic>
              <a:graphicData uri="http://schemas.openxmlformats.org/drawingml/2006/picture">
                <pic:pic>
                  <pic:nvPicPr>
                    <pic:cNvPr id="0" name="c22ex005.png"/>
                    <pic:cNvPicPr/>
                  </pic:nvPicPr>
                  <pic:blipFill>
                    <a:blip r:embed="rId110"/>
                    <a:stretch>
                      <a:fillRect/>
                    </a:stretch>
                  </pic:blipFill>
                  <pic:spPr>
                    <a:xfrm>
                      <a:off x="0" y="0"/>
                      <a:ext cx="5486400" cy="6699805"/>
                    </a:xfrm>
                    <a:prstGeom prst="rect"/>
                  </pic:spPr>
                </pic:pic>
              </a:graphicData>
            </a:graphic>
          </wp:inline>
        </w:drawing>
      </w:r>
    </w:p>
    <w:p>
      <w:pPr>
        <w:spacing w:after="160"/>
        <w:jc w:val="center"/>
      </w:pPr>
      <w:r>
        <w:rPr>
          <w:rFonts w:ascii="Calibri" w:hAnsi="Calibri"/>
          <w:b w:val="0"/>
          <w:i/>
          <w:sz w:val="19"/>
        </w:rPr>
        <w:t>HÌNH 22.5</w:t>
      </w:r>
    </w:p>
    <w:p>
      <w:pPr>
        <w:spacing w:after="80"/>
      </w:pPr>
      <w:r>
        <w:rPr>
          <w:b w:val="0"/>
          <w:i w:val="0"/>
        </w:rPr>
        <w:t>Nhiều nguyên tắc chúng tôi đã nêu bật trong chương đó vẫn áp dụng cho kiến trúc tác nhân, nhưng chúng tôi muốn nhấn mạnh một vài thực hành dành riêng cho tác nhân:</w:t>
      </w:r>
    </w:p>
    <w:p>
      <w:pPr>
        <w:spacing w:after="80"/>
        <w:ind w:left="360"/>
      </w:pPr>
      <w:r>
        <w:t xml:space="preserve">• </w:t>
      </w:r>
      <w:r>
        <w:rPr>
          <w:b/>
          <w:i w:val="0"/>
        </w:rPr>
        <w:t>Thiết kế cho một thế giới lai giữa tự xây và mua sẵn.</w:t>
      </w:r>
      <w:r>
        <w:rPr>
          <w:b w:val="0"/>
          <w:i w:val="0"/>
        </w:rPr>
        <w:t xml:space="preserve"> Hãy giả định rằng bạn sẽ có một hỗn hợp gồm các agent nội bộ, dịch vụ từ các hyperscaler (nhà cung cấp siêu quy mô) và các giải pháp điểm từ nhà cung cấp. Xác định tiêu chí rõ ràng cho việc bạn sẽ tự xây hay mua sẵn (chẳng hạn như sự khác biệt chiến lược, mức độ nhạy cảm với sở hữu trí tuệ, và thời gian ra thị trường).</w:t>
      </w:r>
    </w:p>
    <w:p>
      <w:pPr>
        <w:spacing w:after="80"/>
        <w:ind w:left="360"/>
      </w:pPr>
      <w:r>
        <w:t xml:space="preserve">• </w:t>
      </w:r>
      <w:r>
        <w:rPr>
          <w:b/>
          <w:i w:val="0"/>
        </w:rPr>
        <w:t>Tập trung vào cách các agent giao tiếp, không phải nơi chúng "cư trú".</w:t>
      </w:r>
      <w:r>
        <w:rPr>
          <w:b w:val="0"/>
          <w:i w:val="0"/>
        </w:rPr>
        <w:t xml:space="preserve"> Giảm thiểu tình trạng bị khóa chặt (lock-in) và độ phức tạp bằng cách thống nhất cách các agent giao tiếp với hệ thống và với nhau. Dùng chung các API, schema (lược đồ dữ liệu) và định dạng sự kiện cho agent, công cụ và truy cập dữ liệu. Đừng bận tâm quá nhiều về việc chúng "cư trú" ở đâu trong hệ thống. Thay vào đó, hãy đối xử với mỗi agent như một dịch vụ, với các hợp đồng (contract), SLA và cơ chế đánh phiên bản (versioning) được định nghĩa rõ ràng ngay từ ngày đầu tiên.</w:t>
      </w:r>
    </w:p>
    <w:p>
      <w:pPr>
        <w:spacing w:after="80"/>
        <w:ind w:left="360"/>
      </w:pPr>
      <w:r>
        <w:t xml:space="preserve">• </w:t>
      </w:r>
      <w:r>
        <w:rPr>
          <w:b/>
          <w:i w:val="0"/>
        </w:rPr>
        <w:t>Chia sẻ năng lực; phân tán việc xây dựng agent.</w:t>
      </w:r>
      <w:r>
        <w:rPr>
          <w:b w:val="0"/>
          <w:i w:val="0"/>
        </w:rPr>
        <w:t xml:space="preserve"> Tạo ra một tập nhỏ các năng lực tập trung, đã được kiểm chứng để mọi người có thể xây dựng dựa trên đó (ví dụ: định danh và phân quyền, thư viện prompt/chính sách, khung đánh giá, ghi log, giám sát và các kiểm soát an toàn). Cho phép các phòng ban chức năng và đơn vị kinh doanh tự xây dựng agent và quy trình làm việc (workflow) của riêng họ dựa trên những khối nền tảng này mà không phải phát minh lại từ đầu.</w:t>
      </w:r>
    </w:p>
    <w:p>
      <w:pPr>
        <w:spacing w:after="80"/>
        <w:ind w:left="360"/>
      </w:pPr>
      <w:r>
        <w:t xml:space="preserve">• </w:t>
      </w:r>
      <w:r>
        <w:rPr>
          <w:b/>
          <w:i w:val="0"/>
        </w:rPr>
        <w:t>Ưu tiên chất lượng ngữ cảnh.</w:t>
      </w:r>
      <w:r>
        <w:rPr>
          <w:b w:val="0"/>
          <w:i w:val="0"/>
        </w:rPr>
        <w:t xml:space="preserve"> Trong nhiều hệ thống agent, hiệu năng bị giới hạn ít bởi mô hình nền tảng mà nhiều hơn bởi cách ngữ cảnh được xây dựng, bao gồm truy xuất (retrieval), đầu ra của công cụ và việc neo dữ liệu (grounding). Thêm nhiều token hiếm khi giúp ích khi ngữ cảnh bị nhiễu, trùng lặp hoặc yếu. Cách tiếp cận tốt hơn là cải thiện logic quyết định thông tin nào cần lấy, cách xếp hạng và nén thông tin đó, và cách các kiểm soát truy cập, nguồn gốc dữ liệu (lineage) và kiểm tra chất lượng dữ liệu được thực thi khi agent truy xuất và sử dụng thông tin.</w:t>
      </w:r>
    </w:p>
    <w:p>
      <w:pPr>
        <w:jc w:val="center"/>
      </w:pPr>
      <w:r>
        <w:drawing>
          <wp:inline xmlns:a="http://schemas.openxmlformats.org/drawingml/2006/main" xmlns:pic="http://schemas.openxmlformats.org/drawingml/2006/picture">
            <wp:extent cx="1905000" cy="95250"/>
            <wp:docPr id="144" name="Picture 144"/>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Chúng ta đang ở khởi đầu của một kỷ nguyên agentic đầy hứng khởi, nơi những mô hình kinh doanh được tái tưởng tượng có thể trở thành hiện thực nhờ tái thiết kế quy trình kinh doanh. Cốt lõi của điều đó là AI engineering (kỹ thuật AI), một năng lực bao hàm cả kỹ năng kỹ thuật lẫn sự nhạy bén chiến lược. Các công ty muốn phát triển hưng thịnh trong kỷ nguyên này sẽ phải xây dựng và mài giũa kỹ năng AI engineering của mình.</w:t>
      </w:r>
    </w:p>
    <w:p>
      <w:pPr>
        <w:pStyle w:val="Heading2"/>
      </w:pPr>
      <w:r>
        <w:rPr>
          <w:rFonts w:ascii="Calibri" w:hAnsi="Calibri"/>
          <w:b/>
          <w:i w:val="0"/>
          <w:sz w:val="32"/>
        </w:rPr>
        <w:t>Những câu hỏi quan trọng</w:t>
      </w:r>
    </w:p>
    <w:p>
      <w:pPr>
        <w:spacing w:after="80"/>
      </w:pPr>
      <w:r>
        <w:rPr>
          <w:b w:val="0"/>
          <w:i w:val="0"/>
        </w:rPr>
        <w:t>Khi phát triển các năng lực agentic của mình, bạn cần đảm bảo rằng mình đang đi trên con đường tối đa hóa hiệu quả và tối thiểu hóa rủi ro. Hãy cân nhắc đặt những câu hỏi này cho các nhà lãnh đạo kinh doanh và công nghệ của bạn: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Q1:</w:t>
            </w:r>
          </w:p>
        </w:tc>
        <w:tc>
          <w:tcPr>
            <w:tcW w:type="dxa" w:w="4680"/>
          </w:tcPr>
          <w:p>
            <w:r/>
            <w:r>
              <w:rPr>
                <w:b w:val="0"/>
                <w:i w:val="0"/>
                <w:sz w:val="19"/>
              </w:rPr>
              <w:t>Liệu chúng ta có rõ ràng về việc trong các quy trình làm việc của mình, chỗ nào sẽ dùng agent hoàn toàn tự chủ so với chỗ nào là sự cộng tác do con người dẫn dắt, có agent hỗ trợ?</w:t>
            </w:r>
          </w:p>
        </w:tc>
      </w:tr>
      <w:tr>
        <w:tc>
          <w:tcPr>
            <w:tcW w:type="dxa" w:w="4680"/>
          </w:tcPr>
          <w:p>
            <w:r/>
            <w:r>
              <w:rPr>
                <w:b/>
                <w:i w:val="0"/>
                <w:sz w:val="19"/>
              </w:rPr>
              <w:t>Q2:</w:t>
            </w:r>
          </w:p>
        </w:tc>
        <w:tc>
          <w:tcPr>
            <w:tcW w:type="dxa" w:w="4680"/>
          </w:tcPr>
          <w:p>
            <w:r/>
            <w:r>
              <w:rPr>
                <w:b w:val="0"/>
                <w:i w:val="0"/>
                <w:sz w:val="19"/>
              </w:rPr>
              <w:t>Cách tiếp cận kiểm thử và lặp của chúng ta để xây dựng các rào chắn (guardrail) cần thiết cho hiệu năng agent an toàn, có thể dự đoán được là gì?</w:t>
            </w:r>
          </w:p>
        </w:tc>
      </w:tr>
      <w:tr>
        <w:tc>
          <w:tcPr>
            <w:tcW w:type="dxa" w:w="4680"/>
          </w:tcPr>
          <w:p>
            <w:r/>
            <w:r>
              <w:rPr>
                <w:b/>
                <w:i w:val="0"/>
                <w:sz w:val="19"/>
              </w:rPr>
              <w:t>Q3:</w:t>
            </w:r>
          </w:p>
        </w:tc>
        <w:tc>
          <w:tcPr>
            <w:tcW w:type="dxa" w:w="4680"/>
          </w:tcPr>
          <w:p>
            <w:r/>
            <w:r>
              <w:rPr>
                <w:b w:val="0"/>
                <w:i w:val="0"/>
                <w:sz w:val="19"/>
              </w:rPr>
              <w:t>Tỷ lệ AI agent của chúng ta có thể tái sử dụng là bao nhiêu, và chúng có đang được tái sử dụng không?</w:t>
            </w:r>
          </w:p>
        </w:tc>
      </w:tr>
      <w:tr>
        <w:tc>
          <w:tcPr>
            <w:tcW w:type="dxa" w:w="4680"/>
          </w:tcPr>
          <w:p>
            <w:r/>
            <w:r>
              <w:rPr>
                <w:b/>
                <w:i w:val="0"/>
                <w:sz w:val="19"/>
              </w:rPr>
              <w:t>Q4:</w:t>
            </w:r>
          </w:p>
        </w:tc>
        <w:tc>
          <w:tcPr>
            <w:tcW w:type="dxa" w:w="4680"/>
          </w:tcPr>
          <w:p>
            <w:r/>
            <w:r>
              <w:rPr>
                <w:b w:val="0"/>
                <w:i w:val="0"/>
                <w:sz w:val="19"/>
              </w:rPr>
              <w:t>Liệu chúng ta có đủ kỹ năng nội bộ cần thiết để lắp ghép tập hợp các năng lực agentic phục vụ việc xây dựng các quy trình làm việc ưu tiên của mình không?</w:t>
            </w:r>
          </w:p>
        </w:tc>
      </w:tr>
    </w:tbl>
    <w:p>
      <w:pPr>
        <w:spacing w:after="0"/>
      </w:pPr>
    </w:p>
    <w:p>
      <w:pPr>
        <w:pStyle w:val="Heading2"/>
      </w:pPr>
      <w:r>
        <w:rPr>
          <w:rFonts w:ascii="Calibri" w:hAnsi="Calibri"/>
          <w:b/>
          <w:i w:val="0"/>
          <w:sz w:val="32"/>
        </w:rPr>
        <w:t>Ghi chú</w:t>
      </w:r>
    </w:p>
    <w:p>
      <w:pPr>
        <w:spacing w:after="80"/>
        <w:ind w:left="360"/>
      </w:pPr>
      <w:r>
        <w:t xml:space="preserve">1. </w:t>
      </w:r>
      <w:r>
        <w:rPr>
          <w:b w:val="0"/>
          <w:i w:val="0"/>
        </w:rPr>
        <w:t>1   Mô hình nền tảng (foundation model) là tên gọi cho nhóm mô hình AI đa dụng rộng lớn hơn, có thể được điều chỉnh cho nhiều tác vụ khác nhau, như ngôn ngữ, thị giác và giọng nói, chỉ với một chút huấn luyện bổ sung tối thiểu.</w:t>
      </w:r>
    </w:p>
    <w:p>
      <w:pPr>
        <w:spacing w:after="80"/>
        <w:ind w:left="360"/>
      </w:pPr>
      <w:r>
        <w:t xml:space="preserve">2. </w:t>
      </w:r>
      <w:r>
        <w:rPr>
          <w:b w:val="0"/>
          <w:i w:val="0"/>
        </w:rPr>
        <w:t>2   “OWASP Top 10 cho các ứng dụng Mô hình Ngôn ngữ Lớn,” Dự án Bảo mật Ứng dụng Mở Toàn cầu (OWASP).</w:t>
      </w:r>
    </w:p>
    <w:p>
      <w:pPr>
        <w:pStyle w:val="Heading2"/>
      </w:pPr>
      <w:r>
        <w:rPr>
          <w:rFonts w:ascii="Calibri" w:hAnsi="Calibri"/>
          <w:b/>
          <w:i/>
          <w:sz w:val="32"/>
        </w:rPr>
        <w:t>“Không ai tránh được việc già đi, nhưng già đi một cách hữu ích lại là chuyện khác.”</w:t>
      </w:r>
    </w:p>
    <w:p>
      <w:pPr>
        <w:spacing w:after="80"/>
      </w:pPr>
      <w:r>
        <w:rPr>
          <w:b/>
          <w:i w:val="0"/>
        </w:rPr>
        <w:t>— Katherine Graham</w:t>
      </w:r>
    </w:p>
    <w:p>
      <w:pPr>
        <w:pStyle w:val="Heading1"/>
      </w:pPr>
      <w:r>
        <w:rPr>
          <w:rFonts w:ascii="Calibri" w:hAnsi="Calibri"/>
          <w:b/>
          <w:i w:val="0"/>
          <w:sz w:val="40"/>
        </w:rPr>
        <w:t>CHƯƠNG 23</w:t>
      </w:r>
      <w:r>
        <w:rPr>
          <w:rFonts w:ascii="Calibri" w:hAnsi="Calibri"/>
          <w:b/>
          <w:i w:val="0"/>
          <w:sz w:val="40"/>
        </w:rPr>
      </w:r>
      <w:r>
        <w:rPr>
          <w:rFonts w:ascii="Calibri" w:hAnsi="Calibri"/>
          <w:b/>
          <w:i w:val="0"/>
          <w:sz w:val="40"/>
        </w:rPr>
        <w:t>Một cách tiếp cận chính xác hơn để hiện đại hóa các hệ thống cốt lõi</w:t>
      </w:r>
    </w:p>
    <w:p>
      <w:pPr>
        <w:spacing w:after="80"/>
      </w:pPr>
      <w:r>
        <w:rPr>
          <w:b w:val="0"/>
          <w:i w:val="0"/>
        </w:rPr>
        <w:t>“Liệu chúng ta có cần thay thế ERP trước khi có thể nghiêm túc với AI không?” Đây là câu hỏi mà chúng tôi nghe suốt, thường được đặt ra bởi một CEO đang háo hức dẫn dắt chuyển đổi kinh doanh bằng AI nhưng lại cảm thấy bị giam cầm bởi các hệ thống cũ. Nỗi lo này là thật—và hoàn toàn chính đáng. Nhưng câu trả lời, giống như rất nhiều câu hỏi khác trong chuyển đổi kinh doanh, còn tùy vào bối cảnh.</w:t>
      </w:r>
    </w:p>
    <w:p>
      <w:pPr>
        <w:pStyle w:val="Heading2"/>
      </w:pPr>
      <w:r>
        <w:rPr>
          <w:rFonts w:ascii="Calibri" w:hAnsi="Calibri"/>
          <w:b/>
          <w:i w:val="0"/>
          <w:sz w:val="32"/>
        </w:rPr>
        <w:t>Những câu hỏi kinh doanh mà chương này sẽ giúp bạn trả lời</w:t>
      </w:r>
    </w:p>
    <w:p>
      <w:pPr>
        <w:spacing w:after="80"/>
        <w:ind w:left="360"/>
      </w:pPr>
      <w:r>
        <w:t xml:space="preserve">• </w:t>
      </w:r>
      <w:r>
        <w:rPr>
          <w:b w:val="0"/>
          <w:i w:val="0"/>
        </w:rPr>
        <w:t>Những khía cạnh nào trong hoạt động kinh doanh của bạn đang bị cản trở bởi các hệ thống cũ?</w:t>
      </w:r>
    </w:p>
    <w:p>
      <w:pPr>
        <w:spacing w:after="80"/>
        <w:ind w:left="360"/>
      </w:pPr>
      <w:r>
        <w:t xml:space="preserve">• </w:t>
      </w:r>
      <w:r>
        <w:rPr>
          <w:b w:val="0"/>
          <w:i w:val="0"/>
        </w:rPr>
        <w:t>Việc hiện đại hóa hệ thống cốt lõi của bạn có được sắp xếp theo trình tự để tối đa hóa giá trị kinh doanh không?</w:t>
      </w:r>
    </w:p>
    <w:p>
      <w:pPr>
        <w:spacing w:after="80"/>
        <w:ind w:left="360"/>
      </w:pPr>
      <w:r>
        <w:t xml:space="preserve">• </w:t>
      </w:r>
      <w:r>
        <w:rPr>
          <w:b w:val="0"/>
          <w:i w:val="0"/>
        </w:rPr>
        <w:t>Những rủi ro về khả năng phục hồi của bạn là gì và chúng có thể ảnh hưởng đến hiệu quả kinh doanh như thế nào?</w:t>
      </w:r>
    </w:p>
    <w:p>
      <w:pPr>
        <w:spacing w:after="80"/>
        <w:ind w:left="360"/>
      </w:pPr>
      <w:r>
        <w:t xml:space="preserve">• </w:t>
      </w:r>
      <w:r>
        <w:rPr>
          <w:b w:val="0"/>
          <w:i w:val="0"/>
        </w:rPr>
        <w:t>Bạn đã tối ưu hóa việc sử dụng đám mây một cách có hệ thống để giảm chi phí hạ tầng chưa?</w:t>
      </w:r>
    </w:p>
    <w:p>
      <w:pPr>
        <w:spacing w:after="80"/>
      </w:pPr>
      <w:r>
        <w:rPr>
          <w:b w:val="0"/>
          <w:i w:val="0"/>
        </w:rPr>
        <w:t>Trong chương này, chúng ta sẽ mổ xẻ những quyết định chiến lược nằm ở giao điểm giữa hiện đại hóa hệ thống cốt lõi và chuyển đổi kinh doanh bằng AI. Chúng ta sẽ khám phá điều gì cần được hiện đại hóa, khi nào, và làm thế nào để sắp xếp trình tự các khoản đầu tư đó nhằm tối đa hóa tác động kinh doanh.</w:t>
      </w:r>
    </w:p>
    <w:p>
      <w:pPr>
        <w:pStyle w:val="Heading2"/>
      </w:pPr>
      <w:r>
        <w:rPr>
          <w:rFonts w:ascii="Calibri" w:hAnsi="Calibri"/>
          <w:b/>
          <w:i w:val="0"/>
          <w:sz w:val="32"/>
        </w:rPr>
        <w:t>Sự lựa chọn sai lầm: Hiện đại hóa trước hay đổi mới nhanh chóng</w:t>
      </w:r>
    </w:p>
    <w:p>
      <w:pPr>
        <w:spacing w:after="80"/>
      </w:pPr>
      <w:r>
        <w:rPr>
          <w:b w:val="0"/>
          <w:i w:val="0"/>
        </w:rPr>
        <w:t>Một số công ty khăng khăng rằng bạn phải loại bỏ và thay thế cả một mớ hỗn độn các hệ thống lỗi thời (ERP, CRM, SCM, HCM, MES, v.v.) trước khi có thể làm bất cứ điều gì ý nghĩa với AI. Những người khác lại thúc đẩy đổi mới ở rìa—tung ra các ứng dụng mới, thử nghiệm và sáng kiến AI—trong khi để nguyên các hệ thống cũ.</w:t>
      </w:r>
    </w:p>
    <w:p>
      <w:pPr>
        <w:spacing w:after="80"/>
      </w:pPr>
      <w:r>
        <w:rPr>
          <w:b w:val="0"/>
          <w:i w:val="0"/>
        </w:rPr>
        <w:t>Cả hai thái cực đều bỏ lỡ vấn đề.</w:t>
      </w:r>
    </w:p>
    <w:p>
      <w:pPr>
        <w:spacing w:after="80"/>
      </w:pPr>
      <w:r>
        <w:rPr>
          <w:b/>
          <w:i/>
        </w:rPr>
        <w:t>Những tổ chức thành công nhất đạt được sự cân bằng. Họ đầu tư một cách chính xác vào việc hiện đại hóa các hệ thống cốt lõi khi cần thiết, nhưng họ không chờ đợi để “hoàn thành xong phần đường ống” trước khi tạo ra giá trị. Thay vào đó, họ hiện đại hóa những gì cần thiết để mở khóa và tăng tốc việc áp dụng AI</w:t>
      </w:r>
      <w:r>
        <w:rPr>
          <w:b/>
          <w:i w:val="0"/>
        </w:rPr>
        <w:t>.</w:t>
      </w:r>
    </w:p>
    <w:p>
      <w:pPr>
        <w:spacing w:after="80"/>
      </w:pPr>
      <w:r>
        <w:rPr>
          <w:b w:val="0"/>
          <w:i w:val="0"/>
        </w:rPr>
        <w:t>Điều quan trọng nhất của việc hiện đại hóa các hệ thống cốt lõi là khi chúng:</w:t>
      </w:r>
    </w:p>
    <w:p>
      <w:pPr>
        <w:spacing w:after="80"/>
        <w:ind w:left="360"/>
      </w:pPr>
      <w:r>
        <w:t xml:space="preserve">• </w:t>
      </w:r>
      <w:r>
        <w:rPr>
          <w:b/>
          <w:i w:val="0"/>
        </w:rPr>
        <w:t>Ngăn cản quyền truy cập vào dữ liệu thời gian thực hoặc dữ liệu chi tiết cần thiết cho AI.</w:t>
      </w:r>
      <w:r>
        <w:rPr>
          <w:b w:val="0"/>
          <w:i w:val="0"/>
        </w:rPr>
        <w:t xml:space="preserve"> Ví dụ, một khách sạn không thể đề xuất phòng trống tốt nhất cho khách vì hệ thống đặt phòng chỉ cập nhật vài giờ một lần, chứ không phải tức thì.</w:t>
      </w:r>
    </w:p>
    <w:p>
      <w:pPr>
        <w:spacing w:after="80"/>
        <w:ind w:left="360"/>
      </w:pPr>
      <w:r>
        <w:t xml:space="preserve">• </w:t>
      </w:r>
      <w:r>
        <w:rPr>
          <w:b/>
          <w:i w:val="0"/>
        </w:rPr>
        <w:t>Ép logic nghiệp vụ vào các quy trình làm việc được mã hóa cứng.</w:t>
      </w:r>
      <w:r>
        <w:rPr>
          <w:b w:val="0"/>
          <w:i w:val="0"/>
        </w:rPr>
        <w:t xml:space="preserve"> Ví dụ, một ngân hàng muốn thay đổi quy tắc phê duyệt khoản vay cần hàng tuần lập trình thay vì chỉ cập nhật một cài đặt đơn giản.</w:t>
      </w:r>
    </w:p>
    <w:p>
      <w:pPr>
        <w:spacing w:after="80"/>
        <w:ind w:left="360"/>
      </w:pPr>
      <w:r>
        <w:t xml:space="preserve">• </w:t>
      </w:r>
      <w:r>
        <w:rPr>
          <w:b/>
          <w:i w:val="0"/>
        </w:rPr>
        <w:t>Chống lại việc tích hợp với API hoặc kiến trúc hướng sự kiện.</w:t>
      </w:r>
      <w:r>
        <w:rPr>
          <w:b w:val="0"/>
          <w:i w:val="0"/>
        </w:rPr>
        <w:t xml:space="preserve"> Ví dụ, một công ty logistics không thể hiển thị cho khách hàng theo dõi gói hàng theo thời gian thực vì hệ thống cũ của họ không thể gửi hoặc nhận cập nhật trực tiếp.</w:t>
      </w:r>
    </w:p>
    <w:p>
      <w:pPr>
        <w:spacing w:after="80"/>
        <w:ind w:left="360"/>
      </w:pPr>
      <w:r>
        <w:t xml:space="preserve">• </w:t>
      </w:r>
      <w:r>
        <w:rPr>
          <w:b/>
          <w:i w:val="0"/>
        </w:rPr>
        <w:t>Tăng độ trễ hoặc sự mong manh cho trải nghiệm của khách hàng hoặc người dùng.</w:t>
      </w:r>
      <w:r>
        <w:rPr>
          <w:b w:val="0"/>
          <w:i w:val="0"/>
        </w:rPr>
        <w:t xml:space="preserve"> Ví dụ, một nhân viên tổng đài phải chờ mười giây để tải hồ sơ khách hàng vì hệ thống gặp khó khăn trong giờ cao điểm.</w:t>
      </w:r>
    </w:p>
    <w:p>
      <w:pPr>
        <w:spacing w:after="80"/>
      </w:pPr>
      <w:r>
        <w:rPr>
          <w:b w:val="0"/>
          <w:i w:val="0"/>
        </w:rPr>
        <w:t>Nhưng hiện đại hóa không phải lúc nào cũng là điều kiện tiên quyết. Các công ty hàng đầu xây dựng các lớp—API, microservices (dịch vụ vi mô) và nền tảng dữ liệu—giữa hệ thống cốt lõi và các ứng dụng dựa trên Công nghệ &amp; AI, cho phép đổi mới tiến triển ngay cả khi các hệ thống cũ vẫn còn nguyên vẹn hoặc được hiện đại hóa song song.</w:t>
      </w:r>
    </w:p>
    <w:p>
      <w:pPr>
        <w:spacing w:after="80"/>
      </w:pPr>
      <w:r>
        <w:rPr>
          <w:b w:val="0"/>
          <w:i w:val="0"/>
        </w:rPr>
        <w:t>Câu hỏi của bạn không nên là: "Chúng ta có nên hiện đại hóa trước không?" Mà nên là: "Hệ thống cũ đang chủ động cản trở những ưu tiên chuyển đổi kinh doanh bằng AI của chúng ta ở đâu?" Hãy cùng khám phá cách trả lời câu hỏi đó.</w:t>
      </w:r>
    </w:p>
    <w:p>
      <w:pPr>
        <w:pStyle w:val="Heading2"/>
      </w:pPr>
      <w:r>
        <w:rPr>
          <w:rFonts w:ascii="Calibri" w:hAnsi="Calibri"/>
          <w:b/>
          <w:i w:val="0"/>
          <w:sz w:val="32"/>
        </w:rPr>
        <w:t>Lộ trình hiện đại hóa CNTT để hỗ trợ chuyển đổi Công nghệ &amp; AI</w:t>
      </w:r>
    </w:p>
    <w:p>
      <w:pPr>
        <w:spacing w:after="80"/>
      </w:pPr>
      <w:r>
        <w:rPr>
          <w:b w:val="0"/>
          <w:i w:val="0"/>
        </w:rPr>
        <w:t>Giả sử bạn đã xác định được những điểm ma sát quan trọng nơi hệ thống cốt lõi ngăn bạn tận dụng các khả năng của AI. Vậy làm thế nào để bạn tiến lên mà không rơi vào cái bẫy của một cuộc hiện đại hóa "big bang" (đại nhảy vọt) kéo dài nhiều năm và hao tổn ngân sách?</w:t>
      </w:r>
    </w:p>
    <w:p>
      <w:pPr>
        <w:jc w:val="center"/>
      </w:pPr>
      <w:r>
        <w:drawing>
          <wp:inline xmlns:a="http://schemas.openxmlformats.org/drawingml/2006/main" xmlns:pic="http://schemas.openxmlformats.org/drawingml/2006/picture">
            <wp:extent cx="457200" cy="447675"/>
            <wp:docPr id="145" name="Picture 145"/>
            <wp:cNvGraphicFramePr>
              <a:graphicFrameLocks noChangeAspect="1"/>
            </wp:cNvGraphicFramePr>
            <a:graphic>
              <a:graphicData uri="http://schemas.openxmlformats.org/drawingml/2006/picture">
                <pic:pic>
                  <pic:nvPicPr>
                    <pic:cNvPr id="0" name="CASE_STUDY_red.png"/>
                    <pic:cNvPicPr/>
                  </pic:nvPicPr>
                  <pic:blipFill>
                    <a:blip r:embed="rId101"/>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'Tháp điều khiển': Itaú đã hiện đại hóa công nghệ của mình như thế nào</w:t>
      </w:r>
    </w:p>
    <w:p>
      <w:pPr>
        <w:spacing w:after="80"/>
      </w:pPr>
      <w:r>
        <w:rPr>
          <w:b w:val="0"/>
          <w:i w:val="0"/>
        </w:rPr>
        <w:t>Năm 2018, Itaú, ngân hàng lớn nhất ở Mỹ Latinh, quyết định muốn trở thành công ty dịch vụ tài chính lấy khách hàng làm trung tâm nhất trên thế giới. Để đạt được mục tiêu này, Itaú đã bắt tay vào một cuộc chuyển đổi văn hóa và kỹ thuật số toàn diện, bao gồm hiện đại hóa toàn bộ môi trường công nghệ cũ—bao gồm mô hình vận hành, cách tiếp cận dữ liệu và nhân tài, và cách họ xây dựng sản phẩm.</w:t>
      </w:r>
    </w:p>
    <w:p>
      <w:pPr>
        <w:spacing w:after="80"/>
      </w:pPr>
      <w:r>
        <w:rPr>
          <w:b w:val="0"/>
          <w:i w:val="0"/>
        </w:rPr>
        <w:t>Đây là một dự án khổng lồ trải rộng 30.000 nhân viên, 2.400 ứng dụng và 100 tribe (nhóm) phục vụ hơn 70 triệu khách hàng trên tất cả các phân khúc ngân hàng. Để giữ cho các nhóm đi đúng hướng—và tập trung vào giá trị—Itaú đã đưa ra một quyết định quan trọng bằng cách thiết lập cái mà họ gọi là "tháp điều khiển". Một tháp điều khiển là một nhóm do một giám đốc điều hành kỳ cựu lãnh đạo, người điều phối tất cả các yếu tố trong phạm vi của cuộc chuyển đổi.</w:t>
      </w:r>
    </w:p>
    <w:p>
      <w:pPr>
        <w:spacing w:after="80"/>
      </w:pPr>
      <w:r>
        <w:rPr>
          <w:b w:val="0"/>
          <w:i w:val="0"/>
        </w:rPr>
        <w:t>Nhiệm vụ của tháp điều khiển bao gồm đảm bảo sự liên kết của các mặt trận công việc khác nhau với các mục tiêu cụ thể, điều phối các hoạt động chuyển đổi, hệ thống hóa các bài học, và dẫn dắt các làn sóng mở rộng quy mô khắp tổ chức. Mỗi tháp điều khiển đảm bảo cuộc chuyển đổi kết hợp các đổi mới quan trọng để cho phép mở rộng quy mô, bao gồm tạo ra các tài sản có thể tái sử dụng (ví dụ: playbook (sổ tay hướng dẫn), nền tảng, dashboard (bảng điều khiển)) để đảm bảo việc nhân rộng dễ dàng mọi giải pháp.</w:t>
      </w:r>
    </w:p>
    <w:p>
      <w:pPr>
        <w:spacing w:after="80"/>
      </w:pPr>
      <w:r>
        <w:rPr>
          <w:b w:val="0"/>
          <w:i w:val="0"/>
        </w:rPr>
        <w:t>Bằng cách cung cấp các góc nhìn rõ ràng và dễ tiếp cận về các hoạt động lập kế hoạch, xây dựng và di chuyển, nhóm tháp điều khiển cho phép các nhà lãnh đạo và các bên liên quan thấy chính xác tình hình đang ở đâu. Với góc nhìn này, họ có thể xác định trình tự tối ưu của các khả năng nền tảng chính cần được hiện đại hóa.</w:t>
      </w:r>
    </w:p>
    <w:p>
      <w:pPr>
        <w:spacing w:after="80"/>
      </w:pPr>
      <w:r>
        <w:rPr>
          <w:b w:val="0"/>
          <w:i w:val="0"/>
        </w:rPr>
        <w:t>Để theo dõi tập hợp rộng lớn các thay đổi đang diễn ra, Itaú đã thiết lập các heat map (bản đồ nhiệt) và dashboard OKR để theo dõi các khoản đầu tư hiện đại hóa và kết quả trong từng lĩnh vực. Các QBR rất quan trọng để ban lãnh đạo duy trì đà tiến và đảm bảo rằng các chuyển đổi lĩnh vực đang chuyển hóa thành giá trị mà họ đã xác định.</w:t>
      </w:r>
    </w:p>
    <w:p>
      <w:pPr>
        <w:spacing w:after="80"/>
      </w:pPr>
      <w:r>
        <w:rPr>
          <w:b w:val="0"/>
          <w:i w:val="0"/>
        </w:rPr>
        <w:t>Nỗ lực tập trung này đã mang lại kết quả. Khoảng 70% dịch vụ ngân hàng của Itaú đã được hiện đại hóa vào cuối năm 2025, giúp việc triển khai các tính năng mới tăng hơn 2.000%, và ngân hàng này đang trên đà hoàn tất việc hiện đại hóa 100% hệ thống cũ của mình vào năm 2028. Trong khi đó, chi phí giao dịch đã giảm hơn 40% và số sự cố ảnh hưởng đến khả năng phục hồi hệ thống tác động tới khách hàng đã giảm 99%.</w:t>
      </w:r>
    </w:p>
    <w:p>
      <w:pPr>
        <w:spacing w:after="80"/>
      </w:pPr>
      <w:r>
        <w:rPr>
          <w:b w:val="0"/>
          <w:i w:val="0"/>
        </w:rPr>
        <w:t>Việc hiện đại hóa công nghệ cũng đã mang lại cho Itaú một nền tảng vững chắc để tiếp tục mở rộng quy mô. Ngân hàng đã phát triển một nền tảng số mới phục vụ tất cả khách hàng bán lẻ, một mảng kinh doanh thanh toán mới qua WhatsApp được hỗ trợ bởi GenAI, và một cố vấn tài chính số được hỗ trợ bởi GenAI. Ngân hàng cũng đã ra mắt dịch vụ tư vấn quản lý tài chính được hỗ trợ bởi GenAI, được thiết kế riêng để hỗ trợ các doanh nghiệp vừa và nhỏ.</w:t>
      </w:r>
    </w:p>
    <w:p>
      <w:pPr>
        <w:spacing w:after="80"/>
      </w:pPr>
      <w:r>
        <w:rPr>
          <w:b w:val="0"/>
          <w:i w:val="0"/>
        </w:rPr>
        <w:t>Quá trình chuyển đổi không ngừng này đã là yếu tố then chốt thúc đẩy kết quả của Itaú, với ROE tăng từ 14,5% năm 2020 lên 22,5% năm 2025, mức độ hài lòng của khách hàng trong lĩnh vực ngân hàng bán lẻ tăng từ 70 lên 85, và tỷ lệ hiệu quả cải thiện từ 47,1% lên hơn 37,5%. Itaú hiện được xếp hạng nhất quán là thương hiệu giá trị nhất ở Nam Mỹ và là chuẩn mực về trải nghiệm khách hàng. Năm 2024, Itaú được công nhận là ngân hàng đổi mới sáng tạo nhất Brazil.</w:t>
      </w:r>
    </w:p>
    <w:p>
      <w:pPr>
        <w:spacing w:after="80"/>
      </w:pPr>
      <w:r>
        <w:rPr>
          <w:b w:val="0"/>
          <w:i w:val="0"/>
        </w:rPr>
        <w:t>Đây là một trình tự mà chúng tôi khuyến nghị:</w:t>
      </w:r>
    </w:p>
    <w:p>
      <w:pPr>
        <w:spacing w:after="80"/>
        <w:ind w:left="360"/>
      </w:pPr>
      <w:r>
        <w:t xml:space="preserve">1. </w:t>
      </w:r>
      <w:r>
        <w:rPr>
          <w:b/>
          <w:i w:val="0"/>
        </w:rPr>
        <w:t>Chẩn đoán nơi đang có nỗi đau.</w:t>
      </w:r>
      <w:r>
        <w:rPr>
          <w:b w:val="0"/>
          <w:i w:val="0"/>
        </w:rPr>
        <w:t xml:space="preserve"> Hãy xem lại các lộ trình chuyển đổi lĩnh vực của bạn để xác định nơi các hệ thống cũ đang kìm hãm bạn. Đừng chỉ tìm kiếm sự lỗi thời về mặt kỹ thuật—hãy tìm nơi mà sự linh hoạt trong kinh doanh bị hạn chế hoặc trở nên bất khả thi bởi các hệ thống lõi.</w:t>
      </w:r>
    </w:p>
    <w:p>
      <w:pPr>
        <w:spacing w:after="80"/>
        <w:ind w:left="360"/>
      </w:pPr>
      <w:r>
        <w:t xml:space="preserve">2. </w:t>
      </w:r>
      <w:r>
        <w:rPr>
          <w:b/>
          <w:i w:val="0"/>
        </w:rPr>
        <w:t>Gắn kết hiện đại hóa với các mục tiêu kinh doanh.</w:t>
      </w:r>
      <w:r>
        <w:rPr>
          <w:b w:val="0"/>
          <w:i w:val="0"/>
        </w:rPr>
        <w:t xml:space="preserve"> Hãy gắn mỗi sáng kiến hiện đại hóa với một mục tiêu kinh doanh cụ thể trong lộ trình của bạn. Sau đó xác định một kết quả hữu hình khi khắc phục được nó: thời gian chu kỳ nhanh hơn, tỷ lệ chuyển đổi cao hơn, giảm việc làm lại thủ công, hoặc đơn giản là chi phí bảo trì thấp hơn. Nếu không có sự liên kết này, việc hiện đại hóa sẽ trở thành một khoản chi phí chìm.</w:t>
      </w:r>
    </w:p>
    <w:p>
      <w:pPr>
        <w:spacing w:after="80"/>
        <w:ind w:left="360"/>
      </w:pPr>
      <w:r>
        <w:t xml:space="preserve">3. </w:t>
      </w:r>
      <w:r>
        <w:rPr>
          <w:b/>
          <w:i w:val="0"/>
        </w:rPr>
        <w:t>Thiết kế một chiến lược kiến trúc lai.</w:t>
      </w:r>
      <w:r>
        <w:rPr>
          <w:b w:val="0"/>
          <w:i w:val="0"/>
        </w:rPr>
        <w:t xml:space="preserve"> Đừng nhắm đến sự thuần khiết. Hãy sử dụng phương pháp "strangler fig" (cây si bóp nghẹt)—bao quanh hệ thống cũ bằng các dịch vụ mô-đun và dần dần chuyển chức năng sang chúng. Xây dựng các dịch vụ cloud-native cùng tồn tại với các hệ thống lõi tại chỗ (on-premises). Hãy để giá trị kinh doanh kéo việc hiện đại hóa tiến lên.</w:t>
      </w:r>
    </w:p>
    <w:p>
      <w:pPr>
        <w:spacing w:after="80"/>
        <w:ind w:left="360"/>
      </w:pPr>
      <w:r>
        <w:t xml:space="preserve">4. </w:t>
      </w:r>
      <w:r>
        <w:rPr>
          <w:b/>
          <w:i w:val="0"/>
        </w:rPr>
        <w:t>Xây dựng một lớp dữ liệu thống nhất và dễ truy cập.</w:t>
      </w:r>
      <w:r>
        <w:rPr>
          <w:b w:val="0"/>
          <w:i w:val="0"/>
        </w:rPr>
        <w:t xml:space="preserve"> Để AI phát triển mạnh, doanh nghiệp của bạn cần một nền tảng dữ liệu nhất quán, được quản trị và kịp thời. Điều này thường có nghĩa là hiện đại hóa kiến trúc dữ liệu của bạn trước các ứng dụng. Nhưng ngay cả khi đã có dữ liệu, một can thiệp có trọng tâm vẫn là cần thiết. Điều này được đề cập trong Mục Năm.</w:t>
      </w:r>
    </w:p>
    <w:p>
      <w:pPr>
        <w:spacing w:after="80"/>
        <w:ind w:left="360"/>
      </w:pPr>
      <w:r>
        <w:t xml:space="preserve">5. </w:t>
      </w:r>
      <w:r>
        <w:rPr>
          <w:b/>
          <w:i w:val="0"/>
        </w:rPr>
        <w:t>Làm cho những điều cơ bản trở nên dễ truy cập.</w:t>
      </w:r>
      <w:r>
        <w:rPr>
          <w:b w:val="0"/>
          <w:i w:val="0"/>
        </w:rPr>
        <w:t xml:space="preserve"> Hãy lấy những yếu tố thiết yếu trong cách doanh nghiệp của bạn vận hành—cách bạn theo dõi khách hàng, xử lý giao dịch mua, quản lý sản phẩm và gửi hóa đơn—và thiết kế lại chúng thành những dịch vụ đơn giản mà bất kỳ nhóm nào cũng có thể kết nối vào. Điều này giúp việc xây dựng các giải pháp Công nghệ &amp; AI mới trở nên dễ dàng hơn nhiều.</w:t>
        <w:br/>
        <w:br/>
        <w:br/>
        <w:br/>
        <w:br/>
        <w:br/>
        <w:t>Hiện đại hóa các hệ thống cũ với GenAI</w:t>
        <w:br/>
        <w:br/>
        <w:t>Mục tiêu của một nỗ lực hiện đại hóa công nghệ cũ không nên là chuyển đổi càng nhiều dòng mã càng tốt. Mà nên là cải thiện các hệ thống và quy trình để doanh nghiệp có thể tạo ra nhiều giá trị hơn. Đây là cách GenAI có thể giúp:</w:t>
        <w:br/>
        <w:br/>
      </w:r>
      <w:r>
        <w:rPr>
          <w:b/>
          <w:i w:val="0"/>
        </w:rPr>
        <w:t>Hiểu hệ thống cũ thực sự làm gì.</w:t>
      </w:r>
      <w:r>
        <w:rPr>
          <w:b w:val="0"/>
          <w:i w:val="0"/>
        </w:rPr>
        <w:t xml:space="preserve"> Sử dụng GenAI để đọc mã cũ và ghi lại cách hệ thống hoạt động hiện nay—các quy tắc kinh doanh, luồng dữ liệu và các phụ thuộc. Điều này cho bạn một bức tranh rõ ràng về những gì bạn đang có trước khi quyết định thay đổi điều gì.</w:t>
        <w:br/>
      </w:r>
      <w:r>
        <w:rPr>
          <w:b/>
          <w:i w:val="0"/>
        </w:rPr>
        <w:t>Xác định điều gì nên giữ, thay đổi, hoặc xây dựng lại.</w:t>
      </w:r>
      <w:r>
        <w:rPr>
          <w:b w:val="0"/>
          <w:i w:val="0"/>
        </w:rPr>
        <w:t xml:space="preserve"> GenAI giúp so sánh trạng thái hiện tại với những gì doanh nghiệp cần, và tách biệt logic có giá trị khỏi những phần đã lỗi thời. Điều này đảm bảo bạn chỉ hiện đại hóa những gì quan trọng—mà không phải xây dựng lại toàn bộ.</w:t>
        <w:br/>
      </w:r>
      <w:r>
        <w:rPr>
          <w:b/>
          <w:i w:val="0"/>
        </w:rPr>
        <w:t>Dịch và tái cấu trúc mã sang các ngôn ngữ và kiến trúc hiện đại.</w:t>
      </w:r>
      <w:r>
        <w:rPr>
          <w:b w:val="0"/>
          <w:i w:val="0"/>
        </w:rPr>
        <w:t xml:space="preserve"> GenAI viết lại mã cũ (ví dụ COBOL) thành các ngôn ngữ hiện đại và cấu trúc gọn gàng hơn. Điều này tăng tốc hiện đại hóa đồng thời giảm rủi ro và chi phí.</w:t>
        <w:br/>
      </w:r>
      <w:r>
        <w:rPr>
          <w:b/>
          <w:i w:val="0"/>
        </w:rPr>
        <w:t>Kiểm thử, xác thực và tích hợp một cách an toàn.</w:t>
      </w:r>
      <w:r>
        <w:rPr>
          <w:b w:val="0"/>
          <w:i w:val="0"/>
        </w:rPr>
        <w:t xml:space="preserve"> GenAI tự động tạo các ca kiểm thử và kiểm tra rằng hệ thống đã hiện đại hóa hoạt động chính xác như hệ thống cũ—chỉ tốt hơn. Điều này đảm bảo một cuộc chuyển đổi an toàn, đáng tin cậy với ít lỗi hơn.</w:t>
        <w:br/>
        <w:br/>
        <w:t>Hiện đại hóa các hệ thống cũ với GenAI là một thực tế. Kinh nghiệm của chúng tôi cho thấy tốc độ tăng khoảng 50% trong tiến độ hiện đại hóa công nghệ và giảm 40–70% chi phí để hoàn tất việc hiện đại hóa.</w:t>
      </w:r>
    </w:p>
    <w:p>
      <w:pPr>
        <w:pStyle w:val="Heading2"/>
      </w:pPr>
      <w:r>
        <w:rPr>
          <w:rFonts w:ascii="Calibri" w:hAnsi="Calibri"/>
          <w:b/>
          <w:i w:val="0"/>
          <w:sz w:val="32"/>
        </w:rPr>
        <w:t>Khả năng phục hồi: Khi hệ thống lõi hỏng, doanh nghiệp dừng lại</w:t>
      </w:r>
    </w:p>
    <w:p>
      <w:pPr>
        <w:spacing w:after="80"/>
      </w:pPr>
      <w:r>
        <w:rPr>
          <w:b w:val="0"/>
          <w:i w:val="0"/>
        </w:rPr>
        <w:t>Một công ty tiện ích năng lượng đã gặp phải các vấn đề nghiêm trọng về khả năng phục hồi hệ thống sau một loạt cơn bão dữ dội. Nhiều hệ thống CNTT bị hỏng, gây tổn thất lớn cho công ty. Học hỏi từ trải nghiệm đó, công ty tiện ích đã đầu tư xây dựng một nền tảng đám mây vững chắc hơn và nâng cấp các ứng dụng quan trọng của mình để giảm thiểu các vấn đề do bão gây ra. Việc hiện đại hóa này đã làm tăng chi phí vận hành, nhưng phân tích cho thấy rõ ràng rằng những chi phí đó chẳng thấm vào đâu so với chi phí của việc các đội ngũ tiện ích không thể làm việc cũng như các vấn đề liên quan đến phản ứng dữ dội của công chúng và áp lực từ cơ quan quản lý.</w:t>
      </w:r>
    </w:p>
    <w:p>
      <w:pPr>
        <w:spacing w:after="80"/>
      </w:pPr>
      <w:r>
        <w:rPr>
          <w:b/>
          <w:i/>
        </w:rPr>
        <w:t>Người ta thường ám ảnh về chi phí của khả năng phục hồi, nhưng lại xem nhẹ cái giá phải trả khi hệ thống ngừng hoạt động</w:t>
      </w:r>
      <w:r>
        <w:rPr>
          <w:b/>
          <w:i w:val="0"/>
        </w:rPr>
        <w:t>.</w:t>
      </w:r>
    </w:p>
    <w:p>
      <w:pPr>
        <w:spacing w:after="80"/>
      </w:pPr>
      <w:r>
        <w:rPr>
          <w:b w:val="0"/>
          <w:i w:val="0"/>
        </w:rPr>
        <w:t>Điều mấu chốt là phát triển—và thống nhất với ban lãnh đạo—về sự đánh đổi giữa chi phí của khả năng phục hồi và chi phí khi hệ thống ngừng hoạt động. Hãy tự hỏi đâu là những rủi ro chấp nhận được và giới hạn của việc hệ thống ngoại tuyến hoặc không hoạt động được, và tác động của chúng đến doanh nghiệp trong những tình huống đó.</w:t>
      </w:r>
    </w:p>
    <w:p>
      <w:pPr>
        <w:spacing w:after="80"/>
      </w:pPr>
      <w:r>
        <w:rPr>
          <w:b w:val="0"/>
          <w:i w:val="0"/>
        </w:rPr>
        <w:t>Một vài nguyên tắc quan trọng cần ghi nhớ:</w:t>
      </w:r>
    </w:p>
    <w:p>
      <w:pPr>
        <w:spacing w:after="80"/>
        <w:ind w:left="360"/>
      </w:pPr>
      <w:r>
        <w:t xml:space="preserve">• </w:t>
      </w:r>
      <w:r>
        <w:rPr>
          <w:b/>
          <w:i w:val="0"/>
        </w:rPr>
        <w:t>Bảo vệ những gì quý giá.</w:t>
      </w:r>
      <w:r>
        <w:rPr>
          <w:b w:val="0"/>
          <w:i w:val="0"/>
        </w:rPr>
        <w:t xml:space="preserve"> Bạn không thể bảo vệ mọi thứ, vì vậy bạn cần bảo vệ những gì quan trọng. Cũng giống như chúng ta đã nói trước đó về việc gắn các nỗ lực hiện đại hóa công nghệ với những lợi ích kinh doanh cụ thể, các nỗ lực về khả năng phục hồi công nghệ cũng nên được đánh giá theo cùng một chuẩn mực. Hãy xác định các quy trình công việc và hệ thống hỗ trợ cần thiết để thực hiện các ưu tiên kinh doanh của bạn.</w:t>
      </w:r>
    </w:p>
    <w:p>
      <w:pPr>
        <w:spacing w:after="80"/>
        <w:ind w:left="360"/>
      </w:pPr>
      <w:r>
        <w:t xml:space="preserve">• </w:t>
      </w:r>
      <w:r>
        <w:rPr>
          <w:b/>
          <w:i w:val="0"/>
        </w:rPr>
        <w:t>Làm mới các chỉ số hiệu suất hệ thống then chốt của bạn.</w:t>
      </w:r>
      <w:r>
        <w:rPr>
          <w:b w:val="0"/>
          <w:i w:val="0"/>
        </w:rPr>
        <w:t xml:space="preserve"> Nhiều công ty có những chỉ số từng có ý nghĩa khi hệ thống được tạo ra, nhưng đã lỗi thời so với nhu cầu ngày nay. Các chỉ số phổ biến, như thời gian trung bình để phục hồi (MTTR) hay thời gian ngừng hoạt động, có thể cho bạn biết hệ thống của bạn đang hoạt động thế nào, nhưng bạn cần quyết định liệu những chỉ số đó là tốt hay không trong bối cảnh doanh nghiệp của bạn.</w:t>
        <w:br/>
        <w:t>Ví dụ, nếu bạn là một nhà bán lẻ, các tiêu chuẩn về thời gian ngừng hoạt động nên nghiêm ngặt hơn trong dịp Black Friday.</w:t>
      </w:r>
    </w:p>
    <w:p>
      <w:pPr>
        <w:spacing w:after="80"/>
        <w:ind w:left="360"/>
      </w:pPr>
      <w:r>
        <w:t xml:space="preserve">• </w:t>
      </w:r>
      <w:r>
        <w:rPr>
          <w:b/>
          <w:i w:val="0"/>
        </w:rPr>
        <w:t>Đi sâu vào các lỗ hổng của nhà cung cấp.</w:t>
      </w:r>
      <w:r>
        <w:rPr>
          <w:b w:val="0"/>
          <w:i w:val="0"/>
        </w:rPr>
        <w:t xml:space="preserve"> Doanh nghiệp phụ thuộc vào rất nhiều nhà cung cấp, đơn vị cung ứng và trung gian cho các dữ liệu và quy trình thiết yếu. Với những quy trình kinh doanh quan trọng nhất, hãy nắm rõ các lỗ hổng của nhà cung cấp (và cả nhà cung cấp của nhà cung cấp) là gì, cùng cách khắc phục chúng.</w:t>
      </w:r>
    </w:p>
    <w:p>
      <w:pPr>
        <w:spacing w:after="80"/>
      </w:pPr>
      <w:r>
        <w:rPr>
          <w:b w:val="0"/>
          <w:i w:val="0"/>
        </w:rPr>
        <w:t>Việc áp dụng các phương thức đảm bảo khả năng phục hồi (resiliency) có nguy cơ chỉ trở thành thêm một nhiệm vụ nữa cho bộ phận IT. Tuy nhiên, hiệu suất và thời gian hoạt động của hệ thống là mối quan tâm chung của cả kinh doanh lẫn công nghệ.</w:t>
      </w:r>
    </w:p>
    <w:p>
      <w:pPr>
        <w:pStyle w:val="Heading2"/>
      </w:pPr>
      <w:r>
        <w:rPr>
          <w:rFonts w:ascii="Calibri" w:hAnsi="Calibri"/>
          <w:b/>
          <w:i w:val="0"/>
          <w:sz w:val="32"/>
        </w:rPr>
        <w:t>Trả tiền cho những gì bạn cần: Kiểm soát chi phí cloud</w:t>
      </w:r>
    </w:p>
    <w:p>
      <w:pPr>
        <w:spacing w:after="80"/>
      </w:pPr>
      <w:r>
        <w:rPr>
          <w:b w:val="0"/>
          <w:i w:val="0"/>
        </w:rPr>
        <w:t>Hầu hết doanh nghiệp đã có một sự hiện diện nào đó trên cloud như một phần của mô hình hybrid cloud (đám mây lai) hoặc hạ tầng tại chỗ (on-premises), nhưng những ứng dụng đó thường không được tối ưu hóa cho cloud.</w:t>
      </w:r>
    </w:p>
    <w:p>
      <w:pPr>
        <w:spacing w:after="80"/>
      </w:pPr>
      <w:r>
        <w:rPr>
          <w:b w:val="0"/>
          <w:i w:val="0"/>
        </w:rPr>
        <w:t>Các quyết định về kiến trúc và cấu hình liên quan đến tốc độ tính toán, độ trễ lưu trữ, lưu lượng dữ liệu mạng và nhiều yếu tố khác đều chi phối chi phí (và những chi phí đó rất có thể sẽ tăng lên khi GenAI và phương tiện video làm gia tăng lượng dữ liệu tham gia).</w:t>
      </w:r>
    </w:p>
    <w:p>
      <w:pPr>
        <w:spacing w:after="80"/>
      </w:pPr>
      <w:r>
        <w:rPr>
          <w:b w:val="0"/>
          <w:i w:val="0"/>
        </w:rPr>
        <w:t>Kinh tế cloud hiệu quả là việc chỉ trả tiền cho dung lượng và hiệu suất khi bạn thực sự cần. Bạn đạt được điều này bằng cách chọn các dịch vụ cloud phù hợp nhất với yêu cầu khối lượng công việc (workload). Ví dụ, các dịch vụ sao lưu dữ liệu có độ trễ cao có thể chỉ tốn 0,001 USD mỗi GB, nhưng bộ nhớ đệm (cache storage) cho các ứng dụng yêu cầu độ trễ cực thấp có thể tốn hơn 1,00 USD mỗi GB — cao gấp cả nghìn lần!</w:t>
      </w:r>
    </w:p>
    <w:p>
      <w:pPr>
        <w:spacing w:after="80"/>
      </w:pPr>
      <w:r>
        <w:rPr>
          <w:b/>
          <w:i/>
        </w:rPr>
        <w:t>Nếu doanh nghiệp của bạn chưa chú ý đến việc tối ưu hóa chi phí dịch vụ cloud, bạn có thể yên tâm mà cho rằng mình đang chi tiêu vượt mức cho cloud tới 20% hoặc hơn</w:t>
      </w:r>
      <w:r>
        <w:rPr>
          <w:b/>
          <w:i w:val="0"/>
        </w:rPr>
        <w:t>.</w:t>
      </w:r>
    </w:p>
    <w:p>
      <w:pPr>
        <w:spacing w:after="80"/>
      </w:pPr>
      <w:r>
        <w:rPr>
          <w:b w:val="0"/>
          <w:i w:val="0"/>
        </w:rPr>
        <w:t>Các doanh nghiệp hàng đầu phát triển một năng lực để quản lý chi phí cloud hiệu quả gọi là FinOps — viết tắt của cloud financial operations (vận hành tài chính cloud). FinOps đưa trách nhiệm tài chính về chi tiêu cloud đến gần hơn với những người đưa ra quyết định tiêu dùng. Điều này tạo ra sự cộng tác chặt chẽ hơn giữa các nhóm kỹ thuật, tài chính và kinh doanh để đưa ra những đánh đổi đúng đắn về kiến trúc và cấu hình.</w:t>
      </w:r>
    </w:p>
    <w:p>
      <w:pPr>
        <w:spacing w:after="80"/>
      </w:pPr>
      <w:r>
        <w:rPr>
          <w:b w:val="0"/>
          <w:i w:val="0"/>
        </w:rPr>
        <w:t>Một đội ngũ hàng đầu gồm các kiến trúc sư cloud và chuyên gia FinOps có thể xử lý những lựa chọn và đánh đổi cần thiết, và mang lại giá trị gấp nhiều lần chi phí của họ.</w:t>
      </w:r>
    </w:p>
    <w:p>
      <w:pPr>
        <w:jc w:val="center"/>
      </w:pPr>
      <w:r>
        <w:drawing>
          <wp:inline xmlns:a="http://schemas.openxmlformats.org/drawingml/2006/main" xmlns:pic="http://schemas.openxmlformats.org/drawingml/2006/picture">
            <wp:extent cx="1905000" cy="95250"/>
            <wp:docPr id="146" name="Picture 146"/>
            <wp:cNvGraphicFramePr>
              <a:graphicFrameLocks noChangeAspect="1"/>
            </wp:cNvGraphicFramePr>
            <a:graphic>
              <a:graphicData uri="http://schemas.openxmlformats.org/drawingml/2006/picture">
                <pic:pic>
                  <pic:nvPicPr>
                    <pic:cNvPr id="0" name="CHAPTEREND_RULE_red.png"/>
                    <pic:cNvPicPr/>
                  </pic:nvPicPr>
                  <pic:blipFill>
                    <a:blip r:embed="rId95"/>
                    <a:stretch>
                      <a:fillRect/>
                    </a:stretch>
                  </pic:blipFill>
                  <pic:spPr>
                    <a:xfrm>
                      <a:off x="0" y="0"/>
                      <a:ext cx="1905000" cy="95250"/>
                    </a:xfrm>
                    <a:prstGeom prst="rect"/>
                  </pic:spPr>
                </pic:pic>
              </a:graphicData>
            </a:graphic>
          </wp:inline>
        </w:drawing>
      </w:r>
    </w:p>
    <w:p>
      <w:pPr>
        <w:spacing w:after="80"/>
      </w:pPr>
      <w:r>
        <w:rPr>
          <w:b w:val="0"/>
          <w:i w:val="0"/>
        </w:rPr>
        <w:t>Để kích hoạt AI, bạn cần những hệ thống công nghệ hiện đại. Nhưng điều đó không có nghĩa là bạn phải hiện đại hóa toàn bộ hạ tầng IT của mình. Các nỗ lực hiện đại hóa thành công dựa trên một cách tiếp cận có tính chọn lọc hơn — thấu hiểu nhu cầu và gắn kết rõ ràng những thay đổi được đề xuất với các lợi ích cụ thể.</w:t>
      </w:r>
    </w:p>
    <w:p>
      <w:pPr>
        <w:pStyle w:val="Heading2"/>
      </w:pPr>
      <w:r>
        <w:rPr>
          <w:rFonts w:ascii="Calibri" w:hAnsi="Calibri"/>
          <w:b/>
          <w:i w:val="0"/>
          <w:sz w:val="32"/>
        </w:rPr>
        <w:t>Những câu hỏi quan trọng</w:t>
      </w:r>
    </w:p>
    <w:p>
      <w:pPr>
        <w:spacing w:after="80"/>
      </w:pPr>
      <w:r>
        <w:rPr>
          <w:b w:val="0"/>
          <w:i w:val="0"/>
        </w:rPr>
        <w:t>Hãy cân nhắc đặt những câu hỏi này cho các nhà lãnh đạo kinh doanh và công nghệ của bạn: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 1:</w:t>
            </w:r>
          </w:p>
        </w:tc>
        <w:tc>
          <w:tcPr>
            <w:tcW w:type="dxa" w:w="4680"/>
          </w:tcPr>
          <w:p>
            <w:r/>
            <w:r>
              <w:rPr>
                <w:b w:val="0"/>
                <w:i w:val="0"/>
                <w:sz w:val="19"/>
              </w:rPr>
              <w:t>Trạng thái hiện tại của các hệ thống ảnh hưởng thế nào đến trải nghiệm khách hàng?</w:t>
            </w:r>
          </w:p>
        </w:tc>
      </w:tr>
      <w:tr>
        <w:tc>
          <w:tcPr>
            <w:tcW w:type="dxa" w:w="4680"/>
          </w:tcPr>
          <w:p>
            <w:r/>
            <w:r>
              <w:rPr>
                <w:b/>
                <w:i w:val="0"/>
                <w:sz w:val="19"/>
              </w:rPr>
              <w:t>Câu hỏi 2:</w:t>
            </w:r>
          </w:p>
        </w:tc>
        <w:tc>
          <w:tcPr>
            <w:tcW w:type="dxa" w:w="4680"/>
          </w:tcPr>
          <w:p>
            <w:r/>
            <w:r>
              <w:rPr>
                <w:b w:val="0"/>
                <w:i w:val="0"/>
                <w:sz w:val="19"/>
              </w:rPr>
              <w:t>Những khía cạnh nào trong quá trình chuyển đổi kinh doanh của chúng ta không thể đạt được vì các hệ thống cốt lõi?</w:t>
            </w:r>
          </w:p>
        </w:tc>
      </w:tr>
      <w:tr>
        <w:tc>
          <w:tcPr>
            <w:tcW w:type="dxa" w:w="4680"/>
          </w:tcPr>
          <w:p>
            <w:r/>
            <w:r>
              <w:rPr>
                <w:b/>
                <w:i w:val="0"/>
                <w:sz w:val="19"/>
              </w:rPr>
              <w:t>Câu hỏi 3:</w:t>
            </w:r>
          </w:p>
        </w:tc>
        <w:tc>
          <w:tcPr>
            <w:tcW w:type="dxa" w:w="4680"/>
          </w:tcPr>
          <w:p>
            <w:r/>
            <w:r>
              <w:rPr>
                <w:b w:val="0"/>
                <w:i w:val="0"/>
                <w:sz w:val="19"/>
              </w:rPr>
              <w:t>Liệu chúng ta đã sắp xếp thứ tự ưu tiên cho việc hiện đại hóa hệ thống cốt lõi để nhanh chóng tạo ra giá trị kinh doanh chưa?</w:t>
            </w:r>
          </w:p>
        </w:tc>
      </w:tr>
    </w:tbl>
    <w:p>
      <w:pPr>
        <w:spacing w:after="0"/>
      </w:pPr>
    </w:p>
    <w:p>
      <w:pPr>
        <w:pStyle w:val="Heading1"/>
      </w:pPr>
      <w:r>
        <w:rPr>
          <w:rFonts w:ascii="Calibri" w:hAnsi="Calibri"/>
          <w:b/>
          <w:i w:val="0"/>
          <w:sz w:val="40"/>
        </w:rPr>
        <w:t>THỜI GIAN ĐỂ NHÌN LẠI</w:t>
      </w:r>
    </w:p>
    <w:p>
      <w:pPr>
        <w:pStyle w:val="Heading2"/>
      </w:pPr>
      <w:r>
        <w:rPr>
          <w:rFonts w:ascii="Calibri" w:hAnsi="Calibri"/>
          <w:b/>
          <w:i w:val="0"/>
          <w:sz w:val="32"/>
        </w:rPr>
        <w:t>Những điểm nổi bật</w:t>
      </w:r>
    </w:p>
    <w:p>
      <w:pPr>
        <w:spacing w:after="80"/>
      </w:pPr>
      <w:r>
        <w:rPr>
          <w:b w:val="0"/>
          <w:i w:val="0"/>
        </w:rPr>
        <w:t>Hãy dành một chút thời gian để tự nhắc mình về những điểm quan trọng nhất trong phần này đối với bạn, và đánh giá xem bạn đang ở đâu trên hành trình chuyển đổi Công nghệ &amp; AI.</w:t>
      </w:r>
    </w:p>
    <w:p>
      <w:pPr>
        <w:spacing w:after="80"/>
      </w:pPr>
      <w:r>
        <w:rPr>
          <w:b/>
          <w:i w:val="0"/>
        </w:rPr>
        <w:t>Làm chủ kiến trúc nền tảng của bạn.</w:t>
      </w:r>
      <w:r>
        <w:rPr>
          <w:b w:val="0"/>
          <w:i w:val="0"/>
        </w:rPr>
        <w:t xml:space="preserve"> Điều này giờ đây cũng thiết yếu đối với việc lãnh đạo một công ty hiện đại như việc hiểu rõ báo cáo lãi lỗ (P&amp;L) của bạn. Bạn phải đối xử với các nền tảng công nghệ của mình với cùng mức độ nghiêm ngặt và tinh thần làm chủ như đối với chiến lược và thiết kế tổ chức. Khả năng cạnh tranh của bạn ngày càng phụ thuộc vào điều này.</w:t>
      </w:r>
    </w:p>
    <w:p>
      <w:pPr>
        <w:spacing w:after="80"/>
      </w:pPr>
      <w:r>
        <w:rPr>
          <w:b/>
          <w:i w:val="0"/>
        </w:rPr>
        <w:t>Hãy yêu thích các nền tảng.</w:t>
      </w:r>
      <w:r>
        <w:rPr>
          <w:b w:val="0"/>
          <w:i w:val="0"/>
        </w:rPr>
        <w:t xml:space="preserve"> Các công ty hàng đầu đang khám phá ra rằng lợi thế bền vững nhất của họ đến từ những nền tảng họ xây dựng bên trong doanh nghiệp—những năng lực dùng chung giúp mọi đội nhóm nhanh hơn, nâng cao khả năng tái sử dụng trên toàn bộ doanh nghiệp, và thúc đẩy đổi mới sáng tạo. Những người chiến thắng sẽ coi các nền tảng không phải là tiện ích IT mà là tài sản chiến lược.</w:t>
      </w:r>
    </w:p>
    <w:p>
      <w:pPr>
        <w:spacing w:after="80"/>
      </w:pPr>
      <w:r>
        <w:rPr>
          <w:b/>
          <w:i w:val="0"/>
        </w:rPr>
        <w:t>Biến kỹ thuật phần mềm thành ưu tiên của ban điều hành. Đây là một yếu tố tạo khác biệt cạnh tranh.</w:t>
      </w:r>
      <w:r>
        <w:rPr>
          <w:b w:val="0"/>
          <w:i w:val="0"/>
        </w:rPr>
        <w:t xml:space="preserve"> Khi bạn tạo điều kiện cho các đội kỹ thuật di chuyển nhanh một cách an toàn, bạn mở khóa cỗ máy đổi mới sáng tạo cần thiết để cạnh tranh trong kỷ nguyên AI.</w:t>
      </w:r>
    </w:p>
    <w:p>
      <w:pPr>
        <w:spacing w:after="80"/>
      </w:pPr>
      <w:r>
        <w:rPr>
          <w:b/>
          <w:i w:val="0"/>
        </w:rPr>
        <w:t>Bắt đầu nghĩ về một thế giới có năng suất phát triển tăng gấp 20 lần.</w:t>
      </w:r>
      <w:r>
        <w:rPr>
          <w:b w:val="0"/>
          <w:i w:val="0"/>
        </w:rPr>
        <w:t xml:space="preserve"> Đổi mới nhanh hơn, trải nghiệm tốt hơn, và nhiều tự động hóa hơn tạo ra một lợi thế cạnh tranh mang tính cấu trúc, tích lũy dần theo thời gian. 20 lần sẽ mở ra những khả năng chiến lược mới nào cho bạn?</w:t>
      </w:r>
    </w:p>
    <w:p>
      <w:pPr>
        <w:spacing w:after="80"/>
      </w:pPr>
      <w:r>
        <w:rPr>
          <w:b/>
          <w:i w:val="0"/>
        </w:rPr>
        <w:t>Công nghiệp hóa AI để thấy tác động thực sự từ AI.</w:t>
      </w:r>
      <w:r>
        <w:rPr>
          <w:b w:val="0"/>
          <w:i w:val="0"/>
        </w:rPr>
        <w:t xml:space="preserve"> Điều này bắt đầu bằng việc xây dựng một nền tảng AI cung cấp cho các đội phát triển mọi thứ họ cần để xây dựng và vận hành các giải pháp AI mà không phải phát minh lại từ đầu mỗi lần. Mọi công ty đều sẽ có một nền tảng như vậy.</w:t>
      </w:r>
    </w:p>
    <w:p>
      <w:pPr>
        <w:spacing w:after="80"/>
      </w:pPr>
      <w:r>
        <w:rPr>
          <w:b/>
          <w:i w:val="0"/>
        </w:rPr>
        <w:t>Xây dựng năng lực tái cấu trúc bằng AI tác tử (agentic AI) của bạn.</w:t>
      </w:r>
      <w:r>
        <w:rPr>
          <w:b w:val="0"/>
          <w:i w:val="0"/>
        </w:rPr>
        <w:t xml:space="preserve"> Khả năng biến các mô hình nền tảng (foundation model) thành những hệ thống kinh doanh đáng tin cậy, có khả năng mở rộng sẽ trở thành một năng lực mới then chốt.</w:t>
      </w:r>
    </w:p>
    <w:p>
      <w:pPr>
        <w:spacing w:after="80"/>
      </w:pPr>
      <w:r>
        <w:rPr>
          <w:b/>
          <w:i w:val="0"/>
        </w:rPr>
        <w:t>Hãy chính xác như phẫu thuật trong việc hiện đại hóa công nghệ cũ.</w:t>
      </w:r>
      <w:r>
        <w:rPr>
          <w:b w:val="0"/>
          <w:i w:val="0"/>
        </w:rPr>
        <w:t xml:space="preserve"> Hiểu rõ nơi các hệ thống cũ đang cản trở hoạt động kinh doanh của bạn và đầu tư một cách chính xác vào việc hiện đại hóa chúng. Song song đó, hãy xây dựng các năng lực nền tảng của bạn—chẳng hạn như nền tảng dữ liệu—để tăng tốc quá trình chuyển đổi Công nghệ &amp; AI.</w:t>
      </w:r>
    </w:p>
    <w:p>
      <w:pPr>
        <w:pStyle w:val="Heading2"/>
      </w:pPr>
      <w:r>
        <w:rPr>
          <w:rFonts w:ascii="Calibri" w:hAnsi="Calibri"/>
          <w:b/>
          <w:i w:val="0"/>
          <w:sz w:val="32"/>
        </w:rPr>
        <w:t>Bạn đang ở đâu trên hành trình?</w:t>
      </w:r>
    </w:p>
    <w:p>
      <w:pPr>
        <w:spacing w:after="80"/>
      </w:pPr>
      <w:r>
        <w:rPr>
          <w:b w:val="0"/>
          <w:i w:val="0"/>
        </w:rPr>
        <w:t>Những câu hỏi này có thể giúp làm rõ bạn đang ở đâu trên hành trình của mình so với những đơn vị dẫn đầu. Quét mã QR ở cuối nếu bạn muốn làm bài đánh giá trực tuyến:</w:t>
      </w:r>
    </w:p>
    <w:p>
      <w:pPr>
        <w:spacing w:after="80"/>
      </w:pPr>
      <w:r>
        <w:rPr>
          <w:b/>
          <w:i w:val="0"/>
        </w:rPr>
        <w:t>Câu hỏi 1. Công ty bạn đã thiết kế kiến trúc các nền tảng nội bộ để giúp các đội nhóm nhanh hơn, nâng cao khả năng tái sử dụng trên toàn doanh nghiệp, và thúc đẩy đổi mới sáng tạo chưa?</w:t>
      </w:r>
    </w:p>
    <w:p>
      <w:pPr>
        <w:spacing w:after="80"/>
      </w:pPr>
      <w:r>
        <w:rPr>
          <w:b/>
          <w:i w:val="0"/>
        </w:rPr>
        <w:t>Dẫn đầu thị trường:</w:t>
      </w:r>
      <w:r>
        <w:rPr>
          <w:b w:val="0"/>
          <w:i w:val="0"/>
        </w:rPr>
        <w:t xml:space="preserve"> Các nền tảng của chúng tôi cung cấp năng lực tự phục vụ—từ xây dựng API đến hỗ trợ SDLC đến triển khai mô hình AI. Chúng cung cấp các thành phần mô-đun, có thể tái sử dụng. Và chúng được xây dựng với các tiêu chuẩn kiến trúc mạnh mẽ để chất lượng, bảo mật, và khả năng tương tác là đương nhiên, chứ không phải tùy chọn.</w:t>
      </w:r>
    </w:p>
    <w:p>
      <w:pPr>
        <w:spacing w:after="80"/>
      </w:pPr>
      <w:r>
        <w:rPr>
          <w:b/>
          <w:i w:val="0"/>
        </w:rPr>
        <w:t>Q2. Công ty của bạn đã làm chủ được phát triển phần mềm hiện đại chưa?</w:t>
      </w:r>
    </w:p>
    <w:p>
      <w:pPr>
        <w:spacing w:after="80"/>
      </w:pPr>
      <w:r>
        <w:rPr>
          <w:b/>
          <w:i w:val="0"/>
        </w:rPr>
        <w:t>Đẳng cấp nhất:</w:t>
      </w:r>
      <w:r>
        <w:rPr>
          <w:b w:val="0"/>
          <w:i w:val="0"/>
        </w:rPr>
        <w:t xml:space="preserve"> Chúng tôi tự động hóa toàn bộ SDLC từ đầu đến cuối, làm việc với tư duy sản phẩm (chứ không phải dự án), và dựa vào các nhóm đa chức năng. Chúng tôi xây dựng với các tiêu chuẩn kỹ thuật mạnh mẽ (bao gồm tính mô-đun, đánh giá mã, kiểm thử và CI/CD) cùng bảo mật (ví dụ như IaC và shift left). Chúng tôi đo lường tốc độ, chất lượng và độ tin cậy.</w:t>
      </w:r>
    </w:p>
    <w:p>
      <w:pPr>
        <w:spacing w:after="80"/>
      </w:pPr>
      <w:r>
        <w:rPr>
          <w:b/>
          <w:i w:val="0"/>
        </w:rPr>
        <w:t>Q3. Bạn đã công nghiệp hóa việc xây dựng và triển khai các giải pháp AI chưa?</w:t>
      </w:r>
    </w:p>
    <w:p>
      <w:pPr>
        <w:spacing w:after="80"/>
      </w:pPr>
      <w:r>
        <w:rPr>
          <w:b/>
          <w:i w:val="0"/>
        </w:rPr>
        <w:t>Đẳng cấp nhất:</w:t>
      </w:r>
      <w:r>
        <w:rPr>
          <w:b w:val="0"/>
          <w:i w:val="0"/>
        </w:rPr>
        <w:t xml:space="preserve"> Chúng tôi có một nền tảng AI được sử dụng rộng rãi, cung cấp quyền truy cập tự phục vụ vào các mô hình, công cụ đánh giá, khung điều phối và môi trường an toàn để thử nghiệm. Chúng tôi nhúng các rào chắn tự động—kiểm thử, giám sát, kiểm soát chi phí và các kiểm tra AI có trách nhiệm.</w:t>
      </w:r>
    </w:p>
    <w:p>
      <w:pPr>
        <w:spacing w:after="80"/>
      </w:pPr>
      <w:r>
        <w:rPr>
          <w:b/>
          <w:i w:val="0"/>
        </w:rPr>
        <w:t>Q4: Công ty của bạn đã đạt được bao nhiêu tiến bộ trong việc sử dụng AI để tăng năng suất phát triển phần mềm?</w:t>
      </w:r>
    </w:p>
    <w:p>
      <w:pPr>
        <w:spacing w:after="80"/>
      </w:pPr>
      <w:r>
        <w:rPr>
          <w:b/>
          <w:i w:val="0"/>
        </w:rPr>
        <w:t>Đẳng cấp nhất:</w:t>
      </w:r>
      <w:r>
        <w:rPr>
          <w:b w:val="0"/>
          <w:i w:val="0"/>
        </w:rPr>
        <w:t xml:space="preserve"> Chúng tôi sử dụng AI rộng khắp trong toàn bộ vòng đời phát triển của mình—không chỉ để sinh mã. Mô hình làm việc của chúng tôi là AI-native: Con người đóng vai trò điều phối viên cho các AI agent. Chúng tôi đã đạt được hơn 30% mức tăng năng suất trên khắp các nhóm của mình. Chúng tôi đang thử nghiệm các nhà máy agent tự trị để đạt được nhiều hơn nữa.</w:t>
      </w:r>
    </w:p>
    <w:p>
      <w:pPr>
        <w:jc w:val="center"/>
      </w:pPr>
      <w:r>
        <w:drawing>
          <wp:inline xmlns:a="http://schemas.openxmlformats.org/drawingml/2006/main" xmlns:pic="http://schemas.openxmlformats.org/drawingml/2006/picture">
            <wp:extent cx="1962150" cy="1952625"/>
            <wp:docPr id="147" name="Picture 147"/>
            <wp:cNvGraphicFramePr>
              <a:graphicFrameLocks noChangeAspect="1"/>
            </wp:cNvGraphicFramePr>
            <a:graphic>
              <a:graphicData uri="http://schemas.openxmlformats.org/drawingml/2006/picture">
                <pic:pic>
                  <pic:nvPicPr>
                    <pic:cNvPr id="0" name="c23qr001.png"/>
                    <pic:cNvPicPr/>
                  </pic:nvPicPr>
                  <pic:blipFill>
                    <a:blip r:embed="rId111"/>
                    <a:stretch>
                      <a:fillRect/>
                    </a:stretch>
                  </pic:blipFill>
                  <pic:spPr>
                    <a:xfrm>
                      <a:off x="0" y="0"/>
                      <a:ext cx="1962150" cy="1952625"/>
                    </a:xfrm>
                    <a:prstGeom prst="rect"/>
                  </pic:spPr>
                </pic:pic>
              </a:graphicData>
            </a:graphic>
          </wp:inline>
        </w:drawing>
      </w:r>
    </w:p>
    <w:p>
      <w:pPr>
        <w:spacing w:after="80"/>
      </w:pPr>
      <w:r>
        <w:rPr>
          <w:b/>
          <w:i w:val="0"/>
        </w:rPr>
        <w:t xml:space="preserve">Hãy làm bài đánh giá </w:t>
      </w:r>
      <w:r>
        <w:rPr>
          <w:b/>
          <w:i/>
        </w:rPr>
        <w:t>Rewired</w:t>
      </w:r>
    </w:p>
    <w:p>
      <w:pPr>
        <w:spacing w:after="80"/>
      </w:pPr>
      <w:r>
        <w:rPr>
          <w:b/>
          <w:i w:val="0"/>
        </w:rPr>
        <w:t>McKinsey.com/RewiredAssessment</w:t>
      </w:r>
    </w:p>
    <w:p>
      <w:pPr>
        <w:pStyle w:val="Heading2"/>
      </w:pPr>
      <w:r>
        <w:rPr>
          <w:rFonts w:ascii="Calibri" w:hAnsi="Calibri"/>
          <w:b/>
          <w:i w:val="0"/>
          <w:sz w:val="32"/>
        </w:rPr>
        <w:t>Ghi chú</w:t>
      </w:r>
    </w:p>
    <w:p>
      <w:pPr>
        <w:spacing w:after="80"/>
        <w:ind w:left="360"/>
      </w:pPr>
      <w:r>
        <w:t xml:space="preserve">1. </w:t>
      </w:r>
      <w:r>
        <w:rPr>
          <w:b w:val="0"/>
          <w:i w:val="0"/>
        </w:rPr>
        <w:t>1   Kiến trúc hướng sự kiện cho phép các hệ thống phản hồi với thay đổi trong thời gian thực, với khả năng tách rời và mở rộng tốt hơn. Ví dụ, trong ngành bán lẻ, khi một mặt hàng được quét tại điểm bán hàng, một sự kiện sẽ kích hoạt cập nhật tồn kho và ghi điểm khách hàng thân thiết.</w:t>
      </w:r>
    </w:p>
    <w:p>
      <w:pPr>
        <w:spacing w:after="80"/>
        <w:ind w:left="360"/>
      </w:pPr>
      <w:r>
        <w:t xml:space="preserve">2. </w:t>
      </w:r>
      <w:r>
        <w:rPr>
          <w:b w:val="0"/>
          <w:i w:val="0"/>
        </w:rPr>
        <w:t>2   Một tribe tương đương với một domain, như được mô tả trong Chương 14.</w:t>
      </w:r>
    </w:p>
    <w:p>
      <w:pPr>
        <w:spacing w:after="80"/>
        <w:ind w:left="360"/>
      </w:pPr>
      <w:r>
        <w:t xml:space="preserve">3. </w:t>
      </w:r>
      <w:r>
        <w:rPr>
          <w:b w:val="0"/>
          <w:i w:val="0"/>
        </w:rPr>
        <w:t>3   “Strangler fig” là một chiến lược hiện đại hóa phần mềm, trong đó một hệ thống cũ dần dần được thay thế từng phần, thay vì viết lại toàn bộ một cách mạo hiểm theo kiểu “big bang”. Thuật ngữ này xuất phát từ cây strangler fig, loài cây mọc quanh một cây chủ, cuối cùng thay thế nó theo thời gian.</w:t>
      </w:r>
    </w:p>
    <w:p>
      <w:pPr>
        <w:spacing w:after="80"/>
        <w:ind w:left="360"/>
      </w:pPr>
      <w:r>
        <w:t xml:space="preserve">4. </w:t>
      </w:r>
      <w:r>
        <w:rPr>
          <w:b w:val="0"/>
          <w:i w:val="0"/>
        </w:rPr>
        <w:t>4   Aaron Bawcom, Matt Fitzpatrick, Chi Wai Cheung, Dan Collins, và Dante Gabrielli, “AI for IT modernization: Faster, cheaper, better,” McKinsey, ngày 2 tháng 12 năm 2024.</w:t>
      </w:r>
    </w:p>
    <w:p>
      <w:pPr>
        <w:pStyle w:val="Heading1"/>
      </w:pPr>
      <w:r>
        <w:rPr>
          <w:rFonts w:ascii="Calibri" w:hAnsi="Calibri"/>
          <w:b/>
          <w:i w:val="0"/>
          <w:sz w:val="40"/>
        </w:rPr>
        <w:t>MỤC NĂM</w:t>
      </w:r>
      <w:r>
        <w:rPr>
          <w:rFonts w:ascii="Calibri" w:hAnsi="Calibri"/>
          <w:b/>
          <w:i w:val="0"/>
          <w:sz w:val="40"/>
        </w:rPr>
      </w:r>
      <w:r>
        <w:rPr>
          <w:rFonts w:ascii="Calibri" w:hAnsi="Calibri"/>
          <w:b/>
          <w:i w:val="0"/>
          <w:sz w:val="40"/>
        </w:rPr>
        <w:t>Nhúng Dữ liệu Ở Mọi Nơi</w:t>
      </w:r>
    </w:p>
    <w:p>
      <w:pPr>
        <w:jc w:val="center"/>
      </w:pPr>
      <w:r>
        <w:drawing>
          <wp:inline xmlns:a="http://schemas.openxmlformats.org/drawingml/2006/main" xmlns:pic="http://schemas.openxmlformats.org/drawingml/2006/picture">
            <wp:extent cx="5486400" cy="3413051"/>
            <wp:docPr id="148" name="Picture 148"/>
            <wp:cNvGraphicFramePr>
              <a:graphicFrameLocks noChangeAspect="1"/>
            </wp:cNvGraphicFramePr>
            <a:graphic>
              <a:graphicData uri="http://schemas.openxmlformats.org/drawingml/2006/picture">
                <pic:pic>
                  <pic:nvPicPr>
                    <pic:cNvPr id="0" name="p05f001.png"/>
                    <pic:cNvPicPr/>
                  </pic:nvPicPr>
                  <pic:blipFill>
                    <a:blip r:embed="rId112"/>
                    <a:stretch>
                      <a:fillRect/>
                    </a:stretch>
                  </pic:blipFill>
                  <pic:spPr>
                    <a:xfrm>
                      <a:off x="0" y="0"/>
                      <a:ext cx="5486400" cy="3413051"/>
                    </a:xfrm>
                    <a:prstGeom prst="rect"/>
                  </pic:spPr>
                </pic:pic>
              </a:graphicData>
            </a:graphic>
          </wp:inline>
        </w:drawing>
      </w:r>
    </w:p>
    <w:p>
      <w:pPr>
        <w:pStyle w:val="Heading2"/>
      </w:pPr>
      <w:r>
        <w:rPr>
          <w:rFonts w:ascii="Calibri" w:hAnsi="Calibri"/>
          <w:b/>
          <w:i w:val="0"/>
          <w:sz w:val="32"/>
        </w:rPr>
        <w:t>Cần những gì để làm cho dữ liệu dễ tiêu thụ trên khắp tổ chức</w:t>
      </w:r>
    </w:p>
    <w:p>
      <w:pPr>
        <w:spacing w:after="80"/>
      </w:pPr>
      <w:r>
        <w:rPr>
          <w:b w:val="0"/>
          <w:i/>
        </w:rPr>
        <w:t>Với sự cộng tác của Antonio Castro và Kayvaun Rowshankish</w:t>
      </w:r>
    </w:p>
    <w:p>
      <w:pPr>
        <w:spacing w:after="80"/>
      </w:pPr>
      <w:r>
        <w:rPr>
          <w:b w:val="0"/>
          <w:i w:val="0"/>
        </w:rPr>
        <w:t>Năm 2018, ngân hàng châu Á DBS mất 15 đến 18 tháng để phát triển và triển khai các mô hình AI.</w:t>
      </w:r>
    </w:p>
    <w:p>
      <w:pPr>
        <w:spacing w:after="80"/>
      </w:pPr>
      <w:r>
        <w:rPr>
          <w:b w:val="0"/>
          <w:i w:val="0"/>
        </w:rPr>
        <w:t>Dữ liệu được lưu trữ ở nhiều nơi khác nhau trong toàn bộ hoạt động kinh doanh, nghĩa là phải mất hàng tháng chỉ để tìm ra dữ liệu và xin quyền truy cập. Ngay cả khi các nhóm đã có quyền truy cập, việc khám phá cách dữ liệu được cấu trúc và đánh giá chất lượng của nó cũng trở thành một dự án riêng. Cuối cùng, các nhóm cũng xây dựng được những đường ống dữ liệu (data pipeline) dùng một lần, không thể dễ dàng tái sử dụng cho các nhóm khác.</w:t>
      </w:r>
    </w:p>
    <w:p>
      <w:pPr>
        <w:spacing w:after="80"/>
      </w:pPr>
      <w:r>
        <w:rPr>
          <w:b w:val="0"/>
          <w:i w:val="0"/>
        </w:rPr>
        <w:t>Như vậy thì không ổn chút nào! Thế là DBS bắt tay vào hành trình phát triển một nền tảng dữ liệu thống nhất, tự động hóa kiểm soát truy cập dữ liệu, và làm cho dữ liệu dễ khám phá nhờ siêu dữ liệu (metadata) và dễ tiêu thụ thông qua các sản phẩm dữ liệu (data product) — hay còn gọi là tài sản dữ liệu (data asset) theo cách họ nói. Và họ sắp xếp việc quản trị dữ liệu xoay quanh sự lãnh đạo của các lĩnh vực kinh doanh khác nhau.</w:t>
      </w:r>
    </w:p>
    <w:p>
      <w:pPr>
        <w:spacing w:after="80"/>
      </w:pPr>
      <w:r>
        <w:rPr>
          <w:b w:val="0"/>
          <w:i w:val="0"/>
        </w:rPr>
        <w:t>Và nó đã mang lại kết quả. Đến năm 2023, chỉ mất hai đến ba tháng để triển khai các mô hình AI.</w:t>
      </w:r>
    </w:p>
    <w:p>
      <w:pPr>
        <w:spacing w:after="80"/>
      </w:pPr>
      <w:r>
        <w:rPr>
          <w:b/>
          <w:i/>
        </w:rPr>
        <w:t>Dữ liệu là tài sản quan trọng nhất mà bạn có. Không có dữ liệu, không có giá trị. Nhưng với hầu hết các công ty, dữ liệu lại là vấn đề nhiều hơn là lợi thế</w:t>
      </w:r>
      <w:r>
        <w:rPr>
          <w:b/>
          <w:i w:val="0"/>
        </w:rPr>
        <w:t>.</w:t>
      </w:r>
    </w:p>
    <w:p>
      <w:pPr>
        <w:spacing w:after="80"/>
      </w:pPr>
      <w:r>
        <w:rPr>
          <w:b w:val="0"/>
          <w:i w:val="0"/>
        </w:rPr>
        <w:t>Theo kinh nghiệm của chúng tôi, có tới 70% nỗ lực phát triển một giải pháp dựa trên AI là để xử lý và hài hòa dữ liệu. Hành trình luôn bắt đầu bằng việc xác định phần nào trong kho dữ liệu của bạn cần được làm cho dễ tiêu thụ một cách cấp bách nhất để tạo ra giá trị kinh doanh.</w:t>
      </w:r>
    </w:p>
    <w:p>
      <w:pPr>
        <w:spacing w:after="80"/>
      </w:pPr>
      <w:r>
        <w:rPr>
          <w:b w:val="0"/>
          <w:i w:val="0"/>
        </w:rPr>
        <w:t>Tiếp theo, dữ liệu được làm cho có thể truy cập bằng cách gom nó từ các hệ thống khác nhau nơi nó đang nằm vào một nền tảng dữ liệu, cho phép dữ liệu chảy trơn tru từ nơi nó được tạo ra đến nơi nó cần được sử dụng.</w:t>
      </w:r>
    </w:p>
    <w:p>
      <w:pPr>
        <w:spacing w:after="80"/>
      </w:pPr>
      <w:r>
        <w:rPr>
          <w:b w:val="0"/>
          <w:i w:val="0"/>
        </w:rPr>
        <w:t>Để làm cho dữ liệu dễ tiêu thụ, nó cần được đóng gói thành các sản phẩm dữ liệu (data product) — một tập hợp các phần tử dữ liệu được chọn lọc và gói lại theo cách mà bất kỳ nhóm hay ứng dụng nào trong tổ chức cũng có thể dễ dàng tiêu thụ (thường thông qua API).</w:t>
      </w:r>
    </w:p>
    <w:p>
      <w:pPr>
        <w:spacing w:after="80"/>
      </w:pPr>
      <w:r>
        <w:rPr>
          <w:b w:val="0"/>
          <w:i w:val="0"/>
        </w:rPr>
        <w:t>Những khái niệm cốt lõi này là trung tâm để khai mở giá trị từ dữ liệu của bạn và được trình bày trong bốn chương đầu của phần này.</w:t>
      </w:r>
    </w:p>
    <w:p>
      <w:pPr>
        <w:spacing w:after="80"/>
      </w:pPr>
      <w:r>
        <w:rPr>
          <w:b/>
          <w:i/>
        </w:rPr>
        <w:t>Trong thời đại GenAI, dữ liệu càng trở nên giá trị hơn. Các tổ chức giờ đây có thể khai thác trọn vẹn tiềm năng của dữ liệu phi cấu trúc (unstructured data) để khám phá những hiểu biết và cơ hội mới</w:t>
      </w:r>
      <w:r>
        <w:rPr>
          <w:b/>
          <w:i w:val="0"/>
        </w:rPr>
        <w:t>.</w:t>
      </w:r>
    </w:p>
    <w:p>
      <w:pPr>
        <w:spacing w:after="80"/>
      </w:pPr>
      <w:r>
        <w:rPr>
          <w:b w:val="0"/>
          <w:i w:val="0"/>
        </w:rPr>
        <w:t xml:space="preserve">Ấn bản thứ hai này của </w:t>
      </w:r>
      <w:r>
        <w:rPr>
          <w:b w:val="0"/>
          <w:i/>
        </w:rPr>
        <w:t>Rewired</w:t>
      </w:r>
      <w:r>
        <w:rPr>
          <w:b w:val="0"/>
          <w:i w:val="0"/>
        </w:rPr>
        <w:t xml:space="preserve"> đề cập cụ thể đến giá trị của dữ liệu phi cấu trúc, việc tích hợp nó vào kiến trúc dữ liệu của bạn và cách bảo vệ dữ liệu trong một thế giới mà LLM là một phần của công việc hằng ngày.</w:t>
      </w:r>
    </w:p>
    <w:p>
      <w:pPr>
        <w:spacing w:after="80"/>
      </w:pPr>
      <w:r>
        <w:rPr>
          <w:b w:val="0"/>
          <w:i w:val="0"/>
        </w:rPr>
        <w:t>Chúng tôi khép lại phần này bằng một cuộc trò chuyện mang tính chiến lược về dữ liệu, đang chuyển dịch từ câu hỏi "Làm sao để khai thác tốt hơn dữ liệu chúng ta đang có?" sang "Làm sao để đầu tư vào dữ liệu độc quyền nhằm tạo lợi thế cạnh tranh?"</w:t>
      </w:r>
    </w:p>
    <w:p>
      <w:pPr>
        <w:spacing w:after="80"/>
      </w:pPr>
      <w:r>
        <w:rPr>
          <w:b/>
          <w:i w:val="0"/>
        </w:rPr>
        <w:t>Chương 24. Bắt đầu từ giá trị, rồi mới đến dữ liệu.</w:t>
      </w:r>
      <w:r>
        <w:rPr>
          <w:b w:val="0"/>
          <w:i w:val="0"/>
        </w:rPr>
        <w:t xml:space="preserve"> Đánh giá phần nào trong kho dữ liệu của bạn cần được sửa chữa dựa trên giá trị mà chúng có thể tạo ra, và xây dựng kế hoạch đưa chúng đạt đến một chuẩn sẵn sàng hữu ích, tận dụng GenAI để tăng tốc quá trình đó.</w:t>
      </w:r>
    </w:p>
    <w:p>
      <w:pPr>
        <w:spacing w:after="80"/>
      </w:pPr>
      <w:r>
        <w:rPr>
          <w:b/>
          <w:i w:val="0"/>
        </w:rPr>
        <w:t>Chương 25. Không có kiến trúc dữ liệu, không có lợi thế AI.</w:t>
      </w:r>
      <w:r>
        <w:rPr>
          <w:b w:val="0"/>
          <w:i w:val="0"/>
        </w:rPr>
        <w:t xml:space="preserve"> Một kiến trúc dữ liệu vững mạnh đảm bảo nền tảng dữ liệu của bạn được xây dựng đúng cách — có khả năng mở rộng, nhất quán và gắn kết với mục tiêu kinh doanh — đồng thời cũng được xây dựng theo hướng lặp (iterative) để các năng lực mới luôn gắn với những trường hợp sử dụng mà chúng phục vụ.</w:t>
      </w:r>
    </w:p>
    <w:p>
      <w:pPr>
        <w:spacing w:after="80"/>
      </w:pPr>
      <w:r>
        <w:rPr>
          <w:b/>
          <w:i w:val="0"/>
        </w:rPr>
        <w:t>Chương 26. Sản phẩm dữ liệu: Những khối xây dựng có thể tái sử dụng để mở rộng quy mô.</w:t>
      </w:r>
      <w:r>
        <w:rPr>
          <w:b w:val="0"/>
          <w:i w:val="0"/>
        </w:rPr>
        <w:t xml:space="preserve"> Hiện thực hóa cả giá trị ngắn hạn lẫn dài hạn từ các khoản đầu tư vào dữ liệu bằng cách quản lý dữ liệu như một sản phẩm. Đó là cách bạn làm cho dữ liệu dễ tiêu thụ đối với người dùng hoặc các ứng dụng dựa trên AI trong toàn doanh nghiệp.</w:t>
      </w:r>
    </w:p>
    <w:p>
      <w:pPr>
        <w:spacing w:after="80"/>
      </w:pPr>
      <w:r>
        <w:rPr>
          <w:b/>
          <w:i w:val="0"/>
        </w:rPr>
        <w:t>Chương 27. Tổ chức để khai thác tối đa dữ liệu của bạn.</w:t>
      </w:r>
      <w:r>
        <w:rPr>
          <w:b w:val="0"/>
          <w:i w:val="0"/>
        </w:rPr>
        <w:t xml:space="preserve"> Dữ liệu chạm đến mọi thứ và là một nguồn quyền lực trong tổ chức, đó là lý do vì sao quản trị và tổ chức dữ liệu lại khó đến vậy. Nhưng làm đúng điều này có lẽ là quyết định về dữ liệu quan trọng nhất mà bạn cần đưa ra — nếu không có quyền sở hữu rõ ràng, các năng lực dữ liệu sẽ nhanh chóng mai một.</w:t>
      </w:r>
    </w:p>
    <w:p>
      <w:pPr>
        <w:spacing w:after="80"/>
      </w:pPr>
      <w:r>
        <w:rPr>
          <w:b/>
          <w:i w:val="0"/>
        </w:rPr>
        <w:t>Chương 28. Bảo vệ dữ liệu trong thế giới LLM.</w:t>
      </w:r>
      <w:r>
        <w:rPr>
          <w:b w:val="0"/>
          <w:i w:val="0"/>
        </w:rPr>
        <w:t xml:space="preserve"> GenAI tạo ra những cách mới để dữ liệu di chuyển và được sử dụng, tạo ra một bề mặt rủi ro không ngừng lớn lên và biến đổi. Để theo kịp, các công ty phải dựa vào các cơ chế kiểm soát tự động có khả năng thích ứng khi chính sách thay đổi—chỉ giám sát thủ công thì không thể mở rộng quy mô.</w:t>
      </w:r>
    </w:p>
    <w:p>
      <w:pPr>
        <w:spacing w:after="80"/>
      </w:pPr>
      <w:r>
        <w:rPr>
          <w:b/>
          <w:i w:val="0"/>
        </w:rPr>
        <w:t>Chương 29. Nhiệm vụ chiến lược tiếp theo của bạn: Tạo ra lợi thế dữ liệu độc quyền.</w:t>
      </w:r>
      <w:r>
        <w:rPr>
          <w:b w:val="0"/>
          <w:i w:val="0"/>
        </w:rPr>
        <w:t xml:space="preserve"> Nhiều lãnh đạo điều hành nói rằng dữ liệu là yếu tố then chốt. Nhưng rất ít người thực sự đầu tư vào việc tạo ra và làm giàu dữ liệu. Điều đó phải thay đổi. Các nhà lãnh đạo doanh nghiệp phải chủ động định hướng đầu tư để tạo ra và làm giàu dữ liệu độc quyền, giống như họ vẫn làm với bất kỳ loại tài sản nào khác.</w:t>
      </w:r>
    </w:p>
    <w:p>
      <w:pPr>
        <w:pStyle w:val="Heading2"/>
      </w:pPr>
      <w:r>
        <w:rPr>
          <w:rFonts w:ascii="Calibri" w:hAnsi="Calibri"/>
          <w:b/>
          <w:i w:val="0"/>
          <w:sz w:val="32"/>
        </w:rPr>
        <w:t>Ghi chú</w:t>
      </w:r>
    </w:p>
    <w:p>
      <w:pPr>
        <w:spacing w:after="80"/>
        <w:ind w:left="360"/>
      </w:pPr>
      <w:r>
        <w:t xml:space="preserve">1. </w:t>
      </w:r>
      <w:r>
        <w:rPr>
          <w:b w:val="0"/>
          <w:i w:val="0"/>
        </w:rPr>
        <w:t>1   Antonio Castro là partner tại văn phòng McKinsey ở New York; Kayvaun Rowshankish là senior partner tại văn phòng New York.</w:t>
      </w:r>
    </w:p>
    <w:p>
      <w:pPr>
        <w:spacing w:after="80"/>
        <w:ind w:left="360"/>
      </w:pPr>
      <w:r>
        <w:t xml:space="preserve">2. </w:t>
      </w:r>
      <w:r>
        <w:rPr>
          <w:b w:val="0"/>
          <w:i w:val="0"/>
        </w:rPr>
        <w:t>2   Câu chuyện phi thường của DBS được kể chi tiết trong Chương 39. Chuyển đổi dữ liệu không phải là động lực duy nhất giúp rút ngắn thời gian phát triển mô hình này. Việc thiết lập một nền tảng AI và cấu trúc mô hình vận hành sẵn có cũng góp phần đạt được mức hiệu suất này.</w:t>
      </w:r>
    </w:p>
    <w:p>
      <w:pPr>
        <w:pStyle w:val="Heading2"/>
      </w:pPr>
      <w:r>
        <w:rPr>
          <w:rFonts w:ascii="Calibri" w:hAnsi="Calibri"/>
          <w:b/>
          <w:i/>
          <w:sz w:val="32"/>
        </w:rPr>
        <w:t>“Câu hỏi thiết yếu không phải là ‘Bạn bận rộn đến mức nào?’ mà là ‘Bạn đang bận rộn với việc gì?’”</w:t>
      </w:r>
    </w:p>
    <w:p>
      <w:pPr>
        <w:spacing w:after="80"/>
      </w:pPr>
      <w:r>
        <w:rPr>
          <w:b/>
          <w:i w:val="0"/>
        </w:rPr>
        <w:t>— Oprah Winfrey</w:t>
      </w:r>
    </w:p>
    <w:p>
      <w:pPr>
        <w:pStyle w:val="Heading1"/>
      </w:pPr>
      <w:r>
        <w:rPr>
          <w:rFonts w:ascii="Calibri" w:hAnsi="Calibri"/>
          <w:b/>
          <w:i w:val="0"/>
          <w:sz w:val="40"/>
        </w:rPr>
        <w:t>CHƯƠNG 24</w:t>
      </w:r>
      <w:r>
        <w:rPr>
          <w:rFonts w:ascii="Calibri" w:hAnsi="Calibri"/>
          <w:b/>
          <w:i w:val="0"/>
          <w:sz w:val="40"/>
        </w:rPr>
      </w:r>
      <w:r>
        <w:rPr>
          <w:rFonts w:ascii="Calibri" w:hAnsi="Calibri"/>
          <w:b/>
          <w:i w:val="0"/>
          <w:sz w:val="40"/>
        </w:rPr>
        <w:t>Bắt đầu từ giá trị, rồi mới đến dữ liệu</w:t>
      </w:r>
    </w:p>
    <w:p>
      <w:pPr>
        <w:spacing w:after="80"/>
      </w:pPr>
      <w:r>
        <w:rPr>
          <w:b w:val="0"/>
          <w:i w:val="0"/>
        </w:rPr>
        <w:t>Đội ngũ lãnh đạo tại BigPharmaCo đang trải qua những lời than phiền quen thuộc về dữ liệu. Họ vừa nghe xong một bài trình bày hấp dẫn về tiềm năng của AI trong việc khám phá thuốc, phát triển lâm sàng và tương tác hiệu quả hơn với các nhà cung cấp dịch vụ chăm sóc sức khỏe.</w:t>
      </w:r>
    </w:p>
    <w:p>
      <w:pPr>
        <w:spacing w:after="80"/>
      </w:pPr>
      <w:r>
        <w:rPr>
          <w:b w:val="0"/>
          <w:i w:val="0"/>
        </w:rPr>
        <w:t>Phản đối đầu tiên từ nhóm có thể đoán trước được: “Tất cả những điều này rất truyền cảm hứng, nhưng dữ liệu của chúng ta thì lung tung khắp nơi. Chẳng phải trước tiên chúng ta cần sắp xếp lại dữ liệu sao?”</w:t>
      </w:r>
    </w:p>
    <w:p>
      <w:pPr>
        <w:spacing w:after="80"/>
      </w:pPr>
      <w:r>
        <w:rPr>
          <w:b w:val="0"/>
          <w:i w:val="0"/>
        </w:rPr>
        <w:t>Trưởng bộ phận IT đã phải hứng chịu những lời chỉ trích này suốt nhiều năm. Bà đồng ý và nói thêm: “Công ty chưa bao giờ cho tôi khoản đầu tư cần thiết để khắc phục điều đó, vì tất cả các vị đều không thấy được ROI rõ ràng.”</w:t>
      </w:r>
    </w:p>
    <w:p>
      <w:pPr>
        <w:spacing w:after="80"/>
      </w:pPr>
      <w:r>
        <w:rPr>
          <w:b w:val="0"/>
          <w:i w:val="0"/>
        </w:rPr>
        <w:t>Và CFO lên tiếng: “Tôi sẵn sàng đầu tư vào bất cứ thứ gì có business case và có một người chịu trách nhiệm rõ ràng.”</w:t>
      </w:r>
    </w:p>
    <w:p>
      <w:pPr>
        <w:spacing w:after="80"/>
      </w:pPr>
      <w:r>
        <w:rPr>
          <w:b w:val="0"/>
          <w:i w:val="0"/>
        </w:rPr>
        <w:t>Nghe quen không?</w:t>
      </w:r>
    </w:p>
    <w:p>
      <w:pPr>
        <w:spacing w:after="80"/>
      </w:pPr>
      <w:r>
        <w:rPr>
          <w:b w:val="0"/>
          <w:i w:val="0"/>
        </w:rPr>
        <w:t>Một phiên bản của cuộc trò chuyện này diễn ra ở rất nhiều công ty. Ở một khía cạnh nào đó, đây là một diễn biến tích cực—mọi người đều đồng lòng sửa chữa dữ liệu để có thể khai thác giá trị từ nó. Nhưng đó cũng là con đường dẫn đến ngõ cụt (hoặc một hành trình rất dài và tốn kém). Bởi vì bối cảnh dữ liệu ở hầu hết các công ty phức tạp đến mức bạn có thể dành cả đời để sắp xếp nó vào khuôn khổ trước khi nó sẵn sàng để sử dụng.</w:t>
      </w:r>
    </w:p>
    <w:p>
      <w:pPr>
        <w:spacing w:after="80"/>
      </w:pPr>
      <w:r>
        <w:rPr>
          <w:b/>
          <w:i/>
        </w:rPr>
        <w:t>Ban lãnh đạo thường tin rằng thành công với AI bắt đầu từ dữ liệu, nhưng không phải vậy. Nó bắt đầu từ việc xác định rõ những vấn đề kinh doanh (hay cơ hội) nào đáng để giải quyết, rồi mới tập trung vào các giải pháp để giải quyết những vấn đề đó và dữ liệu cần thiết để vận hành chúng</w:t>
      </w:r>
      <w:r>
        <w:rPr>
          <w:b/>
          <w:i w:val="0"/>
        </w:rPr>
        <w:t>.</w:t>
      </w:r>
    </w:p>
    <w:p>
      <w:pPr>
        <w:spacing w:after="80"/>
      </w:pPr>
      <w:r>
        <w:rPr>
          <w:b w:val="0"/>
          <w:i w:val="0"/>
        </w:rPr>
        <w:t>Nếu bạn muốn nướng một chiếc bánh, bạn sẽ không đi mua nguyên liệu cho mọi loại bánh có thể có. Bạn sẽ xác định mình muốn chiếc bánh nào (chúng tôi thì mê bánh sô-cô-la), rồi sắp xếp những nguyên liệu cần thiết để làm ra nó.</w:t>
      </w:r>
    </w:p>
    <w:p>
      <w:pPr>
        <w:spacing w:after="80"/>
      </w:pPr>
      <w:r>
        <w:rPr>
          <w:b w:val="0"/>
          <w:i w:val="0"/>
        </w:rPr>
        <w:t>Cách tiếp cận của bạn với dữ liệu cũng nên như vậy. Nếu không biết mình muốn xây dựng cái gì (và vì sao), bạn sẽ mãi không thể trả lời câu hỏi đơn giản: “Dữ liệu nào thực sự quan trọng?” Nếu không trả lời được câu hỏi đó, bạn sẽ không biết cần đầu tư những gì để chuẩn bị dữ liệu, và chắc chắn bạn sẽ không có được một business case (hồ sơ kinh doanh) đủ sức thuyết phục.</w:t>
      </w:r>
    </w:p>
    <w:p>
      <w:pPr>
        <w:spacing w:after="80"/>
      </w:pPr>
      <w:r>
        <w:rPr>
          <w:b w:val="0"/>
          <w:i w:val="0"/>
        </w:rPr>
        <w:t xml:space="preserve">Tiến sĩ Barbara Wixom, Nhà nghiên cứu chính tại Trung tâm Nghiên cứu Hệ thống Thông tin (CISR) thuộc MIT Sloan, nói trong cuốn sách </w:t>
      </w:r>
      <w:r>
        <w:rPr>
          <w:b w:val="0"/>
          <w:i/>
        </w:rPr>
        <w:t>Data Is Everybody’s Business</w:t>
      </w:r>
      <w:r>
        <w:rPr>
          <w:b w:val="0"/>
          <w:i w:val="0"/>
        </w:rPr>
        <w:t xml:space="preserve"> của bà rằng: “Bài học quan trọng nhất là việc tạo ra giá trị từ dữ liệu đòi hỏi một con người hoặc một hệ thống phải thực hiện một hành động mà nếu không có nó thì đã không làm. Các quy trình hoặc sản phẩm tốt hơn mới tạo ra giá trị mới, chứ không phải bản thân dữ liệu.” Sau khi các nhà lãnh đạo cấp cao trong doanh nghiệp đã hoàn thành việc xác định các use case (tình huống sử dụng) then chốt trong một tập hợp lĩnh vực cụ thể (được mô tả trong Phần Một), thì một cách tiếp cận dữ liệu mang tính chiến lược và có mục tiêu hơn mới có thể diễn ra. Để dùng phép so sánh với chiếc bánh của chúng ta, đây là giai đoạn bạn đang tìm những nguyên liệu phù hợp, rồi đánh giá chất lượng và làm sạch chúng.</w:t>
      </w:r>
    </w:p>
    <w:p>
      <w:pPr>
        <w:spacing w:after="80"/>
      </w:pPr>
      <w:r>
        <w:rPr>
          <w:b w:val="0"/>
          <w:i w:val="0"/>
        </w:rPr>
        <w:t>Hãy xem điều này diễn ra như thế nào.</w:t>
      </w:r>
    </w:p>
    <w:p>
      <w:pPr>
        <w:pStyle w:val="Heading2"/>
      </w:pPr>
      <w:r>
        <w:rPr>
          <w:rFonts w:ascii="Calibri" w:hAnsi="Calibri"/>
          <w:b/>
          <w:i w:val="0"/>
          <w:sz w:val="32"/>
        </w:rPr>
        <w:t>Xác định và ưu tiên hóa dữ liệu</w:t>
      </w:r>
    </w:p>
    <w:p>
      <w:pPr>
        <w:spacing w:after="80"/>
      </w:pPr>
      <w:r>
        <w:rPr>
          <w:b w:val="0"/>
          <w:i w:val="0"/>
        </w:rPr>
        <w:t>Hãy lấy một ví dụ từ ngành bảo hiểm (Sơ đồ 24.1). Công ty bảo hiểm này đã chọn bán hàng làm lĩnh vực kinh doanh ưu tiên của mình. Giải pháp khách hàng đầu tiên được phát triển tập trung vào các dịch vụ bảo vệ tài sản. Giải pháp này bao gồm nhiều use case. Một use case như vậy là đưa ra lời khuyên nâng cao về bảo vệ tài sản cho khách hàng.</w:t>
      </w:r>
    </w:p>
    <w:p>
      <w:pPr>
        <w:spacing w:after="80"/>
      </w:pPr>
      <w:r>
        <w:rPr>
          <w:b w:val="0"/>
          <w:i w:val="0"/>
        </w:rPr>
        <w:t>Từ đây trở đi, chúng ta tiếp tục mổ xẻ sâu hơn dữ liệu cần thiết để use case này thành hiện thực. Trong ví dụ cụ thể này, dữ liệu được lấy từ hai data domain (miền dữ liệu) và trong đó, các data element (phần tử dữ liệu) cụ thể được xác định.</w:t>
      </w:r>
    </w:p>
    <w:p>
      <w:pPr>
        <w:jc w:val="center"/>
      </w:pPr>
      <w:r>
        <w:drawing>
          <wp:inline xmlns:a="http://schemas.openxmlformats.org/drawingml/2006/main" xmlns:pic="http://schemas.openxmlformats.org/drawingml/2006/picture">
            <wp:extent cx="5486400" cy="5834222"/>
            <wp:docPr id="149" name="Picture 149"/>
            <wp:cNvGraphicFramePr>
              <a:graphicFrameLocks noChangeAspect="1"/>
            </wp:cNvGraphicFramePr>
            <a:graphic>
              <a:graphicData uri="http://schemas.openxmlformats.org/drawingml/2006/picture">
                <pic:pic>
                  <pic:nvPicPr>
                    <pic:cNvPr id="0" name="c24ex001.png"/>
                    <pic:cNvPicPr/>
                  </pic:nvPicPr>
                  <pic:blipFill>
                    <a:blip r:embed="rId113"/>
                    <a:stretch>
                      <a:fillRect/>
                    </a:stretch>
                  </pic:blipFill>
                  <pic:spPr>
                    <a:xfrm>
                      <a:off x="0" y="0"/>
                      <a:ext cx="5486400" cy="5834222"/>
                    </a:xfrm>
                    <a:prstGeom prst="rect"/>
                  </pic:spPr>
                </pic:pic>
              </a:graphicData>
            </a:graphic>
          </wp:inline>
        </w:drawing>
      </w:r>
    </w:p>
    <w:p>
      <w:pPr>
        <w:spacing w:after="160"/>
        <w:jc w:val="center"/>
      </w:pPr>
      <w:r>
        <w:rPr>
          <w:rFonts w:ascii="Calibri" w:hAnsi="Calibri"/>
          <w:b w:val="0"/>
          <w:i/>
          <w:sz w:val="19"/>
        </w:rPr>
        <w:t>SƠ ĐỒ 24.1</w:t>
      </w:r>
    </w:p>
    <w:p>
      <w:pPr>
        <w:spacing w:after="80"/>
      </w:pPr>
      <w:r>
        <w:rPr>
          <w:b w:val="0"/>
          <w:i w:val="0"/>
        </w:rPr>
        <w:t>Công việc này trông có vẻ đơn giản, nhưng thực tế không phải vậy. Nó đòi hỏi phải hiểu rõ dữ liệu cụ thể mà use case cần và tìm ra nơi để lấy dữ liệu đó. Đây là một quá trình lặp đi lặp lại, trong đó người ta có thể điều chỉnh yêu cầu dữ liệu cho phù hợp với tình hình sẵn có của dữ liệu.</w:t>
      </w:r>
    </w:p>
    <w:p>
      <w:pPr>
        <w:pStyle w:val="Heading2"/>
      </w:pPr>
      <w:r>
        <w:rPr>
          <w:rFonts w:ascii="Calibri" w:hAnsi="Calibri"/>
          <w:b/>
          <w:i w:val="0"/>
          <w:sz w:val="32"/>
        </w:rPr>
        <w:t>Định nghĩa các thuật ngữ then chốt</w:t>
      </w:r>
    </w:p>
    <w:p>
      <w:pPr>
        <w:spacing w:after="80"/>
      </w:pPr>
      <w:r>
        <w:rPr>
          <w:b/>
          <w:i w:val="0"/>
        </w:rPr>
        <w:t>Data element (phần tử dữ liệu):</w:t>
      </w:r>
      <w:r>
        <w:rPr>
          <w:b w:val="0"/>
          <w:i w:val="0"/>
        </w:rPr>
        <w:t xml:space="preserve"> Đơn vị thông tin cơ bản mang một ý nghĩa riêng biệt, chẳng hạn như tên khách hàng, địa chỉ khách hàng, tên sản phẩm hoặc ngày tháng.</w:t>
      </w:r>
    </w:p>
    <w:p>
      <w:pPr>
        <w:spacing w:after="80"/>
      </w:pPr>
      <w:r>
        <w:rPr>
          <w:b/>
          <w:i w:val="0"/>
        </w:rPr>
        <w:t>Data domain (miền dữ liệu):</w:t>
      </w:r>
      <w:r>
        <w:rPr>
          <w:b w:val="0"/>
          <w:i w:val="0"/>
        </w:rPr>
        <w:t xml:space="preserve"> Nhóm khái niệm gồm các dữ liệu có liên quan với nhau, thường do một bộ phận kinh doanh tạo ra nó làm chủ sở hữu—ví dụ như khách hàng, thanh toán, yêu cầu bồi thường, chuỗi cung ứng hoặc rủi ro.</w:t>
      </w:r>
    </w:p>
    <w:p>
      <w:pPr>
        <w:spacing w:after="80"/>
      </w:pPr>
      <w:r>
        <w:rPr>
          <w:b/>
          <w:i w:val="0"/>
        </w:rPr>
        <w:t>Data product (sản phẩm dữ liệu):</w:t>
      </w:r>
      <w:r>
        <w:rPr>
          <w:b w:val="0"/>
          <w:i w:val="0"/>
        </w:rPr>
        <w:t xml:space="preserve"> Một tập dữ liệu chất lượng cao, sẵn sàng sử dụng mà mọi người trong tổ chức có thể dễ dàng truy cập và sử dụng. Nó thường là một tập con của những dữ liệu được dùng thường xuyên nhất trong một data domain.</w:t>
      </w:r>
    </w:p>
    <w:p>
      <w:pPr>
        <w:spacing w:after="80"/>
      </w:pPr>
      <w:r>
        <w:rPr>
          <w:b/>
          <w:i/>
        </w:rPr>
        <w:t>Trong hầu hết mọi trường hợp, bạn sẽ nhận ra rằng mình có đủ dữ liệu để bắt đầu với các use case dựa trên AI của mình. Đồng thời, bạn cũng sẽ luôn phát hiện ra rằng sẽ tốt hơn nếu có thêm dữ liệu để hiệu suất use case còn tốt hơn nữa. Đây là lý do vì sao việc xây dựng một data roadmap (lộ trình dữ liệu) đòi hỏi sự kỷ luật thực sự</w:t>
      </w:r>
      <w:r>
        <w:rPr>
          <w:b/>
          <w:i w:val="0"/>
        </w:rPr>
        <w:t>.</w:t>
      </w:r>
    </w:p>
    <w:p>
      <w:pPr>
        <w:spacing w:after="80"/>
      </w:pPr>
      <w:r>
        <w:rPr>
          <w:b w:val="0"/>
          <w:i w:val="0"/>
        </w:rPr>
        <w:t>Một data roadmap cần được gắn kết chặt chẽ với solution roadmap (lộ trình giải pháp). Trong khi một nhóm làm việc phát triển giải pháp, một nhóm khác làm việc để cung cấp dữ liệu cần thiết cho giải pháp đó. Cả hai nhóm đều hiểu rõ những data element nào sẽ được cung cấp sẵn sàng và những cái nào sẽ đến sau. Sự ăn khớp này là cực kỳ quan trọng.</w:t>
      </w:r>
    </w:p>
    <w:p>
      <w:pPr>
        <w:spacing w:after="80"/>
      </w:pPr>
      <w:r>
        <w:rPr>
          <w:b w:val="0"/>
          <w:i w:val="0"/>
        </w:rPr>
        <w:t>Các khoản đầu tư cần thiết để chuẩn bị dữ liệu nên được chi trả bởi business case của giải pháp hoặc một ngân sách dữ liệu trung tâm. Cả hai cách đều có ưu và nhược điểm. Cách thứ nhất tạo ra sự ăn khớp chặt chẽ về ROI (tỷ suất hoàn vốn) nhưng lại phạt quá nặng giải pháp đầu tiên sẽ tiêu thụ dữ liệu này. Cách thứ hai dễ triển khai hơn nhưng có thể làm loãng trách nhiệm giải trình về tài chính.</w:t>
      </w:r>
    </w:p>
    <w:p>
      <w:pPr>
        <w:pStyle w:val="Heading2"/>
      </w:pPr>
      <w:r>
        <w:rPr>
          <w:rFonts w:ascii="Calibri" w:hAnsi="Calibri"/>
          <w:b/>
          <w:i w:val="0"/>
          <w:sz w:val="32"/>
        </w:rPr>
        <w:t>Đánh giá mức độ sẵn sàng của dữ liệu</w:t>
      </w:r>
    </w:p>
    <w:p>
      <w:pPr>
        <w:spacing w:after="80"/>
      </w:pPr>
      <w:r>
        <w:rPr>
          <w:b w:val="0"/>
          <w:i w:val="0"/>
        </w:rPr>
        <w:t>Không hiếm khi dữ liệu cần cho một giải pháp lại có chất lượng kém. Điều này tạo ra vấn đề kinh điển "rác vào, rác ra" (garbage in, garbage out), khiến dữ liệu chất lượng kém làm xói mòn tiến độ. Tại công ty khai khoáng Freeport-McMoRan, chẳng hạn, các nhà lãnh đạo nhận ra dữ liệu cảm biến tuyển nổi (flotation sensor) của họ thường sai hoặc bị lệch chuẩn. Dữ liệu này cực kỳ quan trọng cho sự thành công của trình tối ưu hóa quy trình dựa trên AI của họ, vì vậy họ đã ưu tiên sửa chữa các cảm biến.</w:t>
      </w:r>
    </w:p>
    <w:p>
      <w:pPr>
        <w:spacing w:after="80"/>
      </w:pPr>
      <w:r>
        <w:rPr>
          <w:b w:val="0"/>
          <w:i w:val="0"/>
        </w:rPr>
        <w:t>Trước khi sửa chữa hay làm sạch dữ liệu, bạn cần xác định dữ liệu có vấn đề gì bằng cách đánh giá nó một cách kỹ lưỡng (đôi khi được gọi là "thẩm vấn dữ liệu"). Chín chiều kích của việc đánh giá chất lượng dữ liệu được thể hiện trong Hình 24.2.</w:t>
      </w:r>
    </w:p>
    <w:p>
      <w:pPr>
        <w:spacing w:after="80"/>
      </w:pPr>
      <w:r>
        <w:rPr>
          <w:b w:val="0"/>
          <w:i w:val="0"/>
        </w:rPr>
        <w:t>Bắt đầu bằng việc định nghĩa các quy tắc chất lượng dữ liệu dựa trên chín chiều kích này. Tiếp theo, đặt ra một mục tiêu đáp ứng nhu cầu kinh doanh. Ví dụ, mục tiêu tỷ lệ chính xác cho "địa chỉ khách hàng là chính xác" có thể lớn hơn 95%. Độ chính xác cao hơn là quan trọng nếu một công ty đang gửi bưu kiện đến khách hàng, nhưng ít quan trọng hơn nếu công ty đang cung cấp dịch vụ số.</w:t>
      </w:r>
    </w:p>
    <w:p>
      <w:pPr>
        <w:spacing w:after="80"/>
      </w:pPr>
      <w:r>
        <w:rPr>
          <w:b w:val="0"/>
          <w:i w:val="0"/>
        </w:rPr>
        <w:t>Cuối cùng, đo lường chất lượng dữ liệu của bạn và báo cáo hiệu suất so với các mục tiêu chất lượng dữ liệu đã định. Nhiều tổ chức ngày nay dựa vào các công cụ quan sát dữ liệu (data observability) và quản lý chất lượng hiện đại để quét tìm các vấn đề về dữ liệu. Những giải pháp này cung cấp các dịch vụ tự động hóa, giám sát liên tục, phát hiện bất thường, theo dõi nguồn gốc (lineage tracking), cảnh báo và tích hợp siêu dữ liệu (metadata).</w:t>
      </w:r>
    </w:p>
    <w:p>
      <w:pPr>
        <w:pStyle w:val="Heading2"/>
      </w:pPr>
      <w:r>
        <w:rPr>
          <w:rFonts w:ascii="Calibri" w:hAnsi="Calibri"/>
          <w:b/>
          <w:i w:val="0"/>
          <w:sz w:val="32"/>
        </w:rPr>
        <w:t>Những câu hỏi mà một lộ trình dữ liệu nên trả lời:</w:t>
      </w:r>
    </w:p>
    <w:p>
      <w:pPr>
        <w:spacing w:after="80"/>
        <w:ind w:left="360"/>
      </w:pPr>
      <w:r>
        <w:t xml:space="preserve">• </w:t>
      </w:r>
      <w:r>
        <w:rPr>
          <w:b w:val="0"/>
          <w:i w:val="0"/>
        </w:rPr>
        <w:t>Cần những phần tử dữ liệu nào?</w:t>
      </w:r>
    </w:p>
    <w:p>
      <w:pPr>
        <w:spacing w:after="80"/>
        <w:ind w:left="360"/>
      </w:pPr>
      <w:r>
        <w:t xml:space="preserve">• </w:t>
      </w:r>
      <w:r>
        <w:rPr>
          <w:b w:val="0"/>
          <w:i w:val="0"/>
        </w:rPr>
        <w:t>Những phần tử dữ liệu này sẽ được lấy từ đâu (ví dụ: các hệ thống, cơ sở dữ liệu hay nguồn bên ngoài)?</w:t>
      </w:r>
    </w:p>
    <w:p>
      <w:pPr>
        <w:spacing w:after="80"/>
        <w:ind w:left="360"/>
      </w:pPr>
      <w:r>
        <w:t xml:space="preserve">• </w:t>
      </w:r>
      <w:r>
        <w:rPr>
          <w:b w:val="0"/>
          <w:i w:val="0"/>
        </w:rPr>
        <w:t>Chúng sẽ được truy cập như thế nào (ví dụ: qua API, pipeline hay các bước quản trị)?</w:t>
      </w:r>
    </w:p>
    <w:p>
      <w:pPr>
        <w:spacing w:after="80"/>
        <w:ind w:left="360"/>
      </w:pPr>
      <w:r>
        <w:t xml:space="preserve">• </w:t>
      </w:r>
      <w:r>
        <w:rPr>
          <w:b w:val="0"/>
          <w:i w:val="0"/>
        </w:rPr>
        <w:t>Cần thêm những cải thiện chất lượng nào?</w:t>
      </w:r>
    </w:p>
    <w:p>
      <w:pPr>
        <w:spacing w:after="80"/>
        <w:ind w:left="360"/>
      </w:pPr>
      <w:r>
        <w:t xml:space="preserve">• </w:t>
      </w:r>
      <w:r>
        <w:rPr>
          <w:b w:val="0"/>
          <w:i w:val="0"/>
        </w:rPr>
        <w:t>Khi nào thì mỗi bước sẽ được hoàn thành?</w:t>
      </w:r>
    </w:p>
    <w:p>
      <w:pPr>
        <w:spacing w:after="80"/>
      </w:pPr>
      <w:r>
        <w:rPr>
          <w:b w:val="0"/>
          <w:i w:val="0"/>
        </w:rPr>
        <w:t>Khi được thực hiện tốt, quy trình này có thể phát hiện ra một loạt vấn đề, bao gồm các giá trị dữ liệu không chính xác dẫn đến tính toán sai, các định nghĩa khác nhau giữa các đơn vị kinh doanh dẫn đến dữ liệu bị sử dụng không đúng cách, và độ trễ trong tích hợp dữ liệu khiến dữ liệu bị trễ hạn báo cáo.</w:t>
      </w:r>
    </w:p>
    <w:p>
      <w:pPr>
        <w:spacing w:after="80"/>
      </w:pPr>
      <w:r>
        <w:rPr>
          <w:b w:val="0"/>
          <w:i w:val="0"/>
        </w:rPr>
        <w:t>Khi mức độ sẵn sàng của dữ liệu đã được hiểu rõ, bước tiếp theo là tạo lộ trình dữ liệu để sắp xếp trình tự công việc cần thiết nhằm chuẩn bị dữ liệu và đánh giá nỗ lực công việc cần thiết.</w:t>
      </w:r>
    </w:p>
    <w:p>
      <w:pPr>
        <w:jc w:val="center"/>
      </w:pPr>
      <w:r>
        <w:drawing>
          <wp:inline xmlns:a="http://schemas.openxmlformats.org/drawingml/2006/main" xmlns:pic="http://schemas.openxmlformats.org/drawingml/2006/picture">
            <wp:extent cx="5486400" cy="4893276"/>
            <wp:docPr id="150" name="Picture 150"/>
            <wp:cNvGraphicFramePr>
              <a:graphicFrameLocks noChangeAspect="1"/>
            </wp:cNvGraphicFramePr>
            <a:graphic>
              <a:graphicData uri="http://schemas.openxmlformats.org/drawingml/2006/picture">
                <pic:pic>
                  <pic:nvPicPr>
                    <pic:cNvPr id="0" name="c24ex002.png"/>
                    <pic:cNvPicPr/>
                  </pic:nvPicPr>
                  <pic:blipFill>
                    <a:blip r:embed="rId114"/>
                    <a:stretch>
                      <a:fillRect/>
                    </a:stretch>
                  </pic:blipFill>
                  <pic:spPr>
                    <a:xfrm>
                      <a:off x="0" y="0"/>
                      <a:ext cx="5486400" cy="4893276"/>
                    </a:xfrm>
                    <a:prstGeom prst="rect"/>
                  </pic:spPr>
                </pic:pic>
              </a:graphicData>
            </a:graphic>
          </wp:inline>
        </w:drawing>
      </w:r>
    </w:p>
    <w:p>
      <w:pPr>
        <w:spacing w:after="160"/>
        <w:jc w:val="center"/>
      </w:pPr>
      <w:r>
        <w:rPr>
          <w:rFonts w:ascii="Calibri" w:hAnsi="Calibri"/>
          <w:b w:val="0"/>
          <w:i/>
          <w:sz w:val="19"/>
        </w:rPr>
        <w:t>HÌNH 24.2</w:t>
      </w:r>
    </w:p>
    <w:p>
      <w:pPr>
        <w:pStyle w:val="Heading2"/>
      </w:pPr>
      <w:r>
        <w:rPr>
          <w:rFonts w:ascii="Calibri" w:hAnsi="Calibri"/>
          <w:b/>
          <w:i w:val="0"/>
          <w:sz w:val="32"/>
        </w:rPr>
        <w:t>Tích hợp dữ liệu phi cấu trúc</w:t>
      </w:r>
    </w:p>
    <w:p>
      <w:pPr>
        <w:spacing w:after="80"/>
      </w:pPr>
      <w:r>
        <w:rPr>
          <w:b w:val="0"/>
          <w:i w:val="0"/>
        </w:rPr>
        <w:t>Phần lớn dữ liệu trên thế giới là phi cấu trúc (unstructured), bao gồm email, nhật ký bảo trì, bản ghi cuộc gọi, hợp đồng, tệp thiết kế, bài đăng trực tuyến, ảnh vệ tinh và ghi chú thoại. Cho đến gần đây, sự phong phú và những hiểu biết ẩn giấu trong dữ liệu này vẫn chưa thể được tổ chức, truy vấn hay mô hình hóa một cách dễ dàng.</w:t>
      </w:r>
    </w:p>
    <w:p>
      <w:pPr>
        <w:spacing w:after="80"/>
      </w:pPr>
      <w:r>
        <w:rPr>
          <w:b w:val="0"/>
          <w:i w:val="0"/>
        </w:rPr>
        <w:t>Sự xuất hiện của các mô hình ngôn ngữ lớn (LLM) đã thay đổi điều đó. Với những đổi mới này, bạn có thể biến dữ liệu phi cấu trúc thành ý nghĩa có cấu trúc mà tổ chức có thể sử dụng và hành động một cách đáng tin cậy. Nhưng bạn không thể chỉ thả LLM lên dữ liệu phi cấu trúc và mong những gì nhận lại sẽ hữu ích. Nó vẫn đòi hỏi công việc chuẩn bị.</w:t>
      </w:r>
    </w:p>
    <w:p>
      <w:pPr>
        <w:spacing w:after="80"/>
      </w:pPr>
      <w:r>
        <w:rPr>
          <w:b w:val="0"/>
          <w:i w:val="0"/>
        </w:rPr>
        <w:t>Để làm tốt điều này, bạn cần làm ba việc:</w:t>
      </w:r>
    </w:p>
    <w:p>
      <w:pPr>
        <w:spacing w:after="80"/>
        <w:ind w:left="360"/>
      </w:pPr>
      <w:r>
        <w:t xml:space="preserve">1. </w:t>
      </w:r>
      <w:r>
        <w:rPr>
          <w:b/>
          <w:i w:val="0"/>
        </w:rPr>
        <w:t>Chuyển nội dung thành dữ liệu có ý nghĩa cho LLM.</w:t>
      </w:r>
      <w:r>
        <w:rPr>
          <w:b w:val="0"/>
          <w:i w:val="0"/>
        </w:rPr>
        <w:t xml:space="preserve"> Để dữ liệu này dùng được, văn bản, hình ảnh hay âm thanh cần được chuyển thành “embeddings” (vector nhúng). Về cơ bản, đây là những biểu diễn dạng số nắm bắt ý nghĩa của nội dung theo cách mà bạn có thể so sánh, phân cụm và truy xuất một cách hiệu quả và đáng tin cậy.</w:t>
        <w:br/>
        <w:t>Dữ liệu này nằm trong cái gọi là cơ sở dữ liệu vector (vector database), cho phép các AI agent tìm các mục dựa trên ý nghĩa hoặc sự tương đồng, chứ không dựa trên khớp văn bản chính xác (được gọi là tìm kiếm ngữ nghĩa – semantic search).</w:t>
      </w:r>
    </w:p>
    <w:p>
      <w:pPr>
        <w:spacing w:after="80"/>
        <w:ind w:left="360"/>
      </w:pPr>
      <w:r>
        <w:t xml:space="preserve">2. </w:t>
      </w:r>
      <w:r>
        <w:rPr>
          <w:b/>
          <w:i w:val="0"/>
        </w:rPr>
        <w:t>Kết nối dữ liệu để nó có ý nghĩa và hữu ích hơn.</w:t>
      </w:r>
      <w:r>
        <w:rPr>
          <w:b w:val="0"/>
          <w:i w:val="0"/>
        </w:rPr>
        <w:t xml:space="preserve"> Đồ thị tri thức (knowledge graph) làm cho dữ liệu trở nên có ý nghĩa bằng cách cung cấp một mạng lưới thông tin có cấu trúc, kết nối các thực thể thông qua các mối quan hệ của chúng. Nó giúp các hệ thống GenAI hiểu rằng “asset”, “machine” và “compressor #12” có thể cùng chỉ một thực thể. Lớp này cung cấp cho các hệ thống GenAI ngữ cảnh mà chúng cần để đưa ra những hiểu biết đáng tin cậy hơn xuyên suốt các loại dữ liệu và nguồn dữ liệu (đọc thêm về ontology và đồ thị tri thức trong Chương 25).</w:t>
      </w:r>
    </w:p>
    <w:p>
      <w:pPr>
        <w:spacing w:after="80"/>
        <w:ind w:left="360"/>
      </w:pPr>
      <w:r>
        <w:t xml:space="preserve">3. </w:t>
      </w:r>
      <w:r>
        <w:rPr>
          <w:b/>
          <w:i w:val="0"/>
        </w:rPr>
        <w:t>Kiểm soát chi phí và chất lượng thông qua việc tuyển chọn thông minh.</w:t>
      </w:r>
      <w:r>
        <w:rPr>
          <w:b w:val="0"/>
          <w:i w:val="0"/>
        </w:rPr>
        <w:t xml:space="preserve"> Các tổ chức tạo ra vô số phiên bản hợp đồng, tài liệu và tài sản sáng tạo. Coi tất cả nội dung này quan trọng như nhau thì rất tốn kém đối với các hệ thống GenAI—và nhanh chóng làm giảm chất lượng đầu ra. Việc tuyển chọn thông minh dựa vào GenAI để tự động phân loại nội dung, nhóm các phiên bản gần trùng lặp, phát hiện những khác biệt có ý nghĩa, và chấm điểm độ tin cậy hoặc thẩm quyền. Điều này cho phép các tổ chức xác định và đề cao một tập nhỏ dữ liệu chất lượng cao, có thẩm quyền, trong khi để yên các bản nháp và nội dung ít giá trị.</w:t>
      </w:r>
    </w:p>
    <w:p>
      <w:pPr>
        <w:spacing w:after="80"/>
      </w:pPr>
      <w:r>
        <w:rPr>
          <w:b w:val="0"/>
          <w:i w:val="0"/>
        </w:rPr>
        <w:t>Hãy xét một công ty bảo hiểm toàn cầu muốn cải thiện quy trình xử lý yêu cầu bồi thường. Công ty này đã nạp vào hàng triệu hợp đồng bảo hiểm, các thay đổi hợp đồng bổ sung và các phụ lục, bao gồm cả hình ảnh và nhật ký cuộc gọi. Sử dụng embeddings và một lớp đồ thị tri thức, công ty đã tạo ra một giao diện tìm kiếm duy nhất, nơi các nhân viên có thể truy xuất và tổng hợp thông tin hợp đồng ngay lập tức. Kết quả: giải quyết hồ sơ nhanh hơn 60% và ít các khoản chi trả không nhất quán hơn.</w:t>
      </w:r>
    </w:p>
    <w:p>
      <w:pPr>
        <w:spacing w:after="80"/>
      </w:pPr>
      <w:r>
        <w:rPr>
          <w:b/>
          <w:i/>
        </w:rPr>
        <w:t>Điểm mấu chốt là bạn phải thiết kế kiến trúc cho dữ liệu phi cấu trúc để tạo ra ý nghĩa bằng cách kết nối từ ngữ, hình ảnh và ngữ cảnh, sao cho mọi nhân viên và khách hàng đều có thể khai thác cùng một khối tri thức sống động</w:t>
      </w:r>
      <w:r>
        <w:rPr>
          <w:b/>
          <w:i w:val="0"/>
        </w:rPr>
        <w:t>.</w:t>
      </w:r>
    </w:p>
    <w:p>
      <w:pPr>
        <w:pStyle w:val="Heading2"/>
      </w:pPr>
      <w:r>
        <w:rPr>
          <w:rFonts w:ascii="Calibri" w:hAnsi="Calibri"/>
          <w:b/>
          <w:i w:val="0"/>
          <w:sz w:val="32"/>
        </w:rPr>
        <w:t>Tự động hóa việc làm sạch dữ liệu với GenAI</w:t>
      </w:r>
    </w:p>
    <w:p>
      <w:pPr>
        <w:spacing w:after="80"/>
      </w:pPr>
      <w:r>
        <w:rPr>
          <w:b w:val="0"/>
          <w:i w:val="0"/>
        </w:rPr>
        <w:t>Trong nhiều thập kỷ, dọn dẹp dữ liệu là công việc ơn nhất: tốn kém, chậm chạp và không bao giờ “xong”. GenAI cuối cùng đang thay đổi điều đó. Nó giờ có thể phát hiện, giải thích và sửa chữa các vấn đề dữ liệu trên cả nguồn có cấu trúc lẫn phi cấu trúc với mức độ tự động hóa mà chỉ vài năm trước còn không thể tưởng tượng nổi (Hình 24.3).</w:t>
      </w:r>
    </w:p>
    <w:p>
      <w:pPr>
        <w:spacing w:after="80"/>
      </w:pPr>
      <w:r>
        <w:rPr>
          <w:b w:val="0"/>
          <w:i w:val="0"/>
        </w:rPr>
        <w:t>Hãy cùng phân tích cách công việc này ngày càng được xử lý như thế nào trong thời đại hiện nay.</w:t>
      </w:r>
    </w:p>
    <w:p>
      <w:pPr>
        <w:spacing w:after="80"/>
      </w:pPr>
      <w:r>
        <w:rPr>
          <w:b/>
          <w:i w:val="0"/>
        </w:rPr>
        <w:t>Chẩn đoán bằng các agent chất lượng dữ liệu.</w:t>
      </w:r>
      <w:r>
        <w:rPr>
          <w:b w:val="0"/>
          <w:i w:val="0"/>
        </w:rPr>
        <w:t xml:space="preserve"> Các mô hình GenAI giờ có thể đọc file log, schema, và cả mô tả trường dạng văn bản tự do để suy ra các quy tắc dữ liệu và nhận diện bất thường. Ví dụ trong sản xuất, các mô-đun AI giờ thực hiện chẩn đoán nhanh, tóm tắt các bất thường cảm biến, lỗi hiệu chuẩn, hoặc giá trị bị thiếu trước cả khi một kỹ sư mở bảng điều khiển.</w:t>
      </w:r>
    </w:p>
    <w:p>
      <w:pPr>
        <w:spacing w:after="80"/>
      </w:pPr>
      <w:r>
        <w:rPr>
          <w:b/>
          <w:i w:val="0"/>
        </w:rPr>
        <w:t>Sửa dữ liệu ở quy mô lớn.</w:t>
      </w:r>
      <w:r>
        <w:rPr>
          <w:b w:val="0"/>
          <w:i w:val="0"/>
        </w:rPr>
        <w:t xml:space="preserve"> GenAI có thể đề xuất cách sửa hoặc tạo dữ liệu tổng hợp thực tế để lấp đầy khoảng trống. Các kỹ thuật gán nhãn tự động mới kết hợp những quy tắc đơn giản của con người với khả năng nhận diện mẫu của AI để nhanh chóng phân loại và làm sạch khối lượng khổng lồ dữ liệu phi cấu trúc—công việc từng mất hàng tháng giờ có thể hoàn thành trong vài giờ. Trong lĩnh vực hàng không vũ trụ, một số tổ chức đã dùng GenAI để diễn giải các ghi chú bảo trì viết tay cùng với dữ liệu đo từ xa và log hệ thống, ánh xạ chúng vào các nhóm nguyên nhân gốc, và cho phép các mô hình dự đoán hỏng hóc mà trước đây rất khó đưa vào vận hành.</w:t>
      </w:r>
    </w:p>
    <w:p>
      <w:pPr>
        <w:spacing w:after="80"/>
      </w:pPr>
      <w:r>
        <w:rPr>
          <w:b/>
          <w:i w:val="0"/>
        </w:rPr>
        <w:t>Làm giàu thông qua suy luận bằng ngôn ngữ tự nhiên.</w:t>
      </w:r>
      <w:r>
        <w:rPr>
          <w:b w:val="0"/>
          <w:i w:val="0"/>
        </w:rPr>
        <w:t xml:space="preserve"> GenAI có thể suy ra ý nghĩa, chẳng hạn nhận ra rằng “NYC” và “New York City” là một. Điều này thay thế quy trình mà trước đây vốn là thủ công để xác định và hệ thống hóa những mối quan hệ quan trọng này. Khi kết hợp với các đồ thị tri thức, điều này có thể gia tăng đáng kể độ đầy đủ và tính nhất quán của dữ liệu.</w:t>
      </w:r>
    </w:p>
    <w:p>
      <w:pPr>
        <w:spacing w:after="80"/>
      </w:pPr>
      <w:r>
        <w:rPr>
          <w:b/>
          <w:i w:val="0"/>
        </w:rPr>
        <w:t>Điều phối và giám sát tự động.</w:t>
      </w:r>
      <w:r>
        <w:rPr>
          <w:b w:val="0"/>
          <w:i w:val="0"/>
        </w:rPr>
        <w:t xml:space="preserve"> Để duy trì chất lượng theo thời gian, các tổ chức ngày càng thường xuyên tạo ra những pipeline dữ liệu tự chữa lành (self-healing), học hỏi từ mọi vấn đề gặp phải. Trong những trường hợp này, các pipeline vận hành dữ liệu tự động giám sát độ lệch (drift), dấu vết nguồn gốc (lineage) và tuân thủ, đồng thời kích hoạt huấn luyện lại hoặc khắc phục khi chất lượng suy giảm.</w:t>
      </w:r>
    </w:p>
    <w:p>
      <w:pPr>
        <w:jc w:val="center"/>
      </w:pPr>
      <w:r>
        <w:drawing>
          <wp:inline xmlns:a="http://schemas.openxmlformats.org/drawingml/2006/main" xmlns:pic="http://schemas.openxmlformats.org/drawingml/2006/picture">
            <wp:extent cx="5486400" cy="4917488"/>
            <wp:docPr id="151" name="Picture 151"/>
            <wp:cNvGraphicFramePr>
              <a:graphicFrameLocks noChangeAspect="1"/>
            </wp:cNvGraphicFramePr>
            <a:graphic>
              <a:graphicData uri="http://schemas.openxmlformats.org/drawingml/2006/picture">
                <pic:pic>
                  <pic:nvPicPr>
                    <pic:cNvPr id="0" name="c24ex003.png"/>
                    <pic:cNvPicPr/>
                  </pic:nvPicPr>
                  <pic:blipFill>
                    <a:blip r:embed="rId115"/>
                    <a:stretch>
                      <a:fillRect/>
                    </a:stretch>
                  </pic:blipFill>
                  <pic:spPr>
                    <a:xfrm>
                      <a:off x="0" y="0"/>
                      <a:ext cx="5486400" cy="4917488"/>
                    </a:xfrm>
                    <a:prstGeom prst="rect"/>
                  </pic:spPr>
                </pic:pic>
              </a:graphicData>
            </a:graphic>
          </wp:inline>
        </w:drawing>
      </w:r>
    </w:p>
    <w:p>
      <w:pPr>
        <w:spacing w:after="160"/>
        <w:jc w:val="center"/>
      </w:pPr>
      <w:r>
        <w:rPr>
          <w:rFonts w:ascii="Calibri" w:hAnsi="Calibri"/>
          <w:b w:val="0"/>
          <w:i/>
          <w:sz w:val="19"/>
        </w:rPr>
        <w:t>HÌNH 24.3</w:t>
      </w:r>
    </w:p>
    <w:p>
      <w:pPr>
        <w:spacing w:after="80"/>
      </w:pPr>
      <w:r>
        <w:rPr>
          <w:b w:val="0"/>
          <w:i w:val="0"/>
        </w:rPr>
        <w:t>Các tổ chức đã sử dụng GenAI đúng cách trong nỗ lực làm sạch dữ liệu báo cáo mức cải thiện hơn 60% về thời gian phát triển và cải thiện các sản phẩm dữ liệu của họ, với nỗ lực làm sạch thủ công giảm tới 50%. Cuối cùng, những pipeline dữ liệu thông minh này sẽ ngày càng thông minh hơn qua mỗi vòng lặp, tự kiểm tra và tự sửa chữa, cho phép các tổ chức không chỉ cung cấp dữ liệu chất lượng sẵn có hơn, mà còn tăng khả năng phục hồi dữ liệu khi tổ chức phát triển.</w:t>
      </w:r>
    </w:p>
    <w:p>
      <w:pPr>
        <w:jc w:val="center"/>
      </w:pPr>
      <w:r>
        <w:drawing>
          <wp:inline xmlns:a="http://schemas.openxmlformats.org/drawingml/2006/main" xmlns:pic="http://schemas.openxmlformats.org/drawingml/2006/picture">
            <wp:extent cx="1905000" cy="95250"/>
            <wp:docPr id="152" name="Picture 152"/>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Không công ty nào hài lòng với dữ liệu của mình, nhưng mục tiêu không bao giờ nên là làm cho dữ liệu trở nên đẹp đẽ. Mục tiêu nên là đưa dữ liệu vào hoạt động, một cách nhanh chóng, ở nơi nó tạo ra giá trị thực sự. Hãy bắt đầu bằng việc xác định nơi dữ liệu mở khóa tác động lớn nhất, rồi làm ngược lại để biến nó thành dễ tiếp cận và dùng được—điều mà GenAI đang giúp thực hiện nhanh hơn đáng kể.</w:t>
      </w:r>
    </w:p>
    <w:p>
      <w:pPr>
        <w:pStyle w:val="Heading2"/>
      </w:pPr>
      <w:r>
        <w:rPr>
          <w:rFonts w:ascii="Calibri" w:hAnsi="Calibri"/>
          <w:b/>
          <w:i w:val="0"/>
          <w:sz w:val="32"/>
        </w:rPr>
        <w:t>Ghi chú</w:t>
      </w:r>
    </w:p>
    <w:p>
      <w:pPr>
        <w:spacing w:after="80"/>
        <w:ind w:left="360"/>
      </w:pPr>
      <w:r>
        <w:t xml:space="preserve">1. </w:t>
      </w:r>
      <w:r>
        <w:rPr>
          <w:b w:val="0"/>
          <w:i w:val="0"/>
        </w:rPr>
        <w:t xml:space="preserve">1   Barbara H. Wixom, Cynthia M. Beath, và Leslie Owens, </w:t>
      </w:r>
      <w:r>
        <w:rPr>
          <w:b w:val="0"/>
          <w:i/>
        </w:rPr>
        <w:t>Data Is Everybody’s Business: The Fundamentals of Data Monetization</w:t>
      </w:r>
      <w:r>
        <w:rPr>
          <w:b w:val="0"/>
          <w:i w:val="0"/>
        </w:rPr>
        <w:t>, The MIT Press, 4 tháng 2, 2025.</w:t>
      </w:r>
    </w:p>
    <w:p>
      <w:pPr>
        <w:spacing w:after="80"/>
        <w:ind w:left="360"/>
      </w:pPr>
      <w:r>
        <w:t xml:space="preserve">2. </w:t>
      </w:r>
      <w:r>
        <w:rPr>
          <w:b w:val="0"/>
          <w:i w:val="0"/>
        </w:rPr>
        <w:t>2   Tệp log (log file) là bản ghi các sự kiện được tạo tự động bởi một hệ thống máy tính, ứng dụng hoặc thiết bị. Hãy nghĩ về nó như cuốn nhật ký của hệ thống—một danh sách liên tục, có gắn dấu thời gian về những gì đã xảy ra, khi nào, và đôi khi là tại sao.</w:t>
      </w:r>
    </w:p>
    <w:p>
      <w:pPr>
        <w:pStyle w:val="Heading2"/>
      </w:pPr>
      <w:r>
        <w:rPr>
          <w:rFonts w:ascii="Calibri" w:hAnsi="Calibri"/>
          <w:b/>
          <w:i/>
          <w:sz w:val="32"/>
        </w:rPr>
        <w:t>“Kịch bản là bản thiết kế cho bộ phim. Rất ít kịch bản dở lại tạo ra được phim hay.”</w:t>
      </w:r>
    </w:p>
    <w:p>
      <w:pPr>
        <w:spacing w:after="80"/>
      </w:pPr>
      <w:r>
        <w:rPr>
          <w:b/>
          <w:i w:val="0"/>
        </w:rPr>
        <w:t>— Topher Grace</w:t>
      </w:r>
    </w:p>
    <w:p>
      <w:pPr>
        <w:pStyle w:val="Heading1"/>
      </w:pPr>
      <w:r>
        <w:rPr>
          <w:rFonts w:ascii="Calibri" w:hAnsi="Calibri"/>
          <w:b/>
          <w:i w:val="0"/>
          <w:sz w:val="40"/>
        </w:rPr>
        <w:t>CHƯƠNG 25</w:t>
      </w:r>
      <w:r>
        <w:rPr>
          <w:rFonts w:ascii="Calibri" w:hAnsi="Calibri"/>
          <w:b/>
          <w:i w:val="0"/>
          <w:sz w:val="40"/>
        </w:rPr>
      </w:r>
      <w:r>
        <w:rPr>
          <w:rFonts w:ascii="Calibri" w:hAnsi="Calibri"/>
          <w:b/>
          <w:i w:val="0"/>
          <w:sz w:val="40"/>
        </w:rPr>
        <w:t>Không có kiến trúc dữ liệu, không có lợi thế AI</w:t>
      </w:r>
    </w:p>
    <w:p>
      <w:pPr>
        <w:spacing w:after="80"/>
      </w:pPr>
      <w:r>
        <w:rPr>
          <w:b w:val="0"/>
          <w:i w:val="0"/>
        </w:rPr>
        <w:t>Kiến trúc dữ liệu (data architecture) là tập hợp các năng lực được kết nối với nhau, quyết định liệu doanh nghiệp có thể tìm thấy, tin tưởng và phục vụ dữ liệu cho các hệ thống phân tích và AI ở quy mô lớn hay không. Một kiến trúc dữ liệu và AI hiện đại có những năng lực dùng chung, phối hợp với nhau như một hệ thống.</w:t>
      </w:r>
    </w:p>
    <w:p>
      <w:pPr>
        <w:spacing w:after="80"/>
      </w:pPr>
      <w:r>
        <w:rPr>
          <w:b w:val="0"/>
          <w:i w:val="0"/>
        </w:rPr>
        <w:t>Trong chương này, chúng ta đề cập đến năm năng lực cốt lõi về dữ liệu và AI, xuất hiện dưới nhiều hình thức khác nhau trong mọi kiến trúc thành công.</w:t>
      </w:r>
    </w:p>
    <w:p>
      <w:pPr>
        <w:pStyle w:val="Heading2"/>
      </w:pPr>
      <w:r>
        <w:rPr>
          <w:rFonts w:ascii="Calibri" w:hAnsi="Calibri"/>
          <w:b/>
          <w:i w:val="0"/>
          <w:sz w:val="32"/>
        </w:rPr>
        <w:t>Một kiến trúc dữ liệu hiện đại</w:t>
      </w:r>
    </w:p>
    <w:p>
      <w:pPr>
        <w:spacing w:after="80"/>
      </w:pPr>
      <w:r>
        <w:rPr>
          <w:b w:val="0"/>
          <w:i w:val="0"/>
        </w:rPr>
        <w:t>Một kiến trúc dữ liệu hiện đại trải rộng tám khu vực năng lực gắn kết chặt chẽ với nhau, mỗi khu vực đảm nhận một vai trò riêng trong việc biến dữ liệu thô thành những tài sản đáng tin cậy, có thể sử dụng được cho doanh nghiệp. Bắt đầu từ nền tảng:</w:t>
      </w:r>
    </w:p>
    <w:p>
      <w:pPr>
        <w:spacing w:after="80"/>
        <w:ind w:left="360"/>
      </w:pPr>
      <w:r>
        <w:t xml:space="preserve">1. </w:t>
      </w:r>
      <w:r>
        <w:rPr>
          <w:b/>
          <w:i w:val="0"/>
        </w:rPr>
        <w:t>Thu nạp dữ liệu (Data ingestion).</w:t>
      </w:r>
      <w:r>
        <w:rPr>
          <w:b w:val="0"/>
          <w:i w:val="0"/>
        </w:rPr>
        <w:t xml:space="preserve"> Năng lực này đưa dữ liệu vào doanh nghiệp. Nó bao gồm các dịch vụ thu thập dữ liệu từ các hệ thống giao dịch, sự kiện, tài liệu và nguồn bên ngoài, đồng thời xử lý thông tin nhạy cảm một cách phù hợp. Vai trò của nó là đảm bảo dữ liệu đến một cách đáng tin cậy, an toàn và ở dạng mà tổ chức có thể dựa vào.</w:t>
      </w:r>
    </w:p>
    <w:p>
      <w:pPr>
        <w:spacing w:after="80"/>
        <w:ind w:left="360"/>
      </w:pPr>
      <w:r>
        <w:t xml:space="preserve">2. </w:t>
      </w:r>
      <w:r>
        <w:rPr>
          <w:b/>
          <w:i w:val="0"/>
        </w:rPr>
        <w:t>Nền tảng dữ liệu (Data platform).</w:t>
      </w:r>
      <w:r>
        <w:rPr>
          <w:b w:val="0"/>
          <w:i w:val="0"/>
        </w:rPr>
        <w:t xml:space="preserve"> Nền tảng dữ liệu cung cấp nền tảng bền vững để lưu trữ, xử lý và biến đổi dữ liệu ở quy mô lớn. Nó bao gồm các dịch vụ xử lý làm sạch, làm giàu và chuẩn bị dữ liệu thô—có cấu trúc và phi cấu trúc—cho phân tích, AI và truy xuất, cũng như các dịch vụ lưu trữ quản lý dữ liệu thô và dữ liệu đã tinh lọc một cách đáng tin cậy.</w:t>
      </w:r>
    </w:p>
    <w:p>
      <w:pPr>
        <w:spacing w:after="80"/>
        <w:ind w:left="360"/>
      </w:pPr>
      <w:r>
        <w:t xml:space="preserve">3. </w:t>
      </w:r>
      <w:r>
        <w:rPr>
          <w:b/>
          <w:i w:val="0"/>
        </w:rPr>
        <w:t>Lớp ngữ nghĩa (Semantic layer).</w:t>
      </w:r>
      <w:r>
        <w:rPr>
          <w:b w:val="0"/>
          <w:i w:val="0"/>
        </w:rPr>
        <w:t xml:space="preserve"> Lớp ngữ nghĩa giúp dữ liệu doanh nghiệp trở nên dễ hiểu với cả con người lẫn máy móc. Nó bao gồm các định nghĩa kinh doanh, chỉ số và mô hình dùng chung, thiết lập một ngôn ngữ chung trong toàn tổ chức (sẽ nói thêm ở phần sau của chương này).</w:t>
      </w:r>
    </w:p>
    <w:p>
      <w:pPr>
        <w:spacing w:after="80"/>
        <w:ind w:left="360"/>
      </w:pPr>
      <w:r>
        <w:t xml:space="preserve">4. </w:t>
      </w:r>
      <w:r>
        <w:rPr>
          <w:b/>
          <w:i w:val="0"/>
        </w:rPr>
        <w:t>Sản phẩm dữ liệu (Data products).</w:t>
      </w:r>
      <w:r>
        <w:rPr>
          <w:b w:val="0"/>
          <w:i w:val="0"/>
        </w:rPr>
        <w:t xml:space="preserve"> Sản phẩm dữ liệu biến dữ liệu đã được tuyển chọn thành những tài sản có thể tái sử dụng, sẵn sàng cho kinh doanh. Chúng đóng gói dữ liệu cùng với quyền sở hữu rõ ràng, tiêu chuẩn chất lượng, ngữ nghĩa và các giao diện để tiêu thụ. Tư duy sản phẩm này cho phép dữ liệu được đối xử như một tài sản hiệu suất có thể tái sử dụng qua nhiều trường hợp sử dụng và lĩnh vực khác nhau (sẽ nói thêm ở Chương 26).</w:t>
      </w:r>
    </w:p>
    <w:p>
      <w:pPr>
        <w:spacing w:after="80"/>
        <w:ind w:left="360"/>
      </w:pPr>
      <w:r>
        <w:t xml:space="preserve">5. </w:t>
      </w:r>
      <w:r>
        <w:rPr>
          <w:b/>
          <w:i w:val="0"/>
        </w:rPr>
        <w:t>Tiêu thụ dữ liệu (Data consumption).</w:t>
      </w:r>
      <w:r>
        <w:rPr>
          <w:b w:val="0"/>
          <w:i w:val="0"/>
        </w:rPr>
        <w:t xml:space="preserve"> Năng lực này đưa dữ liệu và trí tuệ vào các quy trình công việc và ứng dụng. Nó bao gồm các công cụ phân tích và báo cáo, API dữ liệu, giao diện truy xuất và đầu ra của mô hình được nhúng trực tiếp vào các quy trình kinh doanh.</w:t>
      </w:r>
    </w:p>
    <w:p>
      <w:pPr>
        <w:spacing w:after="80"/>
        <w:ind w:left="360"/>
      </w:pPr>
      <w:r>
        <w:t xml:space="preserve">6. </w:t>
      </w:r>
      <w:r>
        <w:rPr>
          <w:b/>
          <w:i w:val="0"/>
        </w:rPr>
        <w:t>Truy cập và quản trị (Access and governance).</w:t>
      </w:r>
      <w:r>
        <w:rPr>
          <w:b w:val="0"/>
          <w:i w:val="0"/>
        </w:rPr>
        <w:t xml:space="preserve"> Truy cập và quản trị xác định ai có thể dùng dữ liệu nào, cho mục đích gì và trong điều kiện nào. Điều này bao gồm quản lý danh tính và quyền truy cập, thực thi chính sách, kiểm soát quyền riêng tư và các cổng AI (AI gateway) quản lý prompt, mức sử dụng và chi phí. Những kiểm soát này nhúng sự tin cậy trực tiếp vào cách dữ liệu và hệ thống AI vận hành.</w:t>
      </w:r>
    </w:p>
    <w:p>
      <w:pPr>
        <w:spacing w:after="80"/>
        <w:ind w:left="360"/>
      </w:pPr>
      <w:r>
        <w:t xml:space="preserve">7. </w:t>
      </w:r>
      <w:r>
        <w:rPr>
          <w:b/>
          <w:i w:val="0"/>
        </w:rPr>
        <w:t>Metadata.</w:t>
      </w:r>
      <w:r>
        <w:rPr>
          <w:b w:val="0"/>
          <w:i w:val="0"/>
        </w:rPr>
        <w:t xml:space="preserve"> Metadata nắm bắt bối cảnh xung quanh dữ liệu: cái gì tồn tại, nó đến từ đâu, nó được dùng như thế nào và nó đáng tin cậy đến mức nào. Nó bao gồm danh mục (catalogs), nguồn gốc (lineage) và bối cảnh sử dụng. Cùng nhau, những yếu tố này mang lại sự minh bạch và niềm tin, cho phép các đội nhóm và hệ thống tìm thấy và sử dụng dữ liệu một cách có trách nhiệm.</w:t>
      </w:r>
    </w:p>
    <w:p>
      <w:pPr>
        <w:spacing w:after="80"/>
        <w:ind w:left="360"/>
      </w:pPr>
      <w:r>
        <w:t xml:space="preserve">8. </w:t>
      </w:r>
      <w:r>
        <w:rPr>
          <w:b/>
          <w:i w:val="0"/>
        </w:rPr>
        <w:t>Vận hành dữ liệu.</w:t>
      </w:r>
      <w:r>
        <w:rPr>
          <w:b w:val="0"/>
          <w:i w:val="0"/>
        </w:rPr>
        <w:t xml:space="preserve"> Vận hành dữ liệu giữ cho kiến trúc chạy một cách đáng tin cậy ở quy mô lớn. Các tính năng bao gồm khả năng quan sát (observability), giám sát chất lượng, kiểm tra độ mới (freshness checks) và quản lý hiệu suất trên các đường ống dữ liệu (data pipelines), sản phẩm và hệ thống AI.</w:t>
      </w:r>
    </w:p>
    <w:p>
      <w:pPr>
        <w:spacing w:after="80"/>
      </w:pPr>
      <w:r>
        <w:rPr>
          <w:b w:val="0"/>
          <w:i w:val="0"/>
        </w:rPr>
        <w:t>Cùng nhau, tám năng lực này tạo thành một kiến trúc mạch lạc cho phép các tổ chức nạp dữ liệu một lần, làm giàu nó bằng ý nghĩa, quản trị nó một cách nhất quán và tái sử dụng nó một cách an toàn trên các hệ thống phân tích, ứng dụng và hệ thống tác tử (agentic systems).</w:t>
      </w:r>
    </w:p>
    <w:p>
      <w:pPr>
        <w:jc w:val="center"/>
      </w:pPr>
      <w:r>
        <w:drawing>
          <wp:inline xmlns:a="http://schemas.openxmlformats.org/drawingml/2006/main" xmlns:pic="http://schemas.openxmlformats.org/drawingml/2006/picture">
            <wp:extent cx="457200" cy="447675"/>
            <wp:docPr id="153" name="Picture 153"/>
            <wp:cNvGraphicFramePr>
              <a:graphicFrameLocks noChangeAspect="1"/>
            </wp:cNvGraphicFramePr>
            <a:graphic>
              <a:graphicData uri="http://schemas.openxmlformats.org/drawingml/2006/picture">
                <pic:pic>
                  <pic:nvPicPr>
                    <pic:cNvPr id="0" name="IN_THEIR_WORDS_green.png"/>
                    <pic:cNvPicPr/>
                  </pic:nvPicPr>
                  <pic:blipFill>
                    <a:blip r:embed="rId117"/>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CÁCH HỌ NÓI</w:t>
      </w:r>
    </w:p>
    <w:p>
      <w:pPr>
        <w:pStyle w:val="Heading3"/>
      </w:pPr>
      <w:r>
        <w:rPr>
          <w:rFonts w:ascii="Calibri" w:hAnsi="Calibri"/>
          <w:b/>
          <w:i w:val="0"/>
          <w:sz w:val="26"/>
        </w:rPr>
        <w:t>Một nền tảng dữ liệu để tạo sự linh hoạt</w:t>
      </w:r>
    </w:p>
    <w:p>
      <w:pPr>
        <w:spacing w:after="80"/>
      </w:pPr>
      <w:r>
        <w:rPr>
          <w:b w:val="0"/>
          <w:i w:val="0"/>
        </w:rPr>
        <w:t>“Một khi bạn xây dựng được một nền tảng dữ liệu độc lập, bạn có thể làm cho việc phát triển ứng dụng linh hoạt hơn nhiều. Nền tảng phải dựa trên metadata để bạn thực sự có thể hiểu và có một danh mục dữ liệu thực sự. Nó không cần phải lưu trữ tất cả dữ liệu. Nó chỉ là một nơi mà dữ liệu được xử lý thành các ứng dụng phù hợp. Điều đó tạo ra một lớp trừu tượng (abstraction layer).</w:t>
      </w:r>
    </w:p>
    <w:p>
      <w:pPr>
        <w:spacing w:after="80"/>
      </w:pPr>
      <w:r>
        <w:rPr>
          <w:b w:val="0"/>
          <w:i w:val="0"/>
        </w:rPr>
        <w:t>Hãy nghĩ về nguồn cung dữ liệu đến từ các hệ thống back-end và các hệ thống cũ hơn, những hệ thống chỉ có thể di chuyển nhanh đến mức nhất định. Còn việc tiêu thụ dữ liệu đang thay đổi nhanh hơn nhiều. Bằng cách tạo ra một lớp trừu tượng thông qua nền tảng dữ liệu, bạn đang cho phép các ứng dụng mới di chuyển nhanh hơn nhiều mà không cần phải tạo các kết nối điểm-đến-điểm (point-to-point connections).”</w:t>
      </w:r>
    </w:p>
    <w:p>
      <w:pPr>
        <w:spacing w:after="80"/>
      </w:pPr>
      <w:r>
        <w:rPr>
          <w:b/>
          <w:i/>
        </w:rPr>
        <w:t>— Anil Chakravarthy, Chủ tịch, Mảng Kinh doanh Trải nghiệm Số, Adobe</w:t>
      </w:r>
    </w:p>
    <w:p>
      <w:pPr>
        <w:pStyle w:val="Heading2"/>
      </w:pPr>
      <w:r>
        <w:rPr>
          <w:rFonts w:ascii="Calibri" w:hAnsi="Calibri"/>
          <w:b/>
          <w:i w:val="0"/>
          <w:sz w:val="32"/>
        </w:rPr>
        <w:t>Xây dựng kiến trúc dữ liệu của bạn</w:t>
      </w:r>
    </w:p>
    <w:p>
      <w:pPr>
        <w:spacing w:after="80"/>
      </w:pPr>
      <w:r>
        <w:rPr>
          <w:b w:val="0"/>
          <w:i w:val="0"/>
        </w:rPr>
        <w:t>Các năng lực dữ liệu bạn cần sẽ phụ thuộc vào những trường hợp sử dụng (use cases) quan trọng nhất. Thách thức nằm ở sự rộng lớn của các công nghệ dữ liệu để lựa chọn cho những năng lực bạn cần. Sự đổi mới đã mở rộng lựa chọn, nhưng nó cũng khiến việc lựa chọn và tích hợp trở nên phức tạp hơn. Một kiến trúc sư dữ liệu cấp cao là thiết yếu để dẫn dắt những quyết định này.</w:t>
      </w:r>
    </w:p>
    <w:p>
      <w:pPr>
        <w:spacing w:after="80"/>
      </w:pPr>
      <w:r>
        <w:rPr>
          <w:b w:val="0"/>
          <w:i w:val="0"/>
        </w:rPr>
        <w:t>Nhiều tổ chức vẫn tiếp cận kiến trúc dữ liệu như một chương trình tuyến tính kéo dài nhiều năm: xây dựng hồ dữ liệu (lake), xây dựng các đường ống, rồi xây dựng các công cụ. Cách tiếp cận đó mất quá nhiều thời gian và làm chậm giá trị.</w:t>
      </w:r>
    </w:p>
    <w:p>
      <w:pPr>
        <w:spacing w:after="80"/>
      </w:pPr>
      <w:r>
        <w:rPr>
          <w:b/>
          <w:i/>
        </w:rPr>
        <w:t>Một bản đồ tổng quan về các năng lực bạn cần giúp xác định cần xây dựng cái gì hoặc làm thế nào để đơn giản hóa ngăn xếp (stack) của bạn xuống kiến trúc tối thiểu cần thiết để hỗ trợ các giải pháp Tech &amp; AI ưu tiên của bạn. Hầu hết các nhà lãnh đạo bắt đầu với một kiến trúc tham chiếu (reference architecture), cung cấp một bộ công nghệ đã được chứng minh là hoạt động tốt với nhau và giảm rủi ro triển khai</w:t>
      </w:r>
      <w:r>
        <w:rPr>
          <w:b/>
          <w:i w:val="0"/>
        </w:rPr>
        <w:t>.</w:t>
      </w:r>
    </w:p>
    <w:p>
      <w:pPr>
        <w:spacing w:after="80"/>
      </w:pPr>
      <w:r>
        <w:rPr>
          <w:b w:val="0"/>
          <w:i w:val="0"/>
        </w:rPr>
        <w:t>Một bản đồ năng lực tạo ra sự thống nhất và cung cấp một cấu trúc để đánh giá trạng thái hiện tại (Triển lãm 25.1). Trong khi kiến trúc sư trưởng chịu trách nhiệm về đánh giá này, ý kiến đóng góp từ người tiêu thụ dữ liệu, người quản lý dữ liệu (data stewards), chủ sở hữu sản phẩm dữ liệu và các đội ứng dụng là thiết yếu.</w:t>
      </w:r>
    </w:p>
    <w:p>
      <w:pPr>
        <w:spacing w:after="80"/>
      </w:pPr>
      <w:r>
        <w:rPr>
          <w:b w:val="0"/>
          <w:i w:val="0"/>
        </w:rPr>
        <w:t>Một khi bạn đồng ý về các năng lực mục tiêu và trình tự xây dựng, bạn có thể chọn các công nghệ cụ thể. Các kiến trúc tham chiếu giúp ích bằng cách chỉ ra những lựa chọn được sử dụng phổ biến nhất cho mỗi lớp và các mẫu (patterns) đã được xác thực.</w:t>
      </w:r>
    </w:p>
    <w:p>
      <w:pPr>
        <w:spacing w:after="80"/>
      </w:pPr>
      <w:r>
        <w:rPr>
          <w:b w:val="0"/>
          <w:i w:val="0"/>
        </w:rPr>
        <w:t>Mỗi phần của kiến trúc phải theo kịp các phần khác. Ví dụ, nếu tổ chức cần ra quyết định theo thời gian thực (real-time decisioning), việc chỉ cho phép nạp dữ liệu theo thời gian thực sẽ không đủ; việc xử lý cũng phải hỗ trợ các khối lượng công việc thời gian thực.</w:t>
      </w:r>
    </w:p>
    <w:p>
      <w:pPr>
        <w:spacing w:after="80"/>
      </w:pPr>
      <w:r>
        <w:rPr>
          <w:b w:val="0"/>
          <w:i w:val="0"/>
        </w:rPr>
        <w:t>Những tổ chức mạnh nhất xây dựng các kiến trúc mô-đun, mang tính tiến hóa. Họ sử dụng các thành phần có thể được thay thế khi công nghệ mới xuất hiện mà không làm gián đoạn phần còn lại của hệ thống.</w:t>
      </w:r>
    </w:p>
    <w:p>
      <w:pPr>
        <w:jc w:val="center"/>
      </w:pPr>
      <w:r>
        <w:drawing>
          <wp:inline xmlns:a="http://schemas.openxmlformats.org/drawingml/2006/main" xmlns:pic="http://schemas.openxmlformats.org/drawingml/2006/picture">
            <wp:extent cx="5486400" cy="5403424"/>
            <wp:docPr id="154" name="Picture 154"/>
            <wp:cNvGraphicFramePr>
              <a:graphicFrameLocks noChangeAspect="1"/>
            </wp:cNvGraphicFramePr>
            <a:graphic>
              <a:graphicData uri="http://schemas.openxmlformats.org/drawingml/2006/picture">
                <pic:pic>
                  <pic:nvPicPr>
                    <pic:cNvPr id="0" name="c25ex001.png"/>
                    <pic:cNvPicPr/>
                  </pic:nvPicPr>
                  <pic:blipFill>
                    <a:blip r:embed="rId118"/>
                    <a:stretch>
                      <a:fillRect/>
                    </a:stretch>
                  </pic:blipFill>
                  <pic:spPr>
                    <a:xfrm>
                      <a:off x="0" y="0"/>
                      <a:ext cx="5486400" cy="5403424"/>
                    </a:xfrm>
                    <a:prstGeom prst="rect"/>
                  </pic:spPr>
                </pic:pic>
              </a:graphicData>
            </a:graphic>
          </wp:inline>
        </w:drawing>
      </w:r>
    </w:p>
    <w:p>
      <w:pPr>
        <w:spacing w:after="160"/>
        <w:jc w:val="center"/>
      </w:pPr>
      <w:r>
        <w:rPr>
          <w:rFonts w:ascii="Calibri" w:hAnsi="Calibri"/>
          <w:b w:val="0"/>
          <w:i/>
          <w:sz w:val="19"/>
        </w:rPr>
        <w:t>TRIỂN LÃM 25.1</w:t>
      </w:r>
    </w:p>
    <w:p>
      <w:pPr>
        <w:pStyle w:val="Heading2"/>
      </w:pPr>
      <w:r>
        <w:rPr>
          <w:rFonts w:ascii="Calibri" w:hAnsi="Calibri"/>
          <w:b/>
          <w:i w:val="0"/>
          <w:sz w:val="32"/>
        </w:rPr>
        <w:t>Chuẩn bị kiến trúc dữ liệu của bạn cho GenAI</w:t>
      </w:r>
    </w:p>
    <w:p>
      <w:pPr>
        <w:spacing w:after="80"/>
      </w:pPr>
      <w:r>
        <w:rPr>
          <w:b w:val="0"/>
          <w:i w:val="0"/>
        </w:rPr>
        <w:t>GenAI mở rộng những gì mà một kiến trúc dữ liệu phải hỗ trợ. Các kiến trúc truyền thống tập trung vào việc di chuyển, lưu trữ và truy vấn dữ liệu có cấu trúc. Các kiến trúc hiện đại còn phải chuẩn bị nội dung phi cấu trúc (tài liệu, email, bản ghi, mã nguồn) và đảm bảo nó có thể được phục vụ một cách an toàn cho các mô hình và ứng dụng.</w:t>
      </w:r>
    </w:p>
    <w:p>
      <w:pPr>
        <w:spacing w:after="80"/>
      </w:pPr>
      <w:r>
        <w:rPr>
          <w:b w:val="0"/>
          <w:i w:val="0"/>
        </w:rPr>
        <w:t>Một kiến trúc sẵn sàng cho GenAI không đòi hỏi một hệ thống mới. Nó đòi hỏi những mô-đun kết nối mới giúp gắn kết dữ liệu có cấu trúc và phi cấu trúc lại với nhau, làm giàu chúng, và kiểm soát cách chúng tiếp cận các mô hình.</w:t>
      </w:r>
    </w:p>
    <w:p>
      <w:pPr>
        <w:spacing w:after="80"/>
      </w:pPr>
      <w:r>
        <w:rPr>
          <w:b w:val="0"/>
          <w:i w:val="0"/>
        </w:rPr>
        <w:t>Năm năng lực dữ liệu hoàn toàn mới là cần thiết để hỗ trợ GenAI (Triển lãm 25.2):</w:t>
      </w:r>
    </w:p>
    <w:p>
      <w:pPr>
        <w:spacing w:after="80"/>
      </w:pPr>
      <w:r>
        <w:rPr>
          <w:b/>
          <w:i w:val="0"/>
        </w:rPr>
        <w:t>Kho vector và embeddings.</w:t>
      </w:r>
      <w:r>
        <w:rPr>
          <w:b w:val="0"/>
          <w:i w:val="0"/>
        </w:rPr>
        <w:t xml:space="preserve"> Kho vector và dịch vụ embedding là thiết yếu để làm việc với dữ liệu phi cấu trúc. Chúng giúp tài liệu, hình ảnh và các nội dung phi cấu trúc khác có thể được tìm kiếm dựa trên ý nghĩa thay vì từ khóa, và giữ cho các biểu diễn đó luôn cập nhật khi nội dung thay đổi.</w:t>
      </w:r>
    </w:p>
    <w:p>
      <w:pPr>
        <w:spacing w:after="80"/>
      </w:pPr>
      <w:r>
        <w:rPr>
          <w:b/>
          <w:i w:val="0"/>
        </w:rPr>
        <w:t>Dịch vụ điều phối và truy xuất dạng tác tử.</w:t>
      </w:r>
      <w:r>
        <w:rPr>
          <w:b w:val="0"/>
          <w:i w:val="0"/>
        </w:rPr>
        <w:t xml:space="preserve"> Các hệ thống GenAI lắp ghép ngữ cảnh một cách linh hoạt—thường từ dữ liệu phi cấu trúc—thay vì dựa vào các truy vấn được định nghĩa trước. Điều phối cho phép các hệ thống AI quyết định cần truy xuất gì, tinh chỉnh như thế nào, và khi nào cần lặp lại, trong khi các dịch vụ truy xuất đảm bảo việc truy cập này an toàn, hiệu quả và được quản trị ở quy mô lớn.</w:t>
      </w:r>
    </w:p>
    <w:p>
      <w:pPr>
        <w:spacing w:after="80"/>
      </w:pPr>
      <w:r>
        <w:rPr>
          <w:b/>
          <w:i w:val="0"/>
        </w:rPr>
        <w:t>Cổng AI và rào chắn bảo vệ.</w:t>
      </w:r>
      <w:r>
        <w:rPr>
          <w:b w:val="0"/>
          <w:i w:val="0"/>
        </w:rPr>
        <w:t xml:space="preserve"> Khi các mô hình truy xuất và sử dụng dữ liệu phi cấu trúc một cách linh hoạt, cần có một cổng AI để kiểm soát việc truy cập và sử dụng. Cổng này quản lý mô hình nào được truy cập nguồn dữ liệu phi cấu trúc nào, thực thi các chính sách sử dụng, và ghi lại cách dữ liệu được truy xuất và sử dụng trong các prompt và phản hồi.</w:t>
      </w:r>
    </w:p>
    <w:p>
      <w:pPr>
        <w:spacing w:after="80"/>
      </w:pPr>
      <w:r>
        <w:rPr>
          <w:b/>
          <w:i w:val="0"/>
        </w:rPr>
        <w:t>Chất lượng dữ liệu, bảo mật và truy xuất nguồn gốc tự động.</w:t>
      </w:r>
      <w:r>
        <w:rPr>
          <w:b w:val="0"/>
          <w:i w:val="0"/>
        </w:rPr>
        <w:t xml:space="preserve"> Dữ liệu phi cấu trúc được liên tục nạp vào, biến đổi và tái kết hợp khi chảy vào các mô hình, nghĩa là việc quản trị phải đi kèm với nó. Các kiểm tra chất lượng dữ liệu, kiểm soát bảo mật và theo dõi truy xuất nguồn gốc cần được tự động hóa và nhúng trực tiếp vào các pipeline, chứ không phải xử lý như những lần đánh giá một lần.</w:t>
      </w:r>
    </w:p>
    <w:p>
      <w:pPr>
        <w:spacing w:after="80"/>
      </w:pPr>
      <w:r>
        <w:rPr>
          <w:b/>
          <w:i w:val="0"/>
        </w:rPr>
        <w:t>Tạo các vòng phản hồi bền vững trong các ứng dụng GenAI.</w:t>
      </w:r>
      <w:r>
        <w:rPr>
          <w:b w:val="0"/>
          <w:i w:val="0"/>
        </w:rPr>
        <w:t xml:space="preserve"> Các kiến trúc hiện đại sử dụng đầu ra của mô hình để củng cố chính dữ liệu. Các ứng dụng GenAI có thể tạo ra nhãn, mẫu sử dụng và ngữ cảnh giúp cải thiện chất lượng và hỗ trợ các mô hình tương lai, và cần được thu thập giống như bất kỳ ứng dụng AI nào khác cho việc huấn luyện (năng lực này được gọi là quản lý phản hồi dữ liệu nhận biết mô hình).</w:t>
      </w:r>
    </w:p>
    <w:p>
      <w:pPr>
        <w:jc w:val="center"/>
      </w:pPr>
      <w:r>
        <w:drawing>
          <wp:inline xmlns:a="http://schemas.openxmlformats.org/drawingml/2006/main" xmlns:pic="http://schemas.openxmlformats.org/drawingml/2006/picture">
            <wp:extent cx="5486400" cy="6714077"/>
            <wp:docPr id="155" name="Picture 155"/>
            <wp:cNvGraphicFramePr>
              <a:graphicFrameLocks noChangeAspect="1"/>
            </wp:cNvGraphicFramePr>
            <a:graphic>
              <a:graphicData uri="http://schemas.openxmlformats.org/drawingml/2006/picture">
                <pic:pic>
                  <pic:nvPicPr>
                    <pic:cNvPr id="0" name="c25ex002.png"/>
                    <pic:cNvPicPr/>
                  </pic:nvPicPr>
                  <pic:blipFill>
                    <a:blip r:embed="rId119"/>
                    <a:stretch>
                      <a:fillRect/>
                    </a:stretch>
                  </pic:blipFill>
                  <pic:spPr>
                    <a:xfrm>
                      <a:off x="0" y="0"/>
                      <a:ext cx="5486400" cy="6714077"/>
                    </a:xfrm>
                    <a:prstGeom prst="rect"/>
                  </pic:spPr>
                </pic:pic>
              </a:graphicData>
            </a:graphic>
          </wp:inline>
        </w:drawing>
      </w:r>
    </w:p>
    <w:p>
      <w:pPr>
        <w:spacing w:after="160"/>
        <w:jc w:val="center"/>
      </w:pPr>
      <w:r>
        <w:rPr>
          <w:rFonts w:ascii="Calibri" w:hAnsi="Calibri"/>
          <w:b w:val="0"/>
          <w:i/>
          <w:sz w:val="19"/>
        </w:rPr>
        <w:t>TRIỂN LÃM 25.2</w:t>
      </w:r>
    </w:p>
    <w:p>
      <w:pPr>
        <w:pStyle w:val="Heading2"/>
      </w:pPr>
      <w:r>
        <w:rPr>
          <w:rFonts w:ascii="Calibri" w:hAnsi="Calibri"/>
          <w:b/>
          <w:i w:val="0"/>
          <w:sz w:val="32"/>
        </w:rPr>
        <w:t>Kích hoạt lớp ngữ nghĩa</w:t>
      </w:r>
    </w:p>
    <w:p>
      <w:pPr>
        <w:spacing w:after="80"/>
      </w:pPr>
      <w:r>
        <w:rPr>
          <w:b w:val="0"/>
          <w:i w:val="0"/>
        </w:rPr>
        <w:t>Lớp ngữ nghĩa biến dữ liệu thành tri thức. Nó nằm giữa dữ liệu thô và các ứng dụng AI, và hệ thống hóa ý nghĩa nghiệp vụ của dữ liệu dưới dạng mà máy có thể đọc được và con người có thể hiểu được. Thay vì coi dữ liệu như những bảng hay tệp rời rạc, lớp ngữ nghĩa định nghĩa sự vật là gì, chúng liên hệ với nhau như thế nào, và những quy tắc nào chi phối chúng. Trong thực tế, lớp này thường được triển khai thông qua các ontology và đồ thị tri thức.</w:t>
      </w:r>
    </w:p>
    <w:p>
      <w:pPr>
        <w:spacing w:after="80"/>
      </w:pPr>
      <w:r>
        <w:rPr>
          <w:b w:val="0"/>
          <w:i w:val="0"/>
        </w:rPr>
        <w:t>Ontology định nghĩa ý nghĩa. Nó định nghĩa cách các thuộc tính và mối quan hệ giữa dữ liệu tạo nên thực tế nghiệp vụ. Ontology trả lời câu hỏi: Thuật ngữ này có nghĩa gì trong bối cảnh nghiệp vụ này? Ví dụ, trong ngân hàng bán lẻ, một ontology xác định thế nào là khách hàng, tài khoản khác với sản phẩm như thế nào, giao dịch liên quan đến rủi ro như thế nào, và trong điều kiện nào một sự kiện được coi là rủi ro tài chính. Trong y tế, một ontology phân biệt giữa triệu chứng, chẩn đoán, thủ thuật và phương pháp điều trị, định nghĩa cách mỗi thứ có thể được quan sát, ghi nhận và sử dụng trong việc ra quyết định lâm sàng. Điều này xác định dữ liệu nào có thể so sánh được, logic nào có thể áp dụng, và kết luận nào là hợp lệ.</w:t>
      </w:r>
    </w:p>
    <w:p>
      <w:pPr>
        <w:spacing w:after="80"/>
      </w:pPr>
      <w:r>
        <w:rPr>
          <w:b w:val="0"/>
          <w:i w:val="0"/>
        </w:rPr>
        <w:t>Đồ thị tri thức hiện thực hóa từ vựng này bằng cách liên kết dữ liệu thực tế trên các hệ thống thành một mạng lưới thực thể được kết nối. Đồ thị tri thức trả lời một câu hỏi khác: Điều gì đang xảy ra, với ai, và nó được kết nối như thế nào? Trong ngân hàng, một đồ thị tri thức liên kết các khách hàng cụ thể với tài khoản, giao dịch, người bán, sản phẩm và nghĩa vụ pháp lý của họ, giúp có thể phát hiện gian lận hoặc đánh giá rủi ro tín dụng. Trong sản xuất, một đồ thị tri thức kết nối các tài sản vật lý với linh kiện, số liệu cảm biến, sự kiện bảo trì và hỏng hóc của chúng, cho phép bảo trì dự đoán.</w:t>
      </w:r>
    </w:p>
    <w:p>
      <w:pPr>
        <w:spacing w:after="80"/>
      </w:pPr>
      <w:r>
        <w:rPr>
          <w:b/>
          <w:i/>
        </w:rPr>
        <w:t>Ontology thì ổn định và định nghĩa điều gì được phép và có ý nghĩa; đồ thị tri thức thì linh động và cho thấy điều gì thực sự tồn tại và đang diễn ra</w:t>
      </w:r>
      <w:r>
        <w:rPr>
          <w:b/>
          <w:i w:val="0"/>
        </w:rPr>
        <w:t>.</w:t>
      </w:r>
    </w:p>
    <w:p>
      <w:pPr>
        <w:spacing w:after="80"/>
      </w:pPr>
      <w:r>
        <w:rPr>
          <w:b w:val="0"/>
          <w:i w:val="0"/>
        </w:rPr>
        <w:t>Giá trị của lớp này trở nên rõ ràng khi các nỗ lực AI chuyển từ thử nghiệm sang mở rộng quy mô. Không có lớp ngữ nghĩa (semantic layer), mỗi mô hình phải tự mình khám phá lại ý nghĩa: các kỹ sư phải dung hòa các định nghĩa, xây dựng lại các đặc trưng (feature), và mã hóa cứng các giả định. Khi có lớp ngữ nghĩa, ý nghĩa được định nghĩa một lần và tái sử dụng ở mọi nơi. Các nguồn dữ liệu mới có thể được tích hợp bằng cách ánh xạ chúng tới các khái niệm sẵn có, và các trường hợp sử dụng AI mới có thể dựa trên các mối quan hệ đã được thiết lập thay vì bắt đầu lại từ đầu.</w:t>
      </w:r>
    </w:p>
    <w:p>
      <w:pPr>
        <w:spacing w:after="80"/>
      </w:pPr>
      <w:r>
        <w:rPr>
          <w:b w:val="0"/>
          <w:i w:val="0"/>
        </w:rPr>
        <w:t>Đối với các mô hình dự đoán (predictive model), lớp ngữ nghĩa cải thiện chất lượng bằng cách nhúng trực tiếp các mối quan hệ và logic nghiệp vụ vào dữ liệu. Khi LLM truy xuất thông tin từ một đồ thị tri thức (knowledge graph), câu trả lời của chúng trở nên chính xác hơn, có thể giải thích được, và gắn với thực tế doanh nghiệp hơn, giúp giảm đáng kể hiện tượng ảo giác (hallucination) và các vấn đề về niềm tin. Chúng cũng cho phép quản trị (governance), truy vết cách một đầu ra AI được tạo ra, dữ liệu và quy tắc nào đã được áp dụng, và những chính sách nào là liên quan.</w:t>
      </w:r>
    </w:p>
    <w:p>
      <w:pPr>
        <w:spacing w:after="80"/>
      </w:pPr>
      <w:r>
        <w:rPr>
          <w:b w:val="0"/>
          <w:i w:val="0"/>
        </w:rPr>
        <w:t>Xây dựng lớp ngữ nghĩa không phải là một dự án dữ liệu một lần. Nó nên được tiếp cận như một sản phẩm, với quyền sở hữu rõ ràng, một lộ trình (roadmap) được xác định, và sự lặp lại liên tục dựa trên các trường hợp sử dụng kinh doanh thực tế. Các nhà lãnh đạo doanh nghiệp cung cấp ý nghĩa và các ưu tiên, trong khi các đội ngũ dữ liệu và AI biến chúng thành các tài sản ngữ nghĩa có thể tái sử dụng. Khi lớp ngữ nghĩa mở rộng, trí tuệ và khả năng tái sử dụng của các mô hình AI cũng tăng lên.</w:t>
      </w:r>
    </w:p>
    <w:p>
      <w:pPr>
        <w:jc w:val="center"/>
      </w:pPr>
      <w:r>
        <w:drawing>
          <wp:inline xmlns:a="http://schemas.openxmlformats.org/drawingml/2006/main" xmlns:pic="http://schemas.openxmlformats.org/drawingml/2006/picture">
            <wp:extent cx="1905000" cy="95250"/>
            <wp:docPr id="156" name="Picture 156"/>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Kiến trúc dữ liệu (data architecture) là bản thiết kế của bạn cho cách biến dữ liệu trở nên hữu ích và dễ tiếp cận đối với những người và hệ thống phụ thuộc vào nó. Đây là công việc tỉ mỉ đòi hỏi sự chính xác, đặc biệt khi nói đến việc kích hoạt biển cả mênh mông dữ liệu phi cấu trúc (unstructured data) cần thiết cho GenAI. Điều mấu chốt là làm cho dữ liệu trở nên có ý nghĩa và dễ tìm thấy để các công cụ GenAI và AI agent có thể sử dụng nó một cách hiệu quả nhằm tạo ra giá trị.</w:t>
      </w:r>
    </w:p>
    <w:p>
      <w:pPr>
        <w:pStyle w:val="Heading2"/>
      </w:pPr>
      <w:r>
        <w:rPr>
          <w:rFonts w:ascii="Calibri" w:hAnsi="Calibri"/>
          <w:b/>
          <w:i/>
          <w:sz w:val="32"/>
        </w:rPr>
        <w:t>“Dữ liệu là một thứ quý giá và sẽ tồn tại lâu hơn chính các hệ thống.”</w:t>
      </w:r>
    </w:p>
    <w:p>
      <w:pPr>
        <w:spacing w:after="80"/>
      </w:pPr>
      <w:r>
        <w:rPr>
          <w:b/>
          <w:i w:val="0"/>
        </w:rPr>
        <w:t>— Tim Berners-Lee</w:t>
      </w:r>
    </w:p>
    <w:p>
      <w:pPr>
        <w:pStyle w:val="Heading1"/>
      </w:pPr>
      <w:r>
        <w:rPr>
          <w:rFonts w:ascii="Calibri" w:hAnsi="Calibri"/>
          <w:b/>
          <w:i w:val="0"/>
          <w:sz w:val="40"/>
        </w:rPr>
        <w:t>CHƯƠNG 26</w:t>
      </w:r>
      <w:r>
        <w:rPr>
          <w:rFonts w:ascii="Calibri" w:hAnsi="Calibri"/>
          <w:b/>
          <w:i w:val="0"/>
          <w:sz w:val="40"/>
        </w:rPr>
      </w:r>
      <w:r>
        <w:rPr>
          <w:rFonts w:ascii="Calibri" w:hAnsi="Calibri"/>
          <w:b/>
          <w:i w:val="0"/>
          <w:sz w:val="40"/>
        </w:rPr>
        <w:t>Sản phẩm dữ liệu: Những khối xây dựng có thể tái sử dụng để mở rộng quy mô</w:t>
      </w:r>
    </w:p>
    <w:p>
      <w:pPr>
        <w:spacing w:after="80"/>
      </w:pPr>
      <w:r>
        <w:rPr>
          <w:b w:val="0"/>
          <w:i w:val="0"/>
        </w:rPr>
        <w:t>Hãy nghĩ về cách các sân bay vận hành. Mỗi hãng hàng không không tự xây cổng ra máy bay, hệ thống hành lý và đường băng của riêng mình. Điều đó sẽ tốn kém đến mức không tưởng. Thay vào đó, các nhà ga cung cấp cổng ra máy bay, quy trình an ninh, hệ thống hành lý và luồng công việc điều phối không lưu được chuẩn hóa mà bất kỳ hãng hàng không nào cũng có thể sử dụng. Điều này cho phép hàng nghìn chuyến bay vận hành mỗi ngày, một cách an toàn và hiệu quả.</w:t>
      </w:r>
    </w:p>
    <w:p>
      <w:pPr>
        <w:spacing w:after="80"/>
      </w:pPr>
      <w:r>
        <w:rPr>
          <w:b w:val="0"/>
          <w:i w:val="0"/>
        </w:rPr>
        <w:t>Sản phẩm dữ liệu (data product) giống như nhà ga đó. Chúng cung cấp dữ liệu sạch, có cấu trúc, đáng tin cậy—sẵn sàng cho nhiều “chuyến bay” ở hạ nguồn. Bạn xây nhà ga một lần; vô số chuyến bay sử dụng nó.</w:t>
      </w:r>
    </w:p>
    <w:p>
      <w:pPr>
        <w:spacing w:after="80"/>
      </w:pPr>
      <w:r>
        <w:rPr>
          <w:b/>
          <w:i/>
        </w:rPr>
        <w:t>Khi các công ty ngày càng dựa vào dữ liệu để đổi mới và phát triển, sản phẩm dữ liệu đã trở thành một vấn đề chiến lược hàng đầu để mở rộng quy mô AI</w:t>
      </w:r>
      <w:r>
        <w:rPr>
          <w:b/>
          <w:i w:val="0"/>
        </w:rPr>
        <w:t>.</w:t>
      </w:r>
    </w:p>
    <w:p>
      <w:pPr>
        <w:spacing w:after="80"/>
      </w:pPr>
      <w:r>
        <w:rPr>
          <w:b w:val="0"/>
          <w:i w:val="0"/>
        </w:rPr>
        <w:t>Với sản phẩm dữ liệu, các trường hợp sử dụng có thể được triển khai nhanh hơn tới 90%. Tổng chi phí sở hữu (total cost of ownership) của các giải pháp AI, bao gồm chi phí công nghệ, phát triển và bảo trì, có thể cải thiện 30%. Và cuối cùng, gánh nặng về rủi ro và quản trị dữ liệu có thể được giảm bớt đáng kể.</w:t>
      </w:r>
    </w:p>
    <w:p>
      <w:pPr>
        <w:spacing w:after="80"/>
      </w:pPr>
      <w:r>
        <w:rPr>
          <w:b w:val="0"/>
          <w:i w:val="0"/>
        </w:rPr>
        <w:t>Giá trị này đến từ việc các đội ngũ đóng gói dữ liệu thành những “sản phẩm” được định nghĩa rõ ràng, có thể tái sử dụng, mỗi sản phẩm được xây dựng với một mục đích rõ ràng, tài liệu rõ ràng và quyền sở hữu rõ ràng. Chúng được xây dựng theo cách dễ dàng bổ sung và sử dụng cho nhiều loại trường hợp sử dụng khác nhau. Sản phẩm dữ liệu đã giúp dữ liệu trở nên dễ tìm, đáng tin và dễ sử dụng hơn đối với bất kỳ ai cần nó cho phân tích, AI hoặc ra quyết định (Hình 26.1).</w:t>
      </w:r>
    </w:p>
    <w:p>
      <w:pPr>
        <w:spacing w:after="80"/>
      </w:pPr>
      <w:r>
        <w:rPr>
          <w:b w:val="0"/>
          <w:i w:val="0"/>
        </w:rPr>
        <w:t>Chi phí phát triển một sản phẩm dữ liệu phần lớn là các khoản đầu tư một lần, mà trên thực tế, sẽ được phân bổ dần (amortize) khi sản phẩm dữ liệu được tái sử dụng cho nhiều trường hợp sử dụng.</w:t>
      </w:r>
    </w:p>
    <w:p>
      <w:pPr>
        <w:spacing w:after="80"/>
      </w:pPr>
      <w:r>
        <w:rPr>
          <w:b w:val="0"/>
          <w:i w:val="0"/>
        </w:rPr>
        <w:t>Hiệu ứng bánh đà (flywheel) giúp hạ chi phí này rất rõ ràng tại một công ty tiêu dùng quốc tế. Vào thời điểm một sản phẩm dữ liệu hỗ trợ được năm trường hợp sử dụng, chi phí dự kiến của nó thấp hơn khoảng 30% so với việc xây dựng các đường ống dữ liệu (data pipeline) riêng lẻ cho năm giải pháp phân tích. Khi sản phẩm dữ liệu đó được mở rộng sang một thị trường khác, chi phí dự kiến còn giảm hơn nữa.</w:t>
      </w:r>
    </w:p>
    <w:p>
      <w:pPr>
        <w:spacing w:after="80"/>
      </w:pPr>
      <w:r>
        <w:rPr>
          <w:b w:val="0"/>
          <w:i w:val="0"/>
        </w:rPr>
        <w:t>Hiệu ứng bánh đà đó cũng thể hiện ở phía tạo giá trị của phương trình theo hai cách. Sản phẩm dữ liệu càng hỗ trợ nhiều trường hợp sử dụng, công ty càng có thể ghi nhận giá trị của từng trường hợp nhanh hơn. Một công ty bảo hiểm, ví dụ, đã sử dụng sản phẩm dữ liệu để thu về 210 triệu đô la giá trị từ một tập hợp các trường hợp sử dụng trong kế hoạch của mình. Công ty có thể đã thu được số tiền đó thông qua việc xây dựng các đường ống dữ liệu tùy chỉnh, nhưng điều đó sẽ tốn thêm ước tính 50% chi phí và mất tới gấp đôi thời gian để hoàn thành.</w:t>
      </w:r>
    </w:p>
    <w:p>
      <w:pPr>
        <w:pStyle w:val="Heading2"/>
      </w:pPr>
      <w:r>
        <w:rPr>
          <w:rFonts w:ascii="Calibri" w:hAnsi="Calibri"/>
          <w:b/>
          <w:i w:val="0"/>
          <w:sz w:val="32"/>
        </w:rPr>
        <w:t>Nhiều định nghĩa dữ liệu hơn</w:t>
      </w:r>
    </w:p>
    <w:p>
      <w:pPr>
        <w:spacing w:after="80"/>
      </w:pPr>
      <w:r>
        <w:rPr>
          <w:b/>
          <w:i w:val="0"/>
        </w:rPr>
        <w:t>Siêu dữ liệu (Metadata).</w:t>
      </w:r>
      <w:r>
        <w:rPr>
          <w:b w:val="0"/>
          <w:i w:val="0"/>
        </w:rPr>
        <w:t xml:space="preserve"> Thông tin mô tả dữ liệu của bạn—nó là gì, đến từ đâu, được cấu trúc như thế nào và nên được sử dụng ra sao. Siêu dữ liệu giúp dữ liệu dễ được khám phá, dễ hiểu và đáng tin cậy. Mỗi sản phẩm dữ liệu (data product) nên đi kèm với siêu dữ liệu phong phú để người khác có thể dễ dàng tìm thấy và sử dụng nó.</w:t>
      </w:r>
    </w:p>
    <w:p>
      <w:pPr>
        <w:spacing w:after="80"/>
      </w:pPr>
      <w:r>
        <w:rPr>
          <w:b/>
          <w:i w:val="0"/>
        </w:rPr>
        <w:t>Nguồn gốc dữ liệu (Data lineage).</w:t>
      </w:r>
      <w:r>
        <w:rPr>
          <w:b w:val="0"/>
          <w:i w:val="0"/>
        </w:rPr>
        <w:t xml:space="preserve"> Thông tin cho thấy hành trình của dữ liệu—nó bắt đầu từ đâu (các hệ thống nguồn); nó trải qua những biến đổi gì (làm sạch, kết nối, tính toán); nó kết thúc ở đâu (bảng điều khiển, mô hình ML, API); và ai sở hữu hoặc chỉnh sửa nó trên suốt chặng đường. Nguồn gốc dữ liệu mang lại khả năng truy vết—cho thấy mỗi sản phẩm dữ liệu được xây dựng như thế nào. Điều này giúp gỡ lỗi—nếu một bảng điều khiển hiển thị số liệu sai, nguồn gốc dữ liệu sẽ tiết lộ sản phẩm thượng nguồn nào gây ra lỗi đó.</w:t>
      </w:r>
    </w:p>
    <w:p>
      <w:pPr>
        <w:spacing w:after="80"/>
      </w:pPr>
      <w:r>
        <w:rPr>
          <w:b/>
          <w:i w:val="0"/>
        </w:rPr>
        <w:t>Hồ dữ liệu (Data lake).</w:t>
      </w:r>
      <w:r>
        <w:rPr>
          <w:b w:val="0"/>
          <w:i w:val="0"/>
        </w:rPr>
        <w:t xml:space="preserve"> Một nơi tập trung trên đám mây nơi bạn có thể lưu trữ toàn bộ dữ liệu của mình—có cấu trúc (như bảng biểu) và phi cấu trúc (như văn bản, hình ảnh hoặc log)—đúng nguyên trạng khi nó đến, mà không cần phải tổ chức nó trước.</w:t>
      </w:r>
    </w:p>
    <w:p>
      <w:pPr>
        <w:spacing w:after="80"/>
      </w:pPr>
      <w:r>
        <w:rPr>
          <w:b/>
          <w:i w:val="0"/>
        </w:rPr>
        <w:t>Đường ống dữ liệu (Data pipeline).</w:t>
      </w:r>
      <w:r>
        <w:rPr>
          <w:b w:val="0"/>
          <w:i w:val="0"/>
        </w:rPr>
        <w:t xml:space="preserve"> Một chuỗi các bước di chuyển và biến đổi dữ liệu từ nơi này sang nơi khác và biến đổi nó. Nó trích xuất dữ liệu từ một nguồn (như hệ thống lõi), biến đổi nó (làm sạch, định dạng, làm giàu), và nạp nó vào vùng chứa tiếp nhận—dù đó là hồ dữ liệu hay một sản phẩm dữ liệu. Đường ống dữ liệu nuôi dưỡng các sản phẩm dữ liệu—chúng cung cấp dữ liệu và giữ cho dữ liệu luôn được cập nhật.</w:t>
      </w:r>
    </w:p>
    <w:p>
      <w:pPr>
        <w:spacing w:after="80"/>
      </w:pPr>
      <w:r>
        <w:rPr>
          <w:b/>
          <w:i w:val="0"/>
        </w:rPr>
        <w:t>Nền tảng dữ liệu (Data platform).</w:t>
      </w:r>
      <w:r>
        <w:rPr>
          <w:b w:val="0"/>
          <w:i w:val="0"/>
        </w:rPr>
        <w:t xml:space="preserve"> Tập hợp các công cụ và công nghệ cho phép bạn lưu trữ, xử lý và quản lý dữ liệu ở một nơi. Nó cung cấp các công cụ để biến đổi dữ liệu, phân tích và quản trị quyền truy cập. Nền tảng dữ liệu là hạ tầng giúp việc xây dựng, vận hành và phục vụ các sản phẩm dữ liệu trở nên khả thi.</w:t>
      </w:r>
    </w:p>
    <w:p>
      <w:pPr>
        <w:jc w:val="center"/>
      </w:pPr>
      <w:r>
        <w:drawing>
          <wp:inline xmlns:a="http://schemas.openxmlformats.org/drawingml/2006/main" xmlns:pic="http://schemas.openxmlformats.org/drawingml/2006/picture">
            <wp:extent cx="5486400" cy="7107297"/>
            <wp:docPr id="157" name="Picture 157"/>
            <wp:cNvGraphicFramePr>
              <a:graphicFrameLocks noChangeAspect="1"/>
            </wp:cNvGraphicFramePr>
            <a:graphic>
              <a:graphicData uri="http://schemas.openxmlformats.org/drawingml/2006/picture">
                <pic:pic>
                  <pic:nvPicPr>
                    <pic:cNvPr id="0" name="c26ex001.png"/>
                    <pic:cNvPicPr/>
                  </pic:nvPicPr>
                  <pic:blipFill>
                    <a:blip r:embed="rId120"/>
                    <a:stretch>
                      <a:fillRect/>
                    </a:stretch>
                  </pic:blipFill>
                  <pic:spPr>
                    <a:xfrm>
                      <a:off x="0" y="0"/>
                      <a:ext cx="5486400" cy="7107297"/>
                    </a:xfrm>
                    <a:prstGeom prst="rect"/>
                  </pic:spPr>
                </pic:pic>
              </a:graphicData>
            </a:graphic>
          </wp:inline>
        </w:drawing>
      </w:r>
    </w:p>
    <w:p>
      <w:pPr>
        <w:spacing w:after="160"/>
        <w:jc w:val="center"/>
      </w:pPr>
      <w:r>
        <w:rPr>
          <w:rFonts w:ascii="Calibri" w:hAnsi="Calibri"/>
          <w:b w:val="0"/>
          <w:i/>
          <w:sz w:val="19"/>
        </w:rPr>
        <w:t>HÌNH 26.1</w:t>
      </w:r>
    </w:p>
    <w:p>
      <w:pPr>
        <w:pStyle w:val="Heading2"/>
      </w:pPr>
      <w:r>
        <w:rPr>
          <w:rFonts w:ascii="Calibri" w:hAnsi="Calibri"/>
          <w:b/>
          <w:i w:val="0"/>
          <w:sz w:val="32"/>
        </w:rPr>
        <w:t>Sản phẩm dữ liệu vận hành các bản sao số (digital twin)</w:t>
      </w:r>
    </w:p>
    <w:p>
      <w:pPr>
        <w:spacing w:after="80"/>
      </w:pPr>
      <w:r>
        <w:rPr>
          <w:b w:val="0"/>
          <w:i w:val="0"/>
        </w:rPr>
        <w:t>Bản sao số là một biểu diễn ảo của một tài sản, con người hoặc quy trình vật lý, được cập nhật liên tục bằng dữ liệu thực tế để phản ánh trạng thái, hành vi và hiệu suất hiện tại của nó. Bản sao số hoạt động như một mô hình sống động của một thứ gì đó trong thế giới thực để các tổ chức có thể giám sát, thử nghiệm và cải thiện nó mà không cần chạm vào nó.</w:t>
      </w:r>
    </w:p>
    <w:p>
      <w:pPr>
        <w:spacing w:after="80"/>
      </w:pPr>
      <w:r>
        <w:rPr>
          <w:b w:val="0"/>
          <w:i w:val="0"/>
        </w:rPr>
        <w:t>Bản sao số có hai phần chính: bộ mô phỏng gương (emulator) và bộ mô phỏng (simulator). Bộ mô phỏng gương là các sản phẩm dữ liệu kết hợp nhiều tập dữ liệu khác nhau để giám sát các hệ thống thực tế. Bộ mô phỏng là các ứng dụng phần mềm và mô hình sử dụng dữ liệu từ bộ mô phỏng gương để mô phỏng hiệu suất của một hệ thống thực tế.</w:t>
      </w:r>
    </w:p>
    <w:p>
      <w:pPr>
        <w:spacing w:after="80"/>
      </w:pPr>
      <w:r>
        <w:rPr>
          <w:b w:val="0"/>
          <w:i w:val="0"/>
        </w:rPr>
        <w:t>Hãy lấy một ví dụ cụ thể. GE Aerospace đã là đơn vị tiên phong trong việc áp dụng công nghệ bản sao số cho các động cơ phản lực của mình. Mỗi động cơ đang hoạt động được ghép với một bản sao ảo liên tục nhận dữ liệu thời gian thực từ các cảm biến gắn bên trong, đo các thông số như nhiệt độ, áp suất, độ rung và mức tiêu thụ nhiên liệu.</w:t>
      </w:r>
    </w:p>
    <w:p>
      <w:pPr>
        <w:spacing w:after="80"/>
      </w:pPr>
      <w:r>
        <w:rPr>
          <w:b w:val="0"/>
          <w:i w:val="0"/>
        </w:rPr>
        <w:t>Dòng dữ liệu trực tiếp này cho phép GE Aerospace giám sát tình trạng và hiệu suất của từng động cơ trong điều kiện bay thực tế. Sử dụng các mô hình dựa trên vật lý tiên tiến và thuật toán học máy, bản sao số mô phỏng cách động cơ lẽ ra phải hoạt động, nhận diện các dấu hiệu hao mòn hoặc bất thường sớm, và dự đoán khi nào cần bảo trì. Các hãng hàng không hưởng lợi từ độ tin cậy đội bay được cải thiện, hiệu suất nhiên liệu được tối ưu hóa và chi phí vận hành giảm, trong khi GE Aerospace thu được những hiểu biết quý giá để tinh chỉnh thiết kế động cơ trong tương lai.</w:t>
      </w:r>
    </w:p>
    <w:p>
      <w:pPr>
        <w:spacing w:after="80"/>
      </w:pPr>
      <w:r>
        <w:rPr>
          <w:b w:val="0"/>
          <w:i w:val="0"/>
        </w:rPr>
        <w:t>Chúng ta đang thấy bản sao số xuất hiện trong vô số ứng dụng như quản lý chuỗi cung ứng, kiểm soát chất lượng, mô phỏng quy trình, quản lý đội xe, quy hoạch đô thị, phát triển sản phẩm và nhiều ứng dụng khác nữa.</w:t>
      </w:r>
    </w:p>
    <w:p>
      <w:pPr>
        <w:spacing w:after="80"/>
      </w:pPr>
      <w:r>
        <w:rPr>
          <w:b w:val="0"/>
          <w:i w:val="0"/>
        </w:rPr>
        <w:t>Sản phẩm dữ liệu đại diện cho một sự chuyển dịch căn bản trong cách các công ty suy nghĩ và quản lý dữ liệu. Trong một thiết lập dữ liệu kiểu cũ, mỗi nhóm phụ trách một trường hợp sử dụng sẽ phải loay hoay xử lý dữ liệu từ nền tảng dữ liệu để xây dựng một tập dữ liệu riêng cho trường hợp sử dụng đó (Hình 26.2). Chúng tôi ước tính rằng có tới 70% thời gian để phát triển một mô hình là dành cho việc loay hoay xử lý dữ liệu đó: xin quyền truy cập, hiểu cấu trúc dữ liệu, nhận hỗ trợ chuyên gia để trích xuất dữ liệu, xây dựng đường ống dữ liệu, v.v. Cách này không thể mở rộng quy mô được.</w:t>
      </w:r>
    </w:p>
    <w:p>
      <w:pPr>
        <w:jc w:val="center"/>
      </w:pPr>
      <w:r>
        <w:drawing>
          <wp:inline xmlns:a="http://schemas.openxmlformats.org/drawingml/2006/main" xmlns:pic="http://schemas.openxmlformats.org/drawingml/2006/picture">
            <wp:extent cx="5486400" cy="6577465"/>
            <wp:docPr id="158" name="Picture 158"/>
            <wp:cNvGraphicFramePr>
              <a:graphicFrameLocks noChangeAspect="1"/>
            </wp:cNvGraphicFramePr>
            <a:graphic>
              <a:graphicData uri="http://schemas.openxmlformats.org/drawingml/2006/picture">
                <pic:pic>
                  <pic:nvPicPr>
                    <pic:cNvPr id="0" name="c26ex002.png"/>
                    <pic:cNvPicPr/>
                  </pic:nvPicPr>
                  <pic:blipFill>
                    <a:blip r:embed="rId121"/>
                    <a:stretch>
                      <a:fillRect/>
                    </a:stretch>
                  </pic:blipFill>
                  <pic:spPr>
                    <a:xfrm>
                      <a:off x="0" y="0"/>
                      <a:ext cx="5486400" cy="6577465"/>
                    </a:xfrm>
                    <a:prstGeom prst="rect"/>
                  </pic:spPr>
                </pic:pic>
              </a:graphicData>
            </a:graphic>
          </wp:inline>
        </w:drawing>
      </w:r>
    </w:p>
    <w:p>
      <w:pPr>
        <w:spacing w:after="160"/>
        <w:jc w:val="center"/>
      </w:pPr>
      <w:r>
        <w:rPr>
          <w:rFonts w:ascii="Calibri" w:hAnsi="Calibri"/>
          <w:b w:val="0"/>
          <w:i/>
          <w:sz w:val="19"/>
        </w:rPr>
        <w:t>HÌNH 26.2</w:t>
      </w:r>
    </w:p>
    <w:p>
      <w:pPr>
        <w:spacing w:after="80"/>
      </w:pPr>
      <w:r>
        <w:rPr>
          <w:b w:val="0"/>
          <w:i w:val="0"/>
        </w:rPr>
        <w:t>Một sản phẩm dữ liệu đóng gói dữ liệu theo cách có cấu trúc để dễ dàng tiêu thụ thông qua một API. Ví dụ, nếu một nhóm cần dữ liệu khách hàng, họ có thể dùng API để "gọi" sản phẩm dữ liệu customer 360 của công ty mình để lấy dữ liệu mà nhóm cần. Hoặc, trong một ví dụ khác, nếu một mô hình cần dữ liệu hiệu suất tài sản trực tiếp, nó dùng API để gọi sản phẩm dữ liệu asset 360 của mình. Vì công ty minh họa của chúng ta đã chọn đầu tư vào việc phát triển các sản phẩm dữ liệu này, các nhóm phát triển giải pháp của công ty có thể truy cập dữ liệu mình cần dễ dàng hơn nhiều (Hình 26.3).</w:t>
      </w:r>
    </w:p>
    <w:p>
      <w:pPr>
        <w:jc w:val="center"/>
      </w:pPr>
      <w:r>
        <w:drawing>
          <wp:inline xmlns:a="http://schemas.openxmlformats.org/drawingml/2006/main" xmlns:pic="http://schemas.openxmlformats.org/drawingml/2006/picture">
            <wp:extent cx="5486400" cy="4655920"/>
            <wp:docPr id="159" name="Picture 159"/>
            <wp:cNvGraphicFramePr>
              <a:graphicFrameLocks noChangeAspect="1"/>
            </wp:cNvGraphicFramePr>
            <a:graphic>
              <a:graphicData uri="http://schemas.openxmlformats.org/drawingml/2006/picture">
                <pic:pic>
                  <pic:nvPicPr>
                    <pic:cNvPr id="0" name="c26ex003.png"/>
                    <pic:cNvPicPr/>
                  </pic:nvPicPr>
                  <pic:blipFill>
                    <a:blip r:embed="rId122"/>
                    <a:stretch>
                      <a:fillRect/>
                    </a:stretch>
                  </pic:blipFill>
                  <pic:spPr>
                    <a:xfrm>
                      <a:off x="0" y="0"/>
                      <a:ext cx="5486400" cy="4655920"/>
                    </a:xfrm>
                    <a:prstGeom prst="rect"/>
                  </pic:spPr>
                </pic:pic>
              </a:graphicData>
            </a:graphic>
          </wp:inline>
        </w:drawing>
      </w:r>
    </w:p>
    <w:p>
      <w:pPr>
        <w:spacing w:after="160"/>
        <w:jc w:val="center"/>
      </w:pPr>
      <w:r>
        <w:rPr>
          <w:rFonts w:ascii="Calibri" w:hAnsi="Calibri"/>
          <w:b w:val="0"/>
          <w:i/>
          <w:sz w:val="19"/>
        </w:rPr>
        <w:t>HÌNH 26.3</w:t>
      </w:r>
    </w:p>
    <w:p>
      <w:pPr>
        <w:spacing w:after="80"/>
      </w:pPr>
      <w:r>
        <w:rPr>
          <w:b w:val="0"/>
          <w:i w:val="0"/>
        </w:rPr>
        <w:t>Không phải mọi phần tử dữ liệu đều nên được đóng gói trong một data product (sản phẩm dữ liệu). Chỉ nên tập trung vào những phần tử có mức độ tái sử dụng cao across nhiều tình huống sử dụng khác nhau. Ví dụ, trong một data product customer 360 (khách hàng 360 độ), thông tin về vị trí địa lý của các tòa nhà của khách hàng có thể cần thiết cho một giải pháp giao hàng bằng xe tải, nhưng thông tin này có thể không còn hữu ích cho các giải pháp khác. Trong trường hợp này, việc thu thập dữ liệu trực tiếp từ data platform (nền tảng dữ liệu) hoặc các hệ thống nguồn bằng một custom data pipeline (đường ống dữ liệu tùy chỉnh) được xây dựng riêng cho nhu cầu đó sẽ hợp lý hơn.</w:t>
      </w:r>
    </w:p>
    <w:p>
      <w:pPr>
        <w:spacing w:after="80"/>
      </w:pPr>
      <w:r>
        <w:rPr>
          <w:b/>
          <w:i/>
        </w:rPr>
        <w:t>Data product chỉ đáng để xây dựng nếu chúng có thể được tái sử dụng nhiều</w:t>
      </w:r>
      <w:r>
        <w:rPr>
          <w:b/>
          <w:i w:val="0"/>
        </w:rPr>
        <w:t>.</w:t>
      </w:r>
    </w:p>
    <w:p>
      <w:pPr>
        <w:pStyle w:val="Heading2"/>
      </w:pPr>
      <w:r>
        <w:rPr>
          <w:rFonts w:ascii="Calibri" w:hAnsi="Calibri"/>
          <w:b/>
          <w:i w:val="0"/>
          <w:sz w:val="32"/>
        </w:rPr>
        <w:t>Cho tôi thấy giá trị: Data product với ROI thực sự</w:t>
      </w:r>
    </w:p>
    <w:p>
      <w:pPr>
        <w:spacing w:after="80"/>
      </w:pPr>
      <w:r>
        <w:rPr>
          <w:b w:val="0"/>
          <w:i w:val="0"/>
        </w:rPr>
        <w:t>Việc ưu tiên xây dựng data product nào trước hết quy về việc hiểu rõ giá trị mà nó sẽ mang lại. Exhibit 26.4 cho thấy các giải pháp được dùng cho một mạng di động viễn thông, gắn liền với những data product cung cấp sức mạnh cho chúng.</w:t>
      </w:r>
    </w:p>
    <w:p>
      <w:pPr>
        <w:jc w:val="center"/>
      </w:pPr>
      <w:r>
        <w:drawing>
          <wp:inline xmlns:a="http://schemas.openxmlformats.org/drawingml/2006/main" xmlns:pic="http://schemas.openxmlformats.org/drawingml/2006/picture">
            <wp:extent cx="457200" cy="447675"/>
            <wp:docPr id="160" name="Picture 160"/>
            <wp:cNvGraphicFramePr>
              <a:graphicFrameLocks noChangeAspect="1"/>
            </wp:cNvGraphicFramePr>
            <a:graphic>
              <a:graphicData uri="http://schemas.openxmlformats.org/drawingml/2006/picture">
                <pic:pic>
                  <pic:nvPicPr>
                    <pic:cNvPr id="0" name="RULE_OF_THUMB_green.png"/>
                    <pic:cNvPicPr/>
                  </pic:nvPicPr>
                  <pic:blipFill>
                    <a:blip r:embed="rId123"/>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Những sản phẩm giá trị nhất</w:t>
      </w:r>
    </w:p>
    <w:p>
      <w:pPr>
        <w:spacing w:after="80"/>
      </w:pPr>
      <w:r>
        <w:rPr>
          <w:b w:val="0"/>
          <w:i w:val="0"/>
        </w:rPr>
        <w:t>Phần lớn giá trị tiềm năng đối với một công ty thường đến từ 5 đến 15 data product.</w:t>
      </w:r>
    </w:p>
    <w:p>
      <w:pPr>
        <w:spacing w:after="80"/>
      </w:pPr>
      <w:r>
        <w:rPr>
          <w:b w:val="0"/>
          <w:i w:val="0"/>
        </w:rPr>
        <w:t>Ví dụ này làm nổi bật lý do tại sao việc phân tích tiềm năng giá trị của từng giải pháp trên lộ trình chuyển đổi (ít nhất trong 12–24 tháng tới) lại quan trọng đến vậy, sau đó nhóm những giải pháp dựa trên các loại dữ liệu tương tự lại với nhau. Nếu có nhiều giải pháp giá trị cao cùng dựa trên những tập dữ liệu tương tự, đó là một lý lẽ mạnh mẽ để phát triển một data product.</w:t>
      </w:r>
    </w:p>
    <w:p>
      <w:pPr>
        <w:jc w:val="center"/>
      </w:pPr>
      <w:r>
        <w:drawing>
          <wp:inline xmlns:a="http://schemas.openxmlformats.org/drawingml/2006/main" xmlns:pic="http://schemas.openxmlformats.org/drawingml/2006/picture">
            <wp:extent cx="5486400" cy="6471574"/>
            <wp:docPr id="161" name="Picture 161"/>
            <wp:cNvGraphicFramePr>
              <a:graphicFrameLocks noChangeAspect="1"/>
            </wp:cNvGraphicFramePr>
            <a:graphic>
              <a:graphicData uri="http://schemas.openxmlformats.org/drawingml/2006/picture">
                <pic:pic>
                  <pic:nvPicPr>
                    <pic:cNvPr id="0" name="c26ex004.png"/>
                    <pic:cNvPicPr/>
                  </pic:nvPicPr>
                  <pic:blipFill>
                    <a:blip r:embed="rId124"/>
                    <a:stretch>
                      <a:fillRect/>
                    </a:stretch>
                  </pic:blipFill>
                  <pic:spPr>
                    <a:xfrm>
                      <a:off x="0" y="0"/>
                      <a:ext cx="5486400" cy="6471574"/>
                    </a:xfrm>
                    <a:prstGeom prst="rect"/>
                  </pic:spPr>
                </pic:pic>
              </a:graphicData>
            </a:graphic>
          </wp:inline>
        </w:drawing>
      </w:r>
    </w:p>
    <w:p>
      <w:pPr>
        <w:spacing w:after="160"/>
        <w:jc w:val="center"/>
      </w:pPr>
      <w:r>
        <w:rPr>
          <w:rFonts w:ascii="Calibri" w:hAnsi="Calibri"/>
          <w:b w:val="0"/>
          <w:i/>
          <w:sz w:val="19"/>
        </w:rPr>
        <w:t>EXHIBIT 26.4</w:t>
      </w:r>
    </w:p>
    <w:p>
      <w:pPr>
        <w:spacing w:after="80"/>
      </w:pPr>
      <w:r>
        <w:rPr>
          <w:b w:val="0"/>
          <w:i w:val="0"/>
        </w:rPr>
        <w:t>Đáng lưu ý rằng việc thực hiện các business case (bài toán kinh doanh) giá trị cao thường đòi hỏi nhiều data product. Ví dụ, một công ty viễn thông muốn tối ưu hóa việc triển khai mạng lưới của mình, điều này cần nhiều thông tin đa dạng như loại thiết bị được lắp đặt tại bất kỳ vị trí nào hoặc sở thích của khách hàng. Để chạy các phân tích liên quan, công ty đã phát triển ba data product: một tập trung vào các trạm thu phát sóng (bao gồm các SKU trong mỗi trạm và cấu hình), một về khách hàng (bao gồm các mẫu kết nối, sở thích khách hàng và trải nghiệm khách hàng cho mỗi trạm), và một về mô phỏng tình huống (như chi phí của mỗi lần nâng cấp, tác động lên hiệu suất mạng và dự báo lưu lượng).</w:t>
      </w:r>
    </w:p>
    <w:p>
      <w:pPr>
        <w:spacing w:after="80"/>
      </w:pPr>
      <w:r>
        <w:rPr>
          <w:b w:val="0"/>
          <w:i w:val="0"/>
        </w:rPr>
        <w:t>Ngoài giá trị được mang lại, còn có những cân nhắc quan trọng khác trước khi khởi động việc phát triển một data product:</w:t>
      </w:r>
    </w:p>
    <w:p>
      <w:pPr>
        <w:spacing w:after="80"/>
        <w:ind w:left="360"/>
      </w:pPr>
      <w:r>
        <w:t xml:space="preserve">• </w:t>
      </w:r>
      <w:r>
        <w:rPr>
          <w:b/>
          <w:i w:val="0"/>
        </w:rPr>
        <w:t>Người dùng:</w:t>
      </w:r>
      <w:r>
        <w:rPr>
          <w:b w:val="0"/>
          <w:i w:val="0"/>
        </w:rPr>
        <w:t xml:space="preserve"> Ai sử dụng nó? Họ sẽ tiêu thụ nó như thế nào?</w:t>
      </w:r>
    </w:p>
    <w:p>
      <w:pPr>
        <w:spacing w:after="80"/>
        <w:ind w:left="360"/>
      </w:pPr>
      <w:r>
        <w:t xml:space="preserve">• </w:t>
      </w:r>
      <w:r>
        <w:rPr>
          <w:b/>
          <w:i w:val="0"/>
        </w:rPr>
        <w:t>Phạm vi:</w:t>
      </w:r>
      <w:r>
        <w:rPr>
          <w:b w:val="0"/>
          <w:i w:val="0"/>
        </w:rPr>
        <w:t xml:space="preserve"> Bao gồm/loại trừ những gì?</w:t>
      </w:r>
    </w:p>
    <w:p>
      <w:pPr>
        <w:spacing w:after="80"/>
        <w:ind w:left="360"/>
      </w:pPr>
      <w:r>
        <w:t xml:space="preserve">• </w:t>
      </w:r>
      <w:r>
        <w:rPr>
          <w:b/>
          <w:i w:val="0"/>
        </w:rPr>
        <w:t>Dữ liệu:</w:t>
      </w:r>
      <w:r>
        <w:rPr>
          <w:b w:val="0"/>
          <w:i w:val="0"/>
        </w:rPr>
        <w:t xml:space="preserve"> Các đầu vào có đáng tin cậy, kịp thời và được quản trị không?</w:t>
      </w:r>
    </w:p>
    <w:p>
      <w:pPr>
        <w:spacing w:after="80"/>
        <w:ind w:left="360"/>
      </w:pPr>
      <w:r>
        <w:t xml:space="preserve">• </w:t>
      </w:r>
      <w:r>
        <w:rPr>
          <w:b/>
          <w:i w:val="0"/>
        </w:rPr>
        <w:t>Quản trị:</w:t>
      </w:r>
      <w:r>
        <w:rPr>
          <w:b w:val="0"/>
          <w:i w:val="0"/>
        </w:rPr>
        <w:t xml:space="preserve"> Ai sở hữu, duy trì và bảo mật nó?</w:t>
      </w:r>
    </w:p>
    <w:p>
      <w:pPr>
        <w:spacing w:after="80"/>
        <w:ind w:left="360"/>
      </w:pPr>
      <w:r>
        <w:t xml:space="preserve">• </w:t>
      </w:r>
      <w:r>
        <w:rPr>
          <w:b/>
          <w:i w:val="0"/>
        </w:rPr>
        <w:t>Kiến trúc:</w:t>
      </w:r>
      <w:r>
        <w:rPr>
          <w:b w:val="0"/>
          <w:i w:val="0"/>
        </w:rPr>
        <w:t xml:space="preserve"> Nó có thể tái sử dụng, tương tác và mở rộng không?</w:t>
      </w:r>
    </w:p>
    <w:p>
      <w:pPr>
        <w:spacing w:after="80"/>
        <w:ind w:left="360"/>
      </w:pPr>
      <w:r>
        <w:t xml:space="preserve">• </w:t>
      </w:r>
      <w:r>
        <w:rPr>
          <w:b/>
          <w:i w:val="0"/>
        </w:rPr>
        <w:t>Vòng đời:</w:t>
      </w:r>
      <w:r>
        <w:rPr>
          <w:b w:val="0"/>
          <w:i w:val="0"/>
        </w:rPr>
        <w:t xml:space="preserve"> Nó sẽ phát triển và giữ được sự liên quan như thế nào?</w:t>
      </w:r>
    </w:p>
    <w:p>
      <w:pPr>
        <w:spacing w:after="80"/>
        <w:ind w:left="360"/>
      </w:pPr>
      <w:r>
        <w:t xml:space="preserve">• </w:t>
      </w:r>
      <w:r>
        <w:rPr>
          <w:b/>
          <w:i w:val="0"/>
        </w:rPr>
        <w:t>Tính độc đáo:</w:t>
      </w:r>
      <w:r>
        <w:rPr>
          <w:b w:val="0"/>
          <w:i w:val="0"/>
        </w:rPr>
        <w:t xml:space="preserve"> Nó đã tồn tại ở đâu đó trong tổ chức hoặc bên ngoài chưa?</w:t>
      </w:r>
    </w:p>
    <w:p>
      <w:pPr>
        <w:spacing w:after="80"/>
      </w:pPr>
      <w:r>
        <w:rPr>
          <w:b w:val="0"/>
          <w:i w:val="0"/>
        </w:rPr>
        <w:t>Việc đi qua những câu hỏi này giúp thiết kế sản phẩm dữ liệu và cung cấp một bản tóm tắt sản phẩm tuyệt vời cho đội ngũ phát triển sản phẩm dữ liệu.</w:t>
      </w:r>
    </w:p>
    <w:p>
      <w:pPr>
        <w:pStyle w:val="Heading2"/>
      </w:pPr>
      <w:r>
        <w:rPr>
          <w:rFonts w:ascii="Calibri" w:hAnsi="Calibri"/>
          <w:b/>
          <w:i w:val="0"/>
          <w:sz w:val="32"/>
        </w:rPr>
        <w:t>Xây dựng sản phẩm dữ liệu</w:t>
      </w:r>
    </w:p>
    <w:p>
      <w:pPr>
        <w:spacing w:after="80"/>
      </w:pPr>
      <w:r>
        <w:rPr>
          <w:b w:val="0"/>
          <w:i w:val="0"/>
        </w:rPr>
        <w:t>Sản phẩm dữ liệu có một cấu trúc rất đặc thù (Triển lãm 26.5). Cốt lõi của sản phẩm dữ liệu chính là dữ liệu đã được làm sạch, xác thực và làm giàu, được đưa vào từ một nền tảng dữ liệu, hệ thống lõi hoặc nguồn bên ngoài. Một sản phẩm dữ liệu luôn có các giao diện đầu ra (ví dụ: API) để người dùng, mô hình hoặc ứng dụng dễ dàng tiêu thụ nó.</w:t>
      </w:r>
    </w:p>
    <w:p>
      <w:pPr>
        <w:spacing w:after="80"/>
      </w:pPr>
      <w:r>
        <w:rPr>
          <w:b w:val="0"/>
          <w:i w:val="0"/>
        </w:rPr>
        <w:t>Ngoài ra, sản phẩm dữ liệu còn có siêu dữ liệu (metadata) mô tả nội dung của sản phẩm dữ liệu, và các quyền hạn kiểm soát ai được truy cập sản phẩm dữ liệu này cũng như thực thi việc tuân thủ các chính sách dữ liệu của công ty.</w:t>
      </w:r>
    </w:p>
    <w:p>
      <w:pPr>
        <w:spacing w:after="80"/>
      </w:pPr>
      <w:r>
        <w:rPr>
          <w:b w:val="0"/>
          <w:i w:val="0"/>
        </w:rPr>
        <w:t>Nhiều sản phẩm dữ liệu mạnh mẽ đã làm giàu hoặc biến đổi dữ liệu thô thành một tín hiệu giá trị gia tăng mà nhiều người dùng hoặc mô hình trong toàn doanh nghiệp có thể tiêu thụ.</w:t>
      </w:r>
    </w:p>
    <w:p>
      <w:pPr>
        <w:jc w:val="center"/>
      </w:pPr>
      <w:r>
        <w:drawing>
          <wp:inline xmlns:a="http://schemas.openxmlformats.org/drawingml/2006/main" xmlns:pic="http://schemas.openxmlformats.org/drawingml/2006/picture">
            <wp:extent cx="5486400" cy="4191636"/>
            <wp:docPr id="162" name="Picture 162"/>
            <wp:cNvGraphicFramePr>
              <a:graphicFrameLocks noChangeAspect="1"/>
            </wp:cNvGraphicFramePr>
            <a:graphic>
              <a:graphicData uri="http://schemas.openxmlformats.org/drawingml/2006/picture">
                <pic:pic>
                  <pic:nvPicPr>
                    <pic:cNvPr id="0" name="c26ex005.png"/>
                    <pic:cNvPicPr/>
                  </pic:nvPicPr>
                  <pic:blipFill>
                    <a:blip r:embed="rId125"/>
                    <a:stretch>
                      <a:fillRect/>
                    </a:stretch>
                  </pic:blipFill>
                  <pic:spPr>
                    <a:xfrm>
                      <a:off x="0" y="0"/>
                      <a:ext cx="5486400" cy="4191636"/>
                    </a:xfrm>
                    <a:prstGeom prst="rect"/>
                  </pic:spPr>
                </pic:pic>
              </a:graphicData>
            </a:graphic>
          </wp:inline>
        </w:drawing>
      </w:r>
    </w:p>
    <w:p>
      <w:pPr>
        <w:spacing w:after="160"/>
        <w:jc w:val="center"/>
      </w:pPr>
      <w:r>
        <w:rPr>
          <w:rFonts w:ascii="Calibri" w:hAnsi="Calibri"/>
          <w:b w:val="0"/>
          <w:i/>
          <w:sz w:val="19"/>
        </w:rPr>
        <w:t>TRIỂN LÃM 26.5</w:t>
      </w:r>
    </w:p>
    <w:p>
      <w:pPr>
        <w:spacing w:after="80"/>
      </w:pPr>
      <w:r>
        <w:rPr>
          <w:b w:val="0"/>
          <w:i w:val="0"/>
        </w:rPr>
        <w:t>Cuối cùng, mọi sản phẩm dữ liệu đều sẽ có một chủ sở hữu sản phẩm, một lộ trình phát triển, các SLA và tài liệu hướng dẫn cho người dùng.</w:t>
      </w:r>
    </w:p>
    <w:p>
      <w:pPr>
        <w:spacing w:after="80"/>
      </w:pPr>
      <w:r>
        <w:rPr>
          <w:b w:val="0"/>
          <w:i w:val="0"/>
        </w:rPr>
        <w:t>Hãy cùng xem một ngân hàng lớn ở Bắc Mỹ đã thực hiện điều này như thế nào. Ban lãnh đạo muốn hiểu và giảm tỷ lệ khách hàng rời bỏ (churn) trên các sản phẩm cốt lõi của mình, bao gồm tiết kiệm lãi suất cao, tài khoản vãng lai, thẻ tín dụng và các dịch vụ quản lý tài sản. Các nhà lãnh đạo đồng ý tập trung vào những chỉ báo sớm về việc khách hàng dần rút lui: những thay đổi tinh tế trong hành vi tài chính thường xuất hiện trước khi tài khoản bị đóng hoặc tài sản bị chuyển đi.</w:t>
      </w:r>
    </w:p>
    <w:p>
      <w:pPr>
        <w:spacing w:after="80"/>
      </w:pPr>
      <w:r>
        <w:rPr>
          <w:b w:val="0"/>
          <w:i w:val="0"/>
        </w:rPr>
        <w:t>Ngân hàng đã thành lập một đội ngũ liên chức năng gồm các kỹ sư dữ liệu, nhà khoa học hành vi và một chủ sở hữu sản phẩm dữ liệu (DPO) để xây dựng sản phẩm dữ liệu dự đoán churn. Họ phát triển sản phẩm này để giúp đưa ra hành động phù hợp tại các điểm tiếp xúc khác nhau với khách hàng cho tất cả các sản phẩm ngân hàng cốt lõi.</w:t>
      </w:r>
    </w:p>
    <w:p>
      <w:pPr>
        <w:spacing w:after="80"/>
      </w:pPr>
      <w:r>
        <w:rPr>
          <w:b w:val="0"/>
          <w:i w:val="0"/>
        </w:rPr>
        <w:t xml:space="preserve">DPO bắt đầu bằng việc theo chân các cố vấn và đội ngũ giữ chân khách hàng để tìm hiểu cách họ phát hiện churn tiềm ẩn trên thực tế. Phân tích đã làm nổi bật một mô thức chung: khách hàng </w:t>
      </w:r>
      <w:r>
        <w:rPr>
          <w:b w:val="0"/>
          <w:i/>
        </w:rPr>
        <w:t>tháo gỡ dần dần</w:t>
      </w:r>
      <w:r>
        <w:rPr>
          <w:b w:val="0"/>
          <w:i w:val="0"/>
        </w:rPr>
        <w:t>. Hoạt động giảm sút trước tiên, số dư dịch chuyển, và mức độ tương tác đa sản phẩm mỏng đi trước khi bất kỳ tài khoản nào chính thức bị đóng.</w:t>
      </w:r>
    </w:p>
    <w:p>
      <w:pPr>
        <w:pStyle w:val="Heading2"/>
      </w:pPr>
      <w:r>
        <w:rPr>
          <w:rFonts w:ascii="Calibri" w:hAnsi="Calibri"/>
          <w:b/>
          <w:i w:val="0"/>
          <w:sz w:val="32"/>
        </w:rPr>
        <w:t>Sản phẩm dữ liệu có sao chép dữ liệu từ nền tảng dữ liệu không?</w:t>
      </w:r>
    </w:p>
    <w:p>
      <w:pPr>
        <w:spacing w:after="80"/>
      </w:pPr>
      <w:r>
        <w:rPr>
          <w:b w:val="0"/>
          <w:i w:val="0"/>
        </w:rPr>
        <w:t>Sản phẩm dữ liệu về bản chất không sao chép dữ liệu được lưu trữ trong nền tảng dữ liệu của công ty. Trong các kiến trúc hiện đại, hầu hết sản phẩm dữ liệu chỉ tham chiếu hoặc ảo hóa dữ liệu nền tảng bên dưới thay vì sao chép nó, dựa vào lưu trữ chia sẻ, các lớp ngữ nghĩa (semantic layer) và siêu dữ liệu để cung cấp quyền truy cập nhất quán mà không tạo ra các bản sao không cần thiết.</w:t>
      </w:r>
    </w:p>
    <w:p>
      <w:pPr>
        <w:spacing w:after="80"/>
      </w:pPr>
      <w:r>
        <w:rPr>
          <w:b w:val="0"/>
          <w:i w:val="0"/>
        </w:rPr>
        <w:t>Điều đó nói lên rằng, một số việc sao chép vẫn diễn ra trên thực tế, nhưng chỉ vì hiệu năng, khả năng phục hồi hoặc tính cô lập—ví dụ, các bảng được tính toán trước cho các trường hợp sử dụng cần độ trễ thấp hoặc các bộ dữ liệu có phiên bản cần thiết cho học máy. Đây là sự "sao chép thông minh" có chủ đích, không phải sự trùng lặp không kiểm soát.</w:t>
      </w:r>
    </w:p>
    <w:p>
      <w:pPr>
        <w:pStyle w:val="Heading3"/>
      </w:pPr>
      <w:r>
        <w:rPr>
          <w:rFonts w:ascii="Calibri" w:hAnsi="Calibri"/>
          <w:b/>
          <w:i w:val="0"/>
          <w:sz w:val="26"/>
        </w:rPr>
        <w:t>Việc xây dựng đội ngũ sản phẩm dữ liệu</w:t>
      </w:r>
    </w:p>
    <w:p>
      <w:pPr>
        <w:spacing w:after="80"/>
      </w:pPr>
      <w:r>
        <w:rPr>
          <w:b w:val="0"/>
          <w:i w:val="0"/>
        </w:rPr>
        <w:t>Các chương trình sản phẩm dữ liệu hiệu quả được dẫn dắt bởi những DPO (chủ sở hữu sản phẩm dữ liệu) mạnh mẽ, những người vận hành như chủ doanh nghiệp chứ không phải quản lý dự án. Vai trò của họ vượt xa việc bàn giao các tài sản dữ liệu: họ hợp tác với các nhà tài trợ kinh doanh, chủ động mở rộng các trường hợp sử dụng, theo dõi KPI, quản lý chi phí và chịu trách nhiệm trực tiếp về giá trị mà sản phẩm dữ liệu tạo ra—đôi khi thậm chí gắn với P&amp;L hoặc thù lao dựa trên khuyến khích gắn với kết quả.</w:t>
      </w:r>
    </w:p>
    <w:p>
      <w:pPr>
        <w:spacing w:after="80"/>
      </w:pPr>
      <w:r>
        <w:rPr>
          <w:b w:val="0"/>
          <w:i w:val="0"/>
        </w:rPr>
        <w:t>DPO không nên quản lý các miền dữ liệu (data domain) hay quản trị dữ liệu. Trách nhiệm đó thuộc về các data steward, những người tập trung vào tiêu chuẩn, chất lượng và rủi ro. Sự tách biệt này cho phép DPO tập trung vào việc tạo giá trị trong khi các steward đảm bảo nền tảng dữ liệu luôn vững chắc.</w:t>
      </w:r>
    </w:p>
    <w:p>
      <w:pPr>
        <w:spacing w:after="80"/>
      </w:pPr>
      <w:r>
        <w:rPr>
          <w:b w:val="0"/>
          <w:i w:val="0"/>
        </w:rPr>
        <w:t>Những sản phẩm dữ liệu thành công nhất được đồng thiết kế với bộ phận kinh doanh ngay từ đầu (Hình 26.6). Các chuyên gia về lĩnh vực giúp xác định dữ liệu nào thực sự quan trọng cho các trường hợp sử dụng ưu tiên, tránh những giải pháp hợp lý về mặt kỹ thuật nhưng ít tác động. Vì sản phẩm dữ liệu đòi hỏi sự phối hợp giữa các chức năng và thay đổi quy trình, các nhà lãnh đạo kinh doanh thường ở vị trí tốt nhất để dẫn dắt những nỗ lực này, huy động đội ngũ và thực thi trách nhiệm thông qua các chỉ số hiệu suất rõ ràng.</w:t>
      </w:r>
    </w:p>
    <w:p>
      <w:pPr>
        <w:jc w:val="center"/>
      </w:pPr>
      <w:r>
        <w:drawing>
          <wp:inline xmlns:a="http://schemas.openxmlformats.org/drawingml/2006/main" xmlns:pic="http://schemas.openxmlformats.org/drawingml/2006/picture">
            <wp:extent cx="5486400" cy="3736549"/>
            <wp:docPr id="163" name="Picture 163"/>
            <wp:cNvGraphicFramePr>
              <a:graphicFrameLocks noChangeAspect="1"/>
            </wp:cNvGraphicFramePr>
            <a:graphic>
              <a:graphicData uri="http://schemas.openxmlformats.org/drawingml/2006/picture">
                <pic:pic>
                  <pic:nvPicPr>
                    <pic:cNvPr id="0" name="c26ex006.png"/>
                    <pic:cNvPicPr/>
                  </pic:nvPicPr>
                  <pic:blipFill>
                    <a:blip r:embed="rId126"/>
                    <a:stretch>
                      <a:fillRect/>
                    </a:stretch>
                  </pic:blipFill>
                  <pic:spPr>
                    <a:xfrm>
                      <a:off x="0" y="0"/>
                      <a:ext cx="5486400" cy="3736549"/>
                    </a:xfrm>
                    <a:prstGeom prst="rect"/>
                  </pic:spPr>
                </pic:pic>
              </a:graphicData>
            </a:graphic>
          </wp:inline>
        </w:drawing>
      </w:r>
    </w:p>
    <w:p>
      <w:pPr>
        <w:spacing w:after="160"/>
        <w:jc w:val="center"/>
      </w:pPr>
      <w:r>
        <w:rPr>
          <w:rFonts w:ascii="Calibri" w:hAnsi="Calibri"/>
          <w:b w:val="0"/>
          <w:i/>
          <w:sz w:val="19"/>
        </w:rPr>
        <w:t>HÌNH 26.6</w:t>
      </w:r>
    </w:p>
    <w:p>
      <w:pPr>
        <w:spacing w:after="80"/>
      </w:pPr>
      <w:r>
        <w:rPr>
          <w:b w:val="0"/>
          <w:i w:val="0"/>
        </w:rPr>
        <w:t>Với hiểu biết này, nhóm sau đó đã xác định và tập trung vào sáu yếu tố dự báo hàng đầu về việc rời bỏ (churn):</w:t>
      </w:r>
    </w:p>
    <w:p>
      <w:pPr>
        <w:spacing w:after="80"/>
        <w:ind w:left="360"/>
      </w:pPr>
      <w:r>
        <w:t xml:space="preserve">1. </w:t>
      </w:r>
      <w:r>
        <w:rPr>
          <w:b/>
          <w:i w:val="0"/>
        </w:rPr>
        <w:t>Tốc độ giao dịch giảm dần:</w:t>
      </w:r>
      <w:r>
        <w:rPr>
          <w:b w:val="0"/>
          <w:i w:val="0"/>
        </w:rPr>
        <w:t xml:space="preserve"> Sự sụt giảm đều đặn trong hoạt động ghi nợ hoặc tín dụng so với chuẩn của các khách hàng tương đương</w:t>
      </w:r>
    </w:p>
    <w:p>
      <w:pPr>
        <w:spacing w:after="80"/>
        <w:ind w:left="360"/>
      </w:pPr>
      <w:r>
        <w:t xml:space="preserve">2. </w:t>
      </w:r>
      <w:r>
        <w:rPr>
          <w:b/>
          <w:i w:val="0"/>
        </w:rPr>
        <w:t>Đỉnh điểm dòng tiền chảy ra:</w:t>
      </w:r>
      <w:r>
        <w:rPr>
          <w:b w:val="0"/>
          <w:i w:val="0"/>
        </w:rPr>
        <w:t xml:space="preserve"> Sự gia tăng rõ rệt các giao dịch chuyển tiền đến tài khoản bên ngoài hoặc đối thủ cạnh tranh</w:t>
      </w:r>
    </w:p>
    <w:p>
      <w:pPr>
        <w:spacing w:after="80"/>
        <w:ind w:left="360"/>
      </w:pPr>
      <w:r>
        <w:t xml:space="preserve">3. </w:t>
      </w:r>
      <w:r>
        <w:rPr>
          <w:b/>
          <w:i w:val="0"/>
        </w:rPr>
        <w:t>Trôi dạt sang trạng thái không hoạt động:</w:t>
      </w:r>
      <w:r>
        <w:rPr>
          <w:b w:val="0"/>
          <w:i w:val="0"/>
        </w:rPr>
        <w:t xml:space="preserve"> Ít đăng nhập kỹ thuật số, thanh toán hóa đơn hoặc chuyển tiền định kỳ hơn theo thời gian</w:t>
      </w:r>
    </w:p>
    <w:p>
      <w:pPr>
        <w:spacing w:after="80"/>
        <w:ind w:left="360"/>
      </w:pPr>
      <w:r>
        <w:t xml:space="preserve">4. </w:t>
      </w:r>
      <w:r>
        <w:rPr>
          <w:b/>
          <w:i w:val="0"/>
        </w:rPr>
        <w:t>Thay đổi mức độ tương tác sản phẩm:</w:t>
      </w:r>
      <w:r>
        <w:rPr>
          <w:b w:val="0"/>
          <w:i w:val="0"/>
        </w:rPr>
        <w:t xml:space="preserve"> Khách hàng tương tác ít hơn hoặc nhiều hơn với website, ứng dụng di động, v.v.</w:t>
      </w:r>
    </w:p>
    <w:p>
      <w:pPr>
        <w:spacing w:after="80"/>
        <w:ind w:left="360"/>
      </w:pPr>
      <w:r>
        <w:t xml:space="preserve">5. </w:t>
      </w:r>
      <w:r>
        <w:rPr>
          <w:b/>
          <w:i w:val="0"/>
        </w:rPr>
        <w:t>Tiền gửi vào giảm dần:</w:t>
      </w:r>
      <w:r>
        <w:rPr>
          <w:b w:val="0"/>
          <w:i w:val="0"/>
        </w:rPr>
        <w:t xml:space="preserve"> Tiền lương hoặc tiền gửi định kỳ được chuyển hướng sang nơi khác</w:t>
      </w:r>
    </w:p>
    <w:p>
      <w:pPr>
        <w:spacing w:after="80"/>
        <w:ind w:left="360"/>
      </w:pPr>
      <w:r>
        <w:t xml:space="preserve">6. </w:t>
      </w:r>
      <w:r>
        <w:rPr>
          <w:b/>
          <w:i w:val="0"/>
        </w:rPr>
        <w:t>Cảm nhận dịch vụ tiêu cực:</w:t>
      </w:r>
      <w:r>
        <w:rPr>
          <w:b w:val="0"/>
          <w:i w:val="0"/>
        </w:rPr>
        <w:t xml:space="preserve"> Số lượng khiếu nại tăng hoặc điểm khảo sát thấp trong khoảng thời gian ba tháng</w:t>
      </w:r>
    </w:p>
    <w:p>
      <w:pPr>
        <w:spacing w:after="80"/>
      </w:pPr>
      <w:r>
        <w:rPr>
          <w:b w:val="0"/>
          <w:i w:val="0"/>
        </w:rPr>
        <w:t>Các nhà mô hình hóa hành vi đã tạo ra điểm số churn tổng hợp được đánh trọng số theo các yếu tố dự báo này, được hiệu chỉnh theo loại sản phẩm và thời gian gắn bó. Các nhà phân tích kinh doanh đã xác thực các chỉ báo này với nhân viên tuyến đầu, xác nhận rằng chúng khớp với điều mà các cố vấn nhận ra bằng trực giác là hành vi "không còn gắn kết".</w:t>
      </w:r>
    </w:p>
    <w:p>
      <w:pPr>
        <w:spacing w:after="80"/>
      </w:pPr>
      <w:r>
        <w:rPr>
          <w:b w:val="0"/>
          <w:i w:val="0"/>
        </w:rPr>
        <w:t>Các kỹ sư dữ liệu đã phát triển một sản phẩm dữ liệu ban đầu và nạp vào đó dữ liệu liên quan từ các hệ thống giao dịch, CRM, kỹ thuật số và trung tâm liên hệ được tự động thu nạp. Các kỹ sư dữ liệu đã xây dựng sản phẩm dữ liệu sao cho có thể thêm các nguồn và loại dữ liệu mới vào nó mà không cần thay đổi phần lõi.</w:t>
      </w:r>
    </w:p>
    <w:p>
      <w:pPr>
        <w:spacing w:after="80"/>
      </w:pPr>
      <w:r>
        <w:rPr>
          <w:b w:val="0"/>
          <w:i w:val="0"/>
        </w:rPr>
        <w:t>Thử nghiệm đầu tiên tập trung vào tài khoản tiết kiệm và tài khoản vãng lai, tạo ra danh sách rủi ro churn hàng tuần và đưa chúng vào CRM. Các cố vấn nhận được cảnh báo kèm thông tin chi tiết theo ngữ cảnh, chẳng hạn như "tiền gửi và việc sử dụng thẻ đang giảm"—cùng với các đề xuất hành động tốt nhất tiếp theo.</w:t>
      </w:r>
    </w:p>
    <w:p>
      <w:pPr>
        <w:spacing w:after="80"/>
      </w:pPr>
      <w:r>
        <w:rPr>
          <w:b w:val="0"/>
          <w:i w:val="0"/>
        </w:rPr>
        <w:t>Sau sáu tuần, ngân hàng đã làm phong phú thêm sản phẩm dữ liệu với các yếu tố dự báo bổ sung như điểm đến chuyển tiền ra bên ngoài và thời gian kể từ lần tương tác tài chính gần nhất, cải thiện độ chính xác của recall thêm 18%. Các thử nghiệm bổ sung với cảm xúc trên mạng xã hội và tần suất ghé thăm chi nhánh cho thấy mức cải thiện tăng thêm tối thiểu và đã bị loại bỏ.</w:t>
      </w:r>
    </w:p>
    <w:p>
      <w:pPr>
        <w:spacing w:after="80"/>
      </w:pPr>
      <w:r>
        <w:rPr>
          <w:b w:val="0"/>
          <w:i w:val="0"/>
        </w:rPr>
        <w:t>Sản phẩm dữ liệu đã được đưa vào vận hành trên toàn bộ các bộ phận bán lẻ và quản lý tài sản trong vòng ba tháng. Trong hai quý tiếp theo, các nỗ lực giữ chân khách hàng có mục tiêu đã cắt giảm tỷ lệ rời bỏ ở giai đoạn đầu xuống 10% và cải thiện điểm hài lòng của khách hàng thêm chín điểm.</w:t>
      </w:r>
    </w:p>
    <w:p>
      <w:pPr>
        <w:spacing w:after="80"/>
      </w:pPr>
      <w:r>
        <w:rPr>
          <w:b w:val="0"/>
          <w:i w:val="0"/>
        </w:rPr>
        <w:t>Dưới đây là một số bài học quan trọng nhất rút ra từ tình huống này:</w:t>
      </w:r>
    </w:p>
    <w:p>
      <w:pPr>
        <w:spacing w:after="80"/>
      </w:pPr>
      <w:r>
        <w:rPr>
          <w:b/>
          <w:i w:val="0"/>
        </w:rPr>
        <w:t>Bắt đầu từ hành vi người dùng.</w:t>
      </w:r>
      <w:r>
        <w:rPr>
          <w:b w:val="0"/>
          <w:i w:val="0"/>
        </w:rPr>
        <w:t xml:space="preserve"> DPO đã làm việc chặt chẽ với các cố vấn và trưởng nhóm sản phẩm để định nghĩa rời bỏ (churn) không phải là một điểm kết thúc mà là một quỹ đạo hành vi. Bằng cách thống nhất về các dấu hiệu báo trước cụ thể (thông qua kết hợp giả thuyết và dữ liệu) dẫn đến việc ngừng tương tác, nhóm có thể can thiệp sớm hơn và thiết kế logic dữ liệu dựa trên các hành vi thực tế đã được nhận diện.</w:t>
      </w:r>
    </w:p>
    <w:p>
      <w:pPr>
        <w:spacing w:after="80"/>
      </w:pPr>
      <w:r>
        <w:rPr>
          <w:b/>
          <w:i w:val="0"/>
        </w:rPr>
        <w:t>Thu thập dữ liệu có ý nghĩa.</w:t>
      </w:r>
      <w:r>
        <w:rPr>
          <w:b w:val="0"/>
          <w:i w:val="0"/>
        </w:rPr>
        <w:t xml:space="preserve"> Thay vì kéo mọi trường dữ liệu khách hàng, nhóm tập trung vào dữ liệu về mức độ biến động giao dịch, tiền gửi, tương tác số và nắm giữ sản phẩm – những dữ liệu có sức mạnh dự báo rõ ràng nhất.</w:t>
      </w:r>
    </w:p>
    <w:p>
      <w:pPr>
        <w:spacing w:after="80"/>
      </w:pPr>
      <w:r>
        <w:rPr>
          <w:b/>
          <w:i w:val="0"/>
        </w:rPr>
        <w:t>Làm giàu dữ liệu khi nó giúp tăng độ chính xác.</w:t>
      </w:r>
      <w:r>
        <w:rPr>
          <w:b w:val="0"/>
          <w:i w:val="0"/>
        </w:rPr>
        <w:t xml:space="preserve"> Chỉ những phần làm giàu dữ liệu giúp cải thiện độ chính xác của các can thiệp mới được mở rộng quy mô.</w:t>
      </w:r>
    </w:p>
    <w:p>
      <w:pPr>
        <w:spacing w:after="80"/>
      </w:pPr>
      <w:r>
        <w:rPr>
          <w:b/>
          <w:i w:val="0"/>
        </w:rPr>
        <w:t>Coi chất lượng là một sản phẩm bàn giao được quản lý.</w:t>
      </w:r>
      <w:r>
        <w:rPr>
          <w:b w:val="0"/>
          <w:i w:val="0"/>
        </w:rPr>
        <w:t xml:space="preserve"> DPO đặt ra các ngưỡng bao gồm độ tươi mới dữ liệu trong 48 giờ cho các trường hoạt động chính và độ chính xác đối soát 98% trên toàn hệ thống. Các chỉ số chất lượng được xem xét hàng tuần song song với hiệu suất phát hiện rời bỏ.</w:t>
      </w:r>
    </w:p>
    <w:p>
      <w:pPr>
        <w:spacing w:after="80"/>
      </w:pPr>
      <w:r>
        <w:rPr>
          <w:b/>
          <w:i w:val="0"/>
        </w:rPr>
        <w:t>Cung cấp thông tin chi tiết ngay trong dòng công việc.</w:t>
      </w:r>
      <w:r>
        <w:rPr>
          <w:b w:val="0"/>
          <w:i w:val="0"/>
        </w:rPr>
        <w:t xml:space="preserve"> Thay vì công bố lên một chợ dữ liệu chung chung, nhóm đã nhúng thông tin về rủi ro rời bỏ vào CRM và cổng thông tin của cố vấn chi nhánh.</w:t>
      </w:r>
    </w:p>
    <w:p>
      <w:pPr>
        <w:spacing w:after="80"/>
      </w:pPr>
      <w:r>
        <w:rPr>
          <w:b/>
          <w:i w:val="0"/>
        </w:rPr>
        <w:t>Lặp lại dựa trên các mẫu quan sát được.</w:t>
      </w:r>
      <w:r>
        <w:rPr>
          <w:b w:val="0"/>
          <w:i w:val="0"/>
        </w:rPr>
        <w:t xml:space="preserve"> Việc giám sát liên tục đã phát hiện ra những tín hiệu mới – ví dụ, những khách hàng ngừng nạp tiền vào tài khoản đầu tư đã đăng ký (RRSP) có khả năng rời bỏ trong vòng 90 ngày cao gấp đôi. Phát hiện này dẫn đến một chiến dịch chủ động mới, giúp tăng khả năng giữ chân tài sản thêm 6%.</w:t>
      </w:r>
    </w:p>
    <w:p>
      <w:pPr>
        <w:jc w:val="center"/>
      </w:pPr>
      <w:r>
        <w:drawing>
          <wp:inline xmlns:a="http://schemas.openxmlformats.org/drawingml/2006/main" xmlns:pic="http://schemas.openxmlformats.org/drawingml/2006/picture">
            <wp:extent cx="1905000" cy="95250"/>
            <wp:docPr id="164" name="Picture 164"/>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Sản phẩm dữ liệu là cơ chế thực tiễn để AI mở rộng quy mô. Các lãnh đạo cấp cao với tầm nhìn rộng khắp doanh nghiệp phải dẫn dắt quyết định đầu tư vào chúng để ưu tiên đúng các sản phẩm dữ liệu và duy trì chúng theo thời gian. Và một khi đã chọn, những sản phẩm này phải được thiết kế như những sản phẩm thực thụ – được thiết kế để dễ tiêu thụ, được quản trị bằng các kiểm soát rõ ràng, và được hỗ trợ về chất lượng, bảo mật và trách nhiệm giải trình.</w:t>
      </w:r>
    </w:p>
    <w:p>
      <w:pPr>
        <w:pStyle w:val="Heading2"/>
      </w:pPr>
      <w:r>
        <w:rPr>
          <w:rFonts w:ascii="Calibri" w:hAnsi="Calibri"/>
          <w:b/>
          <w:i w:val="0"/>
          <w:sz w:val="32"/>
        </w:rPr>
        <w:t>Ghi chú</w:t>
      </w:r>
    </w:p>
    <w:p>
      <w:pPr>
        <w:spacing w:after="80"/>
        <w:ind w:left="360"/>
      </w:pPr>
      <w:r>
        <w:t xml:space="preserve">1. </w:t>
      </w:r>
      <w:r>
        <w:rPr>
          <w:b w:val="0"/>
          <w:i w:val="0"/>
        </w:rPr>
        <w:t>1   Veeral Desai, Tim Fountaine, và Kayvaun Rowshankish, “How to unlock the full value of data? Manage it like a product,” McKinsey, June 14, 2022.</w:t>
      </w:r>
    </w:p>
    <w:p>
      <w:pPr>
        <w:spacing w:after="80"/>
        <w:ind w:left="360"/>
      </w:pPr>
      <w:r>
        <w:t xml:space="preserve">2. </w:t>
      </w:r>
      <w:r>
        <w:rPr>
          <w:b w:val="0"/>
          <w:i w:val="0"/>
        </w:rPr>
        <w:t>2   Asin Tavakoli, Holger Harreis, Kayvaun Rowshankish, Klemens Hjartar, và Avinash Javaji, “The missing data link: Five practical lessons to scale your data products,” McKinsey, April 23, 2025.</w:t>
      </w:r>
    </w:p>
    <w:p>
      <w:pPr>
        <w:pStyle w:val="Heading2"/>
      </w:pPr>
      <w:r>
        <w:rPr>
          <w:rFonts w:ascii="Calibri" w:hAnsi="Calibri"/>
          <w:b/>
          <w:i/>
          <w:sz w:val="32"/>
        </w:rPr>
        <w:t>“Tổ chức là việc bạn làm trước khi bạn làm một điều gì đó, để khi bạn làm nó, mọi thứ không bị lộn xộn.”</w:t>
      </w:r>
    </w:p>
    <w:p>
      <w:pPr>
        <w:spacing w:after="80"/>
      </w:pPr>
      <w:r>
        <w:rPr>
          <w:b/>
          <w:i w:val="0"/>
        </w:rPr>
        <w:t>— A. A. Milne</w:t>
      </w:r>
    </w:p>
    <w:p>
      <w:pPr>
        <w:pStyle w:val="Heading1"/>
      </w:pPr>
      <w:r>
        <w:rPr>
          <w:rFonts w:ascii="Calibri" w:hAnsi="Calibri"/>
          <w:b/>
          <w:i w:val="0"/>
          <w:sz w:val="40"/>
        </w:rPr>
        <w:t>CHƯƠNG 27</w:t>
      </w:r>
      <w:r>
        <w:rPr>
          <w:rFonts w:ascii="Calibri" w:hAnsi="Calibri"/>
          <w:b/>
          <w:i w:val="0"/>
          <w:sz w:val="40"/>
        </w:rPr>
      </w:r>
      <w:r>
        <w:rPr>
          <w:rFonts w:ascii="Calibri" w:hAnsi="Calibri"/>
          <w:b/>
          <w:i w:val="0"/>
          <w:sz w:val="40"/>
        </w:rPr>
        <w:t>Tổ chức để tận dụng tối đa dữ liệu của bạn</w:t>
      </w:r>
    </w:p>
    <w:p>
      <w:pPr>
        <w:spacing w:after="80"/>
      </w:pPr>
      <w:r>
        <w:rPr>
          <w:b w:val="0"/>
          <w:i w:val="0"/>
        </w:rPr>
        <w:t>Giống như nhiều điều chúng ta đã đề cập trong cuốn sách này, việc kích hoạt thành công dữ liệu của bạn không hẳn là một thách thức kỹ thuật mà là một thách thức về con người. Hay nói cụ thể hơn, là về tổ chức.</w:t>
      </w:r>
    </w:p>
    <w:p>
      <w:pPr>
        <w:spacing w:after="80"/>
      </w:pPr>
      <w:r>
        <w:rPr>
          <w:b w:val="0"/>
          <w:i w:val="0"/>
        </w:rPr>
        <w:t>Các câu hỏi thì vô vàn và phức tạp. Ai nên sở hữu dữ liệu? Chúng ta có nên có một tổ chức dữ liệu không? Nó nên liên kết với bộ phận kinh doanh như thế nào? Và với IT? Ai nên sở hữu kỹ thuật dữ liệu? Quyền riêng tư và tuân thủ dữ liệu có nên được tách riêng không?</w:t>
      </w:r>
    </w:p>
    <w:p>
      <w:pPr>
        <w:spacing w:after="80"/>
      </w:pPr>
      <w:r>
        <w:rPr>
          <w:b w:val="0"/>
          <w:i w:val="0"/>
        </w:rPr>
        <w:t>Những câu hỏi này thường khó trả lời vì suy cho cùng nó phụ thuộc vào việc mọi người đồng thuận với nhau về một tầm nhìn chung cho cách dữ liệu nên vận hành và ai chịu trách nhiệm về nó. Vấn đề càng phức tạp hơn bởi dữ liệu có mặt ở khắp mọi nơi, nó là một nguồn sức mạnh trong tổ chức, và rất nhiều bên liên quan cần phải thống nhất với nhau để mô hình này hoạt động được trên thực tế.</w:t>
      </w:r>
    </w:p>
    <w:p>
      <w:pPr>
        <w:pStyle w:val="Heading2"/>
      </w:pPr>
      <w:r>
        <w:rPr>
          <w:rFonts w:ascii="Calibri" w:hAnsi="Calibri"/>
          <w:b/>
          <w:i w:val="0"/>
          <w:sz w:val="32"/>
        </w:rPr>
        <w:t>Mô hình tổ chức dữ liệu tập trung hay liên bang?</w:t>
      </w:r>
    </w:p>
    <w:p>
      <w:pPr>
        <w:spacing w:after="80"/>
      </w:pPr>
      <w:r>
        <w:rPr>
          <w:b w:val="0"/>
          <w:i w:val="0"/>
        </w:rPr>
        <w:t>Đây là một câu hỏi muôn thuở, với con lắc cứ đung đưa qua lại. Một số công ty chủ yếu dùng mô hình tập trung, với các đội nhân sự dữ liệu phục vụ toàn bộ doanh nghiệp. Những công ty khác lại chủ yếu dùng mô hình phi tập trung, với mỗi đơn vị kinh doanh và bộ phận tự phát triển năng lực để đáp ứng nhu cầu của chính mình.</w:t>
      </w:r>
    </w:p>
    <w:p>
      <w:pPr>
        <w:spacing w:after="80"/>
      </w:pPr>
      <w:r>
        <w:rPr>
          <w:b w:val="0"/>
          <w:i w:val="0"/>
        </w:rPr>
        <w:t>Cả hai mô hình đều có thể hoạt động ở mức độ hạn chế nhưng nhìn chung không đủ khả năng đáp ứng linh hoạt hay mở rộng quy mô để phục vụ nhu cầu kinh doanh rộng lớn hơn.</w:t>
      </w:r>
    </w:p>
    <w:p>
      <w:pPr>
        <w:spacing w:after="80"/>
      </w:pPr>
      <w:r>
        <w:rPr>
          <w:b/>
          <w:i/>
        </w:rPr>
        <w:t>Các công ty hàng đầu triển khai mô hình liên bang với một chức năng quản trị dữ liệu trung tâm mạnh mẽ, đặt ra chính sách và tiêu chuẩn, đồng thời cung cấp hỗ trợ và giám sát. Các đơn vị kinh doanh và bộ phận sau đó thực hiện các hoạt động dữ liệu như quản lý dữ liệu và định nghĩa các sản phẩm dữ liệu</w:t>
      </w:r>
      <w:r>
        <w:rPr>
          <w:b/>
          <w:i w:val="0"/>
        </w:rPr>
        <w:t>.</w:t>
      </w:r>
    </w:p>
    <w:p>
      <w:pPr>
        <w:spacing w:after="80"/>
      </w:pPr>
      <w:r>
        <w:rPr>
          <w:b w:val="0"/>
          <w:i w:val="0"/>
        </w:rPr>
        <w:t>Việc đạt được sự cân bằng đúng đắn giữa trách nhiệm trung tâm và địa phương trong cách tiếp cận liên bang này phụ thuộc vào từng hoạt động dữ liệu cụ thể. Một số hoạt động nên được tập trung hóa cao độ, như kiến trúc dữ liệu. Những hoạt động khác, như quản lý sản phẩm dữ liệu, nên được giao cho những người thường xuyên sử dụng dữ liệu đó. Hình 27.1 mô tả cách thiết lập điển hình cho các hoạt động quản trị dữ liệu khác nhau trong một mô hình liên bang theo thông lệ tốt nhất.</w:t>
      </w:r>
    </w:p>
    <w:p>
      <w:pPr>
        <w:spacing w:after="80"/>
      </w:pPr>
      <w:r>
        <w:rPr>
          <w:b w:val="0"/>
          <w:i w:val="0"/>
        </w:rPr>
        <w:t>Ngày càng nhiều tổ chức có giám đốc dữ liệu (CDO - chief data officer) hoặc vị trí tương đương để lãnh đạo chức năng dữ liệu. Nhà lãnh đạo này thường báo cáo cho CIO (hoặc giám đốc thông tin số), nhưng điều này thay đổi đáng kể tùy theo cơ cấu tổ chức rộng hơn, nhu cầu và mục tiêu về dữ liệu (ví dụ, báo cáo cho COO và trong một số trường hợp, thậm chí báo cáo trực tiếp cho CEO là chuyện thường thấy).</w:t>
      </w:r>
    </w:p>
    <w:p>
      <w:pPr>
        <w:spacing w:after="80"/>
      </w:pPr>
      <w:r>
        <w:rPr>
          <w:b w:val="0"/>
          <w:i w:val="0"/>
        </w:rPr>
        <w:t>Vai trò này đôi khi được gộp chung với lãnh đạo phân tích/AI và được gọi là giám đốc dữ liệu và AI (CDAIO - chief data and AI officer). Các công ty chọn con đường này để đảm bảo rằng các nỗ lực về dữ liệu gắn bó chặt chẽ với việc triển khai và tác động của các giải pháp AI.</w:t>
      </w:r>
    </w:p>
    <w:p>
      <w:pPr>
        <w:spacing w:after="80"/>
      </w:pPr>
      <w:r>
        <w:rPr>
          <w:b w:val="0"/>
          <w:i w:val="0"/>
        </w:rPr>
        <w:t>Phạm vi của CDO luôn bao gồm chiến lược dữ liệu và quản trị dữ liệu. Họ cũng thường giám sát việc quản lý sản phẩm dữ liệu, kiến trúc dữ liệu, vận hành dữ liệu, rủi ro dữ liệu, cùng nhân tài và văn hóa dữ liệu. Quy mô tổ chức của họ thay đổi tùy theo ngành, và tất nhiên, tùy theo quy mô công ty.</w:t>
      </w:r>
    </w:p>
    <w:p>
      <w:pPr>
        <w:spacing w:after="80"/>
      </w:pPr>
      <w:r>
        <w:rPr>
          <w:b w:val="0"/>
          <w:i w:val="0"/>
        </w:rPr>
        <w:t>Ví dụ, các ngân hàng lớn với mức độ giám sát pháp lý cao có tổ chức dữ liệu với hàng trăm nhân sự. Ngược lại, một tổ chức bán lẻ quy mô vừa có thể chỉ có chưa đến 20 người trong chức năng này.</w:t>
      </w:r>
    </w:p>
    <w:p>
      <w:pPr>
        <w:jc w:val="center"/>
      </w:pPr>
      <w:r>
        <w:drawing>
          <wp:inline xmlns:a="http://schemas.openxmlformats.org/drawingml/2006/main" xmlns:pic="http://schemas.openxmlformats.org/drawingml/2006/picture">
            <wp:extent cx="5486400" cy="6736422"/>
            <wp:docPr id="165" name="Picture 165"/>
            <wp:cNvGraphicFramePr>
              <a:graphicFrameLocks noChangeAspect="1"/>
            </wp:cNvGraphicFramePr>
            <a:graphic>
              <a:graphicData uri="http://schemas.openxmlformats.org/drawingml/2006/picture">
                <pic:pic>
                  <pic:nvPicPr>
                    <pic:cNvPr id="0" name="c27ex001.png"/>
                    <pic:cNvPicPr/>
                  </pic:nvPicPr>
                  <pic:blipFill>
                    <a:blip r:embed="rId127"/>
                    <a:stretch>
                      <a:fillRect/>
                    </a:stretch>
                  </pic:blipFill>
                  <pic:spPr>
                    <a:xfrm>
                      <a:off x="0" y="0"/>
                      <a:ext cx="5486400" cy="6736422"/>
                    </a:xfrm>
                    <a:prstGeom prst="rect"/>
                  </pic:spPr>
                </pic:pic>
              </a:graphicData>
            </a:graphic>
          </wp:inline>
        </w:drawing>
      </w:r>
    </w:p>
    <w:p>
      <w:pPr>
        <w:spacing w:after="160"/>
        <w:jc w:val="center"/>
      </w:pPr>
      <w:r>
        <w:rPr>
          <w:rFonts w:ascii="Calibri" w:hAnsi="Calibri"/>
          <w:b w:val="0"/>
          <w:i/>
          <w:sz w:val="19"/>
        </w:rPr>
        <w:t>HÌNH 27.1</w:t>
      </w:r>
    </w:p>
    <w:p>
      <w:pPr>
        <w:spacing w:after="80"/>
      </w:pPr>
      <w:r>
        <w:rPr>
          <w:b w:val="0"/>
          <w:i w:val="0"/>
        </w:rPr>
        <w:t>Trong mô hình tổ chức liên bang, điều quan trọng là thiết lập các diễn đàn để quy tụ các đội nhóm và nhà lãnh đạo trong toàn doanh nghiệp nhằm đảm bảo sự thống nhất. Các tổ chức thường làm điều này ở hai cấp độ:</w:t>
      </w:r>
    </w:p>
    <w:p>
      <w:pPr>
        <w:spacing w:after="80"/>
        <w:ind w:left="360"/>
      </w:pPr>
      <w:r>
        <w:t xml:space="preserve">• </w:t>
      </w:r>
      <w:r>
        <w:rPr>
          <w:b/>
          <w:i w:val="0"/>
        </w:rPr>
        <w:t>Diễn đàn lĩnh vực dữ liệu</w:t>
      </w:r>
      <w:r>
        <w:rPr>
          <w:b w:val="0"/>
          <w:i w:val="0"/>
        </w:rPr>
        <w:t xml:space="preserve"> thường do người đứng đầu quản trị dữ liệu (báo cáo trực tiếp cho CDO) lãnh đạo, và quy tụ tất cả các chủ sở hữu lĩnh vực dữ liệu. Hội đồng này theo dõi tiến độ và các vấn đề xuyên suốt các lĩnh vực dữ liệu, thống nhất về bất kỳ thay đổi nào trong tiêu chuẩn hoặc định hướng (do CDO đặt ra), và nỗ lực giải quyết các rào cản.</w:t>
      </w:r>
    </w:p>
    <w:p>
      <w:pPr>
        <w:spacing w:after="80"/>
        <w:ind w:left="360"/>
      </w:pPr>
      <w:r>
        <w:t xml:space="preserve">• </w:t>
      </w:r>
      <w:r>
        <w:rPr>
          <w:b/>
          <w:i w:val="0"/>
        </w:rPr>
        <w:t>Diễn đàn dữ liệu cấp lãnh đạo cấp cao</w:t>
      </w:r>
      <w:r>
        <w:rPr>
          <w:b w:val="0"/>
          <w:i w:val="0"/>
        </w:rPr>
        <w:t xml:space="preserve"> thường do CDO chủ trì và quy tụ các nhà lãnh đạo cấp cao (thường là CEO và các báo cáo trực tiếp) để đặt ra chiến lược cho dữ liệu và đưa ra các quyết định quan trọng về quản trị, sáng kiến và ngân sách. Họ cũng giải quyết mọi vấn đề chưa được giải quyết từ diễn đàn cấp lĩnh vực dữ liệu.</w:t>
      </w:r>
    </w:p>
    <w:p>
      <w:pPr>
        <w:spacing w:after="80"/>
      </w:pPr>
      <w:r>
        <w:rPr>
          <w:b w:val="0"/>
          <w:i w:val="0"/>
        </w:rPr>
        <w:t>Cần có những vai trò mới ở giao điểm giữa dữ liệu và kinh doanh để quản lý dữ liệu tốt. Các vai trò chính bao gồm người quản lý lĩnh vực dữ liệu, chủ sở hữu sản phẩm dữ liệu và chuyên viên phân tích chất lượng dữ liệu (xem Hình 27.2). Trong một số trường hợp, những vai trò này có thể được đảm nhiệm bởi nhân viên hiện tại nếu được đào tạo và hỗ trợ đầy đủ. Các vai trò mang tính kỹ thuật hơn như kiến trúc sư dữ liệu, kỹ sư dữ liệu và chủ sở hữu nền tảng dữ liệu cũng rất quan trọng để xây dựng và duy trì kiến trúc dữ liệu cùng các sản phẩm dữ liệu hoạt động tốt.</w:t>
      </w:r>
    </w:p>
    <w:p>
      <w:pPr>
        <w:jc w:val="center"/>
      </w:pPr>
      <w:r>
        <w:drawing>
          <wp:inline xmlns:a="http://schemas.openxmlformats.org/drawingml/2006/main" xmlns:pic="http://schemas.openxmlformats.org/drawingml/2006/picture">
            <wp:extent cx="5486400" cy="4208612"/>
            <wp:docPr id="166" name="Picture 166"/>
            <wp:cNvGraphicFramePr>
              <a:graphicFrameLocks noChangeAspect="1"/>
            </wp:cNvGraphicFramePr>
            <a:graphic>
              <a:graphicData uri="http://schemas.openxmlformats.org/drawingml/2006/picture">
                <pic:pic>
                  <pic:nvPicPr>
                    <pic:cNvPr id="0" name="c27ex002.png"/>
                    <pic:cNvPicPr/>
                  </pic:nvPicPr>
                  <pic:blipFill>
                    <a:blip r:embed="rId128"/>
                    <a:stretch>
                      <a:fillRect/>
                    </a:stretch>
                  </pic:blipFill>
                  <pic:spPr>
                    <a:xfrm>
                      <a:off x="0" y="0"/>
                      <a:ext cx="5486400" cy="4208612"/>
                    </a:xfrm>
                    <a:prstGeom prst="rect"/>
                  </pic:spPr>
                </pic:pic>
              </a:graphicData>
            </a:graphic>
          </wp:inline>
        </w:drawing>
      </w:r>
    </w:p>
    <w:p>
      <w:pPr>
        <w:spacing w:after="160"/>
        <w:jc w:val="center"/>
      </w:pPr>
      <w:r>
        <w:rPr>
          <w:rFonts w:ascii="Calibri" w:hAnsi="Calibri"/>
          <w:b w:val="0"/>
          <w:i/>
          <w:sz w:val="19"/>
        </w:rPr>
        <w:t>HÌNH 27.2</w:t>
      </w:r>
    </w:p>
    <w:p>
      <w:pPr>
        <w:pStyle w:val="Heading2"/>
      </w:pPr>
      <w:r>
        <w:rPr>
          <w:rFonts w:ascii="Calibri" w:hAnsi="Calibri"/>
          <w:b/>
          <w:i w:val="0"/>
          <w:sz w:val="32"/>
        </w:rPr>
        <w:t>Làm tốt quản trị dữ liệu</w:t>
      </w:r>
    </w:p>
    <w:p>
      <w:pPr>
        <w:spacing w:after="80"/>
      </w:pPr>
      <w:r>
        <w:rPr>
          <w:b w:val="0"/>
          <w:i w:val="0"/>
        </w:rPr>
        <w:t>Quản trị dữ liệu là việc giành lấy quyền được vận hành cùng khách hàng, cơ quan quản lý và cổ đông trong một thế giới ngày càng dựa trên dữ liệu và chịu nhiều quy định.</w:t>
      </w:r>
    </w:p>
    <w:p>
      <w:pPr>
        <w:spacing w:after="80"/>
      </w:pPr>
      <w:r>
        <w:rPr>
          <w:b/>
          <w:i/>
        </w:rPr>
        <w:t>Khi quản trị dữ liệu được làm tốt, nó xây dựng nền tảng niềm tin để mọi thứ khác—AI, phân tích, đổi mới sáng tạo—có thể tiến nhanh hơn. Khi làm kém, các tổ chức mất niềm tin vào dữ liệu của mình, rơi vào tình trạng không tuân thủ, và tiêu tốn hàng triệu đô để dọn dẹp những lỗi lẽ ra có thể phòng ngừa được</w:t>
      </w:r>
      <w:r>
        <w:rPr>
          <w:b/>
          <w:i w:val="0"/>
        </w:rPr>
        <w:t>.</w:t>
      </w:r>
    </w:p>
    <w:p>
      <w:pPr>
        <w:spacing w:after="80"/>
      </w:pPr>
      <w:r>
        <w:rPr>
          <w:b w:val="0"/>
          <w:i w:val="0"/>
        </w:rPr>
        <w:t>Trong thập kỷ qua, mức độ rủi ro đã thay đổi đáng kể. Trong ngành ngân hàng, các cơ quan quản lý ngày càng kỳ vọng khả năng truy vết đầy đủ từ một báo cáo rủi ro ngược về dữ liệu nguồn của nó. Trong ngành y tế, quyền riêng tư là luật liên bang. Và trong mọi lĩnh vực, khách hàng cùng hội đồng quản trị đều kỳ vọng sự minh bạch vào các hệ thống AI giống như họ kỳ vọng vào các quyết định của con người (Hình 27.3).</w:t>
      </w:r>
    </w:p>
    <w:p>
      <w:pPr>
        <w:spacing w:after="80"/>
      </w:pPr>
      <w:r>
        <w:rPr>
          <w:b w:val="0"/>
          <w:i w:val="0"/>
        </w:rPr>
        <w:t>Kết quả là, quản trị ngày nay là một yếu tố cốt lõi trong quản trị rủi ro doanh nghiệp của một tổ chức.</w:t>
      </w:r>
    </w:p>
    <w:p>
      <w:pPr>
        <w:pStyle w:val="Heading2"/>
      </w:pPr>
      <w:r>
        <w:rPr>
          <w:rFonts w:ascii="Calibri" w:hAnsi="Calibri"/>
          <w:b/>
          <w:i w:val="0"/>
          <w:sz w:val="32"/>
        </w:rPr>
        <w:t>Những yếu tố chung của quản trị dữ liệu tốt</w:t>
      </w:r>
    </w:p>
    <w:p>
      <w:pPr>
        <w:spacing w:after="80"/>
      </w:pPr>
      <w:r>
        <w:rPr>
          <w:b/>
          <w:i w:val="0"/>
        </w:rPr>
        <w:t>Nguồn gốc (Lineage):</w:t>
      </w:r>
      <w:r>
        <w:rPr>
          <w:b w:val="0"/>
          <w:i w:val="0"/>
        </w:rPr>
        <w:t xml:space="preserve"> Biết dữ liệu đến từ đâu và đã thay đổi thế nào trên đường đi</w:t>
      </w:r>
    </w:p>
    <w:p>
      <w:pPr>
        <w:spacing w:after="80"/>
      </w:pPr>
      <w:r>
        <w:rPr>
          <w:b/>
          <w:i w:val="0"/>
        </w:rPr>
        <w:t>Quyền sở hữu (Ownership):</w:t>
      </w:r>
      <w:r>
        <w:rPr>
          <w:b w:val="0"/>
          <w:i w:val="0"/>
        </w:rPr>
        <w:t xml:space="preserve"> Xác định ai chịu trách nhiệm về chất lượng và việc sử dụng</w:t>
      </w:r>
    </w:p>
    <w:p>
      <w:pPr>
        <w:spacing w:after="80"/>
      </w:pPr>
      <w:r>
        <w:rPr>
          <w:b/>
          <w:i w:val="0"/>
        </w:rPr>
        <w:t>Chất lượng (Quality):</w:t>
      </w:r>
      <w:r>
        <w:rPr>
          <w:b w:val="0"/>
          <w:i w:val="0"/>
        </w:rPr>
        <w:t xml:space="preserve"> Đáp ứng các nhu cầu về tính đầy đủ, kịp thời, nhất quán và chính xác</w:t>
      </w:r>
    </w:p>
    <w:p>
      <w:pPr>
        <w:spacing w:after="80"/>
      </w:pPr>
      <w:r>
        <w:rPr>
          <w:b/>
          <w:i w:val="0"/>
        </w:rPr>
        <w:t>Truy cập và quyền riêng tư (Access and privacy):</w:t>
      </w:r>
      <w:r>
        <w:rPr>
          <w:b w:val="0"/>
          <w:i w:val="0"/>
        </w:rPr>
        <w:t xml:space="preserve"> Hạn chế, ghi log và tự động hóa việc thực thi</w:t>
      </w:r>
    </w:p>
    <w:p>
      <w:pPr>
        <w:spacing w:after="80"/>
      </w:pPr>
      <w:r>
        <w:rPr>
          <w:b/>
          <w:i w:val="0"/>
        </w:rPr>
        <w:t>Bằng chứng (Evidence):</w:t>
      </w:r>
      <w:r>
        <w:rPr>
          <w:b w:val="0"/>
          <w:i w:val="0"/>
        </w:rPr>
        <w:t xml:space="preserve"> Đảm bảo việc tuân thủ được theo dõi và có thể kiểm toán</w:t>
      </w:r>
    </w:p>
    <w:p>
      <w:pPr>
        <w:spacing w:after="80"/>
      </w:pPr>
      <w:r>
        <w:rPr>
          <w:b/>
          <w:i w:val="0"/>
        </w:rPr>
        <w:t>Rào chắn AI (AI guardrails):</w:t>
      </w:r>
      <w:r>
        <w:rPr>
          <w:b w:val="0"/>
          <w:i w:val="0"/>
        </w:rPr>
        <w:t xml:space="preserve"> Quản trị mô hình, ghi log prompt, kiểm tra thiên kiến (lĩnh vực này đang phát triển rất nhanh)</w:t>
      </w:r>
    </w:p>
    <w:p>
      <w:pPr>
        <w:jc w:val="center"/>
      </w:pPr>
      <w:r>
        <w:drawing>
          <wp:inline xmlns:a="http://schemas.openxmlformats.org/drawingml/2006/main" xmlns:pic="http://schemas.openxmlformats.org/drawingml/2006/picture">
            <wp:extent cx="5486400" cy="3938289"/>
            <wp:docPr id="167" name="Picture 167"/>
            <wp:cNvGraphicFramePr>
              <a:graphicFrameLocks noChangeAspect="1"/>
            </wp:cNvGraphicFramePr>
            <a:graphic>
              <a:graphicData uri="http://schemas.openxmlformats.org/drawingml/2006/picture">
                <pic:pic>
                  <pic:nvPicPr>
                    <pic:cNvPr id="0" name="c27ex003.png"/>
                    <pic:cNvPicPr/>
                  </pic:nvPicPr>
                  <pic:blipFill>
                    <a:blip r:embed="rId129"/>
                    <a:stretch>
                      <a:fillRect/>
                    </a:stretch>
                  </pic:blipFill>
                  <pic:spPr>
                    <a:xfrm>
                      <a:off x="0" y="0"/>
                      <a:ext cx="5486400" cy="3938289"/>
                    </a:xfrm>
                    <a:prstGeom prst="rect"/>
                  </pic:spPr>
                </pic:pic>
              </a:graphicData>
            </a:graphic>
          </wp:inline>
        </w:drawing>
      </w:r>
    </w:p>
    <w:p>
      <w:pPr>
        <w:spacing w:after="160"/>
        <w:jc w:val="center"/>
      </w:pPr>
      <w:r>
        <w:rPr>
          <w:rFonts w:ascii="Calibri" w:hAnsi="Calibri"/>
          <w:b w:val="0"/>
          <w:i/>
          <w:sz w:val="19"/>
        </w:rPr>
        <w:t>HÌNH 27.3</w:t>
      </w:r>
    </w:p>
    <w:p>
      <w:pPr>
        <w:spacing w:after="80"/>
      </w:pPr>
      <w:r>
        <w:rPr>
          <w:b w:val="0"/>
          <w:i w:val="0"/>
        </w:rPr>
        <w:t>Phát triển một năng lực quản trị dữ liệu mạnh mẽ diễn ra qua năm giai đoạn. Hãy nhớ rằng, bạn phải hoàn thành cả năm giai đoạn mới đạt được mục tiêu.</w:t>
      </w:r>
    </w:p>
    <w:p>
      <w:pPr>
        <w:spacing w:after="80"/>
        <w:ind w:left="360"/>
      </w:pPr>
      <w:r>
        <w:t xml:space="preserve">1. </w:t>
      </w:r>
      <w:r>
        <w:rPr>
          <w:b/>
          <w:i w:val="0"/>
        </w:rPr>
        <w:t>Nêu rõ vì sao quản trị quan trọng.</w:t>
      </w:r>
      <w:r>
        <w:rPr>
          <w:b w:val="0"/>
          <w:i w:val="0"/>
        </w:rPr>
        <w:t xml:space="preserve"> Các công ty hàng đầu định lượng chi phí của chất lượng dữ liệu kém, rủi ro tuân thủ mà họ đối mặt, và tiềm năng tăng trưởng từ dữ liệu đáng tin cậy, có thể tái sử dụng. Họ chính thức hóa điều này thành một hiến chương được hội đồng quản trị phê duyệt, định vị quản trị như một yếu tố hỗ trợ chiến lược, chứ không phải một sáng kiến của bộ phận IT.</w:t>
        <w:br/>
        <w:t>Một ngân hàng tiêu dùng toàn cầu, dưới áp lực từ cả cơ quan quản lý lẫn hội đồng quản trị của chính mình, đã định hình lại quản trị từ một vấn đề tuân thủ thành một yếu tố hỗ trợ tăng trưởng. Giám đốc dữ liệu (chief data officer) bắt đầu bằng việc định lượng chi phí của chất lượng dữ liệu kém: hơn 30% thời gian của các chuyên viên phân tích dành cho việc đối chiếu báo cáo và ước tính 150 triệu đô la cho việc khắc phục các vấn đề tuân thủ trong năm năm.</w:t>
        <w:br/>
        <w:t>CEO và các thành viên chủ chốt trong ban điều hành đã ký một hiến chương quản trị gắn với các mục tiêu cốt lõi của ngân hàng về tốc độ ra thị trường, giảm rủi ro vận hành, và những hiểu biết đáng tin cậy cho các trải nghiệm số. Mỗi đơn vị kinh doanh được giao các chỉ tiêu rõ ràng, chẳng hạn như tỷ lệ "dữ liệu được chứng nhận" trong các báo cáo quản trị then chốt, và phải chịu trách nhiệm thông qua bảng điều khiển của doanh nghiệp.</w:t>
      </w:r>
    </w:p>
    <w:p>
      <w:pPr>
        <w:spacing w:after="80"/>
        <w:ind w:left="360"/>
      </w:pPr>
      <w:r>
        <w:t xml:space="preserve">2. </w:t>
      </w:r>
      <w:r>
        <w:rPr>
          <w:b/>
          <w:i w:val="0"/>
        </w:rPr>
        <w:t>Chọn mô hình vận hành dữ liệu phù hợp.</w:t>
      </w:r>
      <w:r>
        <w:rPr>
          <w:b w:val="0"/>
          <w:i w:val="0"/>
        </w:rPr>
        <w:t xml:space="preserve"> Như chúng tôi đã đề cập trước đó trong chương này, mô hình liên bang (federated model) hoạt động tốt nhất trong hầu hết các trường hợp, cân bằng giữa tiêu chuẩn doanh nghiệp và quyền tự chủ của đơn vị kinh doanh. Điều này bao gồm việc thiết kế một văn phòng quản lý dữ liệu, hội đồng dữ liệu lãnh đạo, và quyền sở hữu theo lĩnh vực.</w:t>
      </w:r>
    </w:p>
    <w:p>
      <w:pPr>
        <w:spacing w:after="80"/>
        <w:ind w:left="360"/>
      </w:pPr>
      <w:r>
        <w:t xml:space="preserve">3. </w:t>
      </w:r>
      <w:r>
        <w:rPr>
          <w:b/>
          <w:i w:val="0"/>
        </w:rPr>
        <w:t>Đưa quản trị vào dòng chảy công việc.</w:t>
      </w:r>
      <w:r>
        <w:rPr>
          <w:b w:val="0"/>
          <w:i w:val="0"/>
        </w:rPr>
        <w:t xml:space="preserve"> Thay vì tách riêng các quy trình đánh giá hay phê duyệt, các công ty tích hợp kiểm soát vào hoạt động hằng ngày. Điều này diễn ra bằng cách tự động hóa chúng dưới dạng "tuân thủ như mã nguồn" (compliance as code), nơi các rào chắn được gắn cứng vào hệ thống và quy trình.</w:t>
        <w:br/>
        <w:t>Chẳng hạn, một số mạng lưới bệnh viện đã thiết kế lại quy trình mã hóa lâm sàng để việc kiểm tra quản trị và đồng thuận diễn ra ngay tại điểm chăm sóc thay vì trong các đợt kiểm toán hồi cứu, giúp giảm việc làm lại và nâng cao độ chính xác của mã hóa.</w:t>
      </w:r>
    </w:p>
    <w:p>
      <w:pPr>
        <w:spacing w:after="80"/>
        <w:ind w:left="360"/>
      </w:pPr>
      <w:r>
        <w:t xml:space="preserve">4. </w:t>
      </w:r>
      <w:r>
        <w:rPr>
          <w:b/>
          <w:i w:val="0"/>
        </w:rPr>
        <w:t>Khuyến khích việc áp dụng các thực hành quản trị.</w:t>
      </w:r>
      <w:r>
        <w:rPr>
          <w:b w:val="0"/>
          <w:i w:val="0"/>
        </w:rPr>
        <w:t xml:space="preserve"> Điều này xoay quanh việc tạo sự hào hứng với giá trị của dữ liệu đối với hiệu quả kinh doanh và tạo động lực cho các hành vi quản lý dữ liệu đúng đắn.</w:t>
        <w:br/>
        <w:t>Trong môi trường sản xuất đa dạng, một số tổ chức đã giải quyết sự phản kháng với quản trị dữ liệu bằng cách làm cho chất lượng dữ liệu trở nên rõ ràng ở cấp nhà máy. Họ đạt được điều này bằng cách theo dõi các chỉ số như thời gian hoạt động của cảm biến, độ chính xác của mã lỗi và tính đầy đủ của dấu vết nguồn gốc (lineage), rồi xem xét chúng thường xuyên với các lãnh đạo vận hành.</w:t>
      </w:r>
    </w:p>
    <w:p>
      <w:pPr>
        <w:spacing w:after="80"/>
        <w:ind w:left="360"/>
      </w:pPr>
      <w:r>
        <w:t xml:space="preserve">5. </w:t>
      </w:r>
      <w:r>
        <w:rPr>
          <w:b/>
          <w:i w:val="0"/>
        </w:rPr>
        <w:t>Cải tiến dựa trên học hỏi và môi trường thay đổi.</w:t>
      </w:r>
      <w:r>
        <w:rPr>
          <w:b w:val="0"/>
          <w:i w:val="0"/>
        </w:rPr>
        <w:t xml:space="preserve"> Thực hành vận hành thay đổi, luật pháp thay đổi, mô hình trôi dạt, và rủi ro mới xuất hiện. Các công ty dẫn đầu đang rời xa những đợt dọn dẹp dữ liệu định kỳ để hướng tới các quy trình tự cải thiện được đan xen vào hoạt động hằng ngày.</w:t>
        <w:br/>
        <w:t>Trong sản xuất hàng không vũ trụ, đội ngũ tại một số công ty đã vượt qua các đợt đánh giá chất lượng dữ liệu định kỳ để chuyển sang giám sát sức khỏe dữ liệu do AI dẫn dắt, phát hiện bất thường trong nguồn dữ liệu cảm biến và nhật ký bảo trì ngay khi chúng xảy ra, tạo ra vòng phản hồi liên tục giữa vận hành và quản trị.</w:t>
      </w:r>
    </w:p>
    <w:p>
      <w:pPr>
        <w:jc w:val="center"/>
      </w:pPr>
      <w:r>
        <w:drawing>
          <wp:inline xmlns:a="http://schemas.openxmlformats.org/drawingml/2006/main" xmlns:pic="http://schemas.openxmlformats.org/drawingml/2006/picture">
            <wp:extent cx="1905000" cy="95250"/>
            <wp:docPr id="168" name="Picture 168"/>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Quản trị không còn là về kiểm soát; nó là về việc mở khóa giá trị ở quy mô lớn. Những nhà lãnh đạo coi quản trị là đòn bẩy tăng tốc—chứ không phải cổng chặn—sẽ thấy việc triển khai mô hình nhanh hơn, ít chu kỳ làm lại hơn, và mức độ áp dụng các sản phẩm Tech &amp; AI cao hơn hẳn.</w:t>
      </w:r>
    </w:p>
    <w:p>
      <w:pPr>
        <w:pStyle w:val="Heading2"/>
      </w:pPr>
      <w:r>
        <w:rPr>
          <w:rFonts w:ascii="Calibri" w:hAnsi="Calibri"/>
          <w:b/>
          <w:i/>
          <w:sz w:val="32"/>
        </w:rPr>
        <w:t>"An toàn và bảo mật không tự nhiên mà có; chúng là kết quả của đồng thuận tập thể và đầu tư công."</w:t>
      </w:r>
    </w:p>
    <w:p>
      <w:pPr>
        <w:spacing w:after="80"/>
      </w:pPr>
      <w:r>
        <w:rPr>
          <w:b/>
          <w:i w:val="0"/>
        </w:rPr>
        <w:t>— Nelson Mandela</w:t>
      </w:r>
    </w:p>
    <w:p>
      <w:pPr>
        <w:pStyle w:val="Heading1"/>
      </w:pPr>
      <w:r>
        <w:rPr>
          <w:rFonts w:ascii="Calibri" w:hAnsi="Calibri"/>
          <w:b/>
          <w:i w:val="0"/>
          <w:sz w:val="40"/>
        </w:rPr>
        <w:t>CHƯƠNG 28</w:t>
      </w:r>
      <w:r>
        <w:rPr>
          <w:rFonts w:ascii="Calibri" w:hAnsi="Calibri"/>
          <w:b/>
          <w:i w:val="0"/>
          <w:sz w:val="40"/>
        </w:rPr>
      </w:r>
      <w:r>
        <w:rPr>
          <w:rFonts w:ascii="Calibri" w:hAnsi="Calibri"/>
          <w:b/>
          <w:i w:val="0"/>
          <w:sz w:val="40"/>
        </w:rPr>
        <w:t>Bảo vệ dữ liệu trong thế giới LLM</w:t>
      </w:r>
    </w:p>
    <w:p>
      <w:pPr>
        <w:spacing w:after="80"/>
      </w:pPr>
      <w:r>
        <w:rPr>
          <w:b w:val="0"/>
          <w:i w:val="0"/>
        </w:rPr>
        <w:t>Trong vài thập kỷ qua, các công ty đã xây dựng những hàng phòng thủ tinh vi để bảo vệ dữ liệu: kiểm soát danh tính, mã hóa, quản lý truy cập, tường lửa, giám sát, và các trung tâm vận hành bảo mật. Tuy nhiên, rất ít trong số này được thiết kế cho một thế giới mà các hệ thống AI—chứ không phải con người—đang đọc, kết hợp và tạo ra thông tin ở quy mô lớn.</w:t>
      </w:r>
    </w:p>
    <w:p>
      <w:pPr>
        <w:spacing w:after="80"/>
      </w:pPr>
      <w:r>
        <w:rPr>
          <w:b/>
          <w:i/>
        </w:rPr>
        <w:t>Khi các tổ chức triển khai các mô hình ngôn ngữ lớn</w:t>
      </w:r>
      <w:r>
        <w:rPr>
          <w:b w:val="0"/>
          <w:i w:val="0"/>
        </w:rPr>
        <w:t xml:space="preserve"> (</w:t>
      </w:r>
      <w:r>
        <w:rPr>
          <w:b/>
          <w:i/>
        </w:rPr>
        <w:t>LLM) và các tác nhân tự trị (autonomous agent) xuyên suốt các quy trình công việc, bản chất nền tảng của rủi ro dữ liệu thay đổi. Vậy làm sao bạn bảo vệ được những tài sản dữ liệu quý giá nhất mà không làm chậm đổi mới sáng tạo?</w:t>
      </w:r>
    </w:p>
    <w:p>
      <w:pPr>
        <w:spacing w:after="80"/>
      </w:pPr>
      <w:r>
        <w:rPr>
          <w:b w:val="0"/>
          <w:i w:val="0"/>
        </w:rPr>
        <w:t>Chương này cung cấp những khái niệm thiết yếu, rủi ro, và hành động lãnh đạo cần thiết để trả lời câu hỏi đó.</w:t>
      </w:r>
    </w:p>
    <w:p>
      <w:pPr>
        <w:pStyle w:val="Heading2"/>
      </w:pPr>
      <w:r>
        <w:rPr>
          <w:rFonts w:ascii="Calibri" w:hAnsi="Calibri"/>
          <w:b/>
          <w:i w:val="0"/>
          <w:sz w:val="32"/>
        </w:rPr>
        <w:t>Rủi ro thực sự: Không phải bên ngoài tường lửa, mà là bên trong</w:t>
      </w:r>
    </w:p>
    <w:p>
      <w:pPr>
        <w:spacing w:after="80"/>
      </w:pPr>
      <w:r>
        <w:rPr>
          <w:b w:val="0"/>
          <w:i w:val="0"/>
        </w:rPr>
        <w:t>Hầu hết các nhà điều hành bắt đầu với nỗi sợ rằng dữ liệu đang bị nhà cung cấp LLM hút đi. May thay, với các triển khai cấp doanh nghiệp—OpenAI Enterprise, Google Vertex AI, và các nền tảng tương tự—dữ liệu không được dùng để huấn luyện các mô hình công khai, không bị chia sẻ giữa các khách thuê (tenant), và được bảo vệ bằng mã hóa cùng cô lập mạnh mẽ. Khi được cấu hình đúng, rủi ro rò rỉ ra bên ngoài là rất thấp.</w:t>
      </w:r>
    </w:p>
    <w:p>
      <w:pPr>
        <w:spacing w:after="80"/>
      </w:pPr>
      <w:r>
        <w:rPr>
          <w:b w:val="0"/>
          <w:i w:val="0"/>
        </w:rPr>
        <w:t>Rủi ro lớn hơn nhiều nằm bên trong tổ chức, chẳng hạn như:</w:t>
      </w:r>
    </w:p>
    <w:p>
      <w:pPr>
        <w:spacing w:after="80"/>
        <w:ind w:left="360"/>
      </w:pPr>
      <w:r>
        <w:t xml:space="preserve">• </w:t>
      </w:r>
      <w:r>
        <w:rPr>
          <w:b w:val="0"/>
          <w:i w:val="0"/>
        </w:rPr>
        <w:t>Dữ liệu rò rỉ qua những câu lệnh (prompt) bất cẩn gửi tới các LLM bên ngoài tường lửa doanh nghiệp.</w:t>
      </w:r>
    </w:p>
    <w:p>
      <w:pPr>
        <w:spacing w:after="80"/>
        <w:ind w:left="360"/>
      </w:pPr>
      <w:r>
        <w:t xml:space="preserve">• </w:t>
      </w:r>
      <w:r>
        <w:rPr>
          <w:b w:val="0"/>
          <w:i w:val="0"/>
        </w:rPr>
        <w:t>Một tác nhân AI chăm sóc khách hàng do một lập trình viên có ý tốt xây dựng lại truy xuất dữ liệu khách hàng nhiều hơn mức cần thiết.</w:t>
      </w:r>
    </w:p>
    <w:p>
      <w:pPr>
        <w:spacing w:after="80"/>
        <w:ind w:left="360"/>
      </w:pPr>
      <w:r>
        <w:t xml:space="preserve">• </w:t>
      </w:r>
      <w:r>
        <w:rPr>
          <w:b w:val="0"/>
          <w:i w:val="0"/>
        </w:rPr>
        <w:t>Một quy trình tóm tắt vô tình đưa vào các thuật ngữ nhạy cảm từ một hợp đồng pháp lý.</w:t>
      </w:r>
    </w:p>
    <w:p>
      <w:pPr>
        <w:spacing w:after="80"/>
        <w:ind w:left="360"/>
      </w:pPr>
      <w:r>
        <w:t xml:space="preserve">• </w:t>
      </w:r>
      <w:r>
        <w:rPr>
          <w:b w:val="0"/>
          <w:i w:val="0"/>
        </w:rPr>
        <w:t>Hai agent nội bộ truyền dữ liệu cho nhau mà không có bất kỳ ghi log hay dấu vết kiểm toán nào.</w:t>
      </w:r>
    </w:p>
    <w:p>
      <w:pPr>
        <w:spacing w:after="80"/>
      </w:pPr>
      <w:r>
        <w:rPr>
          <w:b w:val="0"/>
          <w:i w:val="0"/>
        </w:rPr>
        <w:t>Trong mỗi trường hợp, vụ vi phạm đều vô hình—không có cảnh báo, không có xâm nhập vành đai, không có cảnh báo từ SOC—chỉ là sự phơi bày âm thầm.</w:t>
      </w:r>
    </w:p>
    <w:p>
      <w:pPr>
        <w:spacing w:after="80"/>
      </w:pPr>
      <w:r>
        <w:rPr>
          <w:b/>
          <w:i/>
        </w:rPr>
        <w:t>Đây là sự thật khó chịu: Mô hình hiếm khi là vấn đề. Cách công ty sử dụng mô hình AI mới thường là vấn đề</w:t>
      </w:r>
      <w:r>
        <w:rPr>
          <w:b/>
          <w:i w:val="0"/>
        </w:rPr>
        <w:t>.</w:t>
      </w:r>
    </w:p>
    <w:p>
      <w:pPr>
        <w:spacing w:after="80"/>
      </w:pPr>
      <w:r>
        <w:rPr>
          <w:b w:val="0"/>
          <w:i w:val="0"/>
        </w:rPr>
        <w:t>Nhân viên không chỉ nên học cái gì tạo thành thông tin nhạy cảm mà còn phải hiểu các quy tắc về sự đồng ý, lưu trữ và tiết lộ được áp dụng như thế nào khi tương tác với các công cụ AI.</w:t>
      </w:r>
    </w:p>
    <w:p>
      <w:pPr>
        <w:spacing w:after="80"/>
      </w:pPr>
      <w:r>
        <w:rPr>
          <w:b w:val="0"/>
          <w:i w:val="0"/>
        </w:rPr>
        <w:t>Trong các lĩnh vực được quản lý chặt chẽ, các công ty đang xây dựng những kiểm tra này trực tiếp vào giao diện người dùng. Khi một nhân viên dán dữ liệu khách hàng vào mô hình, một lời nhắc tự động sẽ xác nhận liệu sự đồng ý có bao trùm mục đích đó hay không. Những lời nhắc tương tự cũng đánh dấu sự hiện diện của nội dung độc quyền (mã, thiết kế hoặc dữ liệu sản phẩm) không nên rời khỏi ranh giới doanh nghiệp. Những gợi ý trong ngữ cảnh này không chỉ ngăn chặn sai sót; chúng còn dạy người dùng cách suy nghĩ về dữ liệu đang được sử dụng.</w:t>
      </w:r>
    </w:p>
    <w:p>
      <w:pPr>
        <w:spacing w:after="80"/>
      </w:pPr>
      <w:r>
        <w:rPr>
          <w:b w:val="0"/>
          <w:i w:val="0"/>
        </w:rPr>
        <w:t>Công trình của chúng tôi cho thấy rằng các tổ chức kết hợp những bộ lọc kỹ thuật này với đào tạo "vệ sinh AI" bắt buộc đang bắt đầu thấy việc áp dụng các thực hành sử dụng có trách nhiệm nhanh hơn và ít leo thang liên quan đến xử lý dữ liệu hơn. Khóa đào tạo thường bao gồm những gì có thể được nhập vào công cụ AI, cách bộ nhớ mô hình hoạt động, cách đầu ra có thể tiết lộ dữ liệu cơ bản và cách xác minh rằng sự đồng ý mở rộng đến các trường hợp sử dụng AI mới.</w:t>
      </w:r>
    </w:p>
    <w:p>
      <w:pPr>
        <w:spacing w:after="80"/>
      </w:pPr>
      <w:r>
        <w:rPr>
          <w:b w:val="0"/>
          <w:i w:val="0"/>
        </w:rPr>
        <w:t>Khi nhân viên hiểu được ý nghĩa của việc sử dụng dữ liệu, và khi các hệ thống hướng dẫn họ hành động đúng đắn, doanh nghiệp sẽ có được một hình thức bảo vệ có thể mở rộng.</w:t>
      </w:r>
    </w:p>
    <w:p>
      <w:pPr>
        <w:pStyle w:val="Heading2"/>
      </w:pPr>
      <w:r>
        <w:rPr>
          <w:rFonts w:ascii="Calibri" w:hAnsi="Calibri"/>
          <w:b/>
          <w:i w:val="0"/>
          <w:sz w:val="32"/>
        </w:rPr>
        <w:t>Một thế giới nơi danh tính thuộc về máy móc</w:t>
      </w:r>
    </w:p>
    <w:p>
      <w:pPr>
        <w:spacing w:after="80"/>
      </w:pPr>
      <w:r>
        <w:rPr>
          <w:b w:val="0"/>
          <w:i w:val="0"/>
        </w:rPr>
        <w:t>Một trong những thay đổi sâu sắc nhất mà LLM mang lại là danh tính không còn chỉ liên quan đến con người. Trong nhiều thập kỷ, các đội bảo mật tập trung vào việc xác thực người dùng là con người. Nhưng các agent được hỗ trợ bởi LLM giờ đây gọi API, truy xuất dữ liệu có cấu trúc và phi cấu trúc, tạo tóm tắt, chuyển tiếp nhiệm vụ và tương tác với các agent khác. Chúng thực hiện những hành động mà trong nhiều tổ chức, không thể phân biệt được với hành động của một nhà phân tích hoặc nhân viên con người.</w:t>
      </w:r>
    </w:p>
    <w:p>
      <w:pPr>
        <w:spacing w:after="80"/>
      </w:pPr>
      <w:r>
        <w:rPr>
          <w:b w:val="0"/>
          <w:i w:val="0"/>
        </w:rPr>
        <w:t>Điều này tạo ra các chế độ thất bại mới. Hãy tưởng tượng một agent lên lịch trong bệnh viện mạo danh một bác sĩ và yêu cầu hồ sơ bệnh nhân từ một agent dữ liệu lâm sàng. Hoặc một agent hỗ trợ khách hàng tự động, khi cố gắng giúp một agent phát hiện gian lận, lại chuyển tiếp toàn bộ hồ sơ khách hàng—bao gồm cả những chi tiết cá nhân không cần thiết—chỉ đơn giản vì không có quy tắc nào bảo nó đừng làm vậy.</w:t>
      </w:r>
    </w:p>
    <w:p>
      <w:pPr>
        <w:spacing w:after="80"/>
      </w:pPr>
      <w:r>
        <w:rPr>
          <w:b w:val="0"/>
          <w:i w:val="0"/>
        </w:rPr>
        <w:t>Đây không phải là những kịch bản khoa học viễn tưởng. Khoảng 80% tổ chức nói rằng họ đã gặp phải các hành vi rủi ro từ các agent AI, bao gồm tiết lộ dữ liệu không đúng cách và truy cập vào các hệ thống mà không được phép. Và chúng tiết lộ một lỗ hổng kiểm soát nghiêm trọng.</w:t>
      </w:r>
    </w:p>
    <w:p>
      <w:pPr>
        <w:spacing w:after="80"/>
      </w:pPr>
      <w:r>
        <w:rPr>
          <w:b/>
          <w:i/>
        </w:rPr>
        <w:t>Rủi ro nằm ở việc trao cho các agent quyền lực phi thường mà không có danh tính, quyền hạn hay kiểm soát kiểm toán thường được yêu cầu đối với một nhân viên cấp thấp</w:t>
      </w:r>
      <w:r>
        <w:rPr>
          <w:b/>
          <w:i w:val="0"/>
        </w:rPr>
        <w:t>.</w:t>
      </w:r>
    </w:p>
    <w:p>
      <w:pPr>
        <w:spacing w:after="80"/>
      </w:pPr>
      <w:r>
        <w:rPr>
          <w:b w:val="0"/>
          <w:i w:val="0"/>
        </w:rPr>
        <w:t>Do đó, các nhà lãnh đạo phải yêu cầu một tiêu chuẩn mới: Mọi agent có quyền truy cập vào các hệ thống cốt lõi phải có danh tính được xác định rõ ràng, mục đích hẹp, quyền truy cập tối thiểu, ghi log minh bạch và giám sát tập trung. Không có những kiểm soát này, các agent thực sự trở thành "nhân viên ẩn danh" với khả năng tự do lang thang qua dữ liệu nhạy cảm.</w:t>
      </w:r>
    </w:p>
    <w:p>
      <w:pPr>
        <w:pStyle w:val="Heading2"/>
      </w:pPr>
      <w:r>
        <w:rPr>
          <w:rFonts w:ascii="Calibri" w:hAnsi="Calibri"/>
          <w:b/>
          <w:i w:val="0"/>
          <w:sz w:val="32"/>
        </w:rPr>
        <w:t>Suy luận: Khi mô hình tiết lộ nhiều hơn những gì chúng nhận được</w:t>
      </w:r>
    </w:p>
    <w:p>
      <w:pPr>
        <w:spacing w:after="80"/>
      </w:pPr>
      <w:r>
        <w:rPr>
          <w:b w:val="0"/>
          <w:i w:val="0"/>
        </w:rPr>
        <w:t>Sự thay đổi thứ hai đến từ một dạng rủi ro mà hầu hết các tổ chức đánh giá thấp: suy luận. LLM là những cỗ máy nhận diện mẫu. Đưa cho chúng một email, và chúng có thể suy ra cấp bậc, trạng thái cảm xúc, mức thu nhập, thậm chí cả rủi ro sức khỏe hoặc khả năng rời bỏ. Đưa cho chúng dữ liệu vận hành được ẩn danh một phần, và chúng có thể tái tạo danh tính hoặc các mối quan hệ nhạy cảm. Không có hành động độc hại nào liên quan. Mô hình chỉ đơn giản làm những gì nó được thiết kế để làm. Nhưng ý nghĩa thì rất đáng kể.</w:t>
      </w:r>
    </w:p>
    <w:p>
      <w:pPr>
        <w:spacing w:after="80"/>
      </w:pPr>
      <w:r>
        <w:rPr>
          <w:b/>
          <w:i/>
        </w:rPr>
        <w:t>Tính bảo mật trong thế giới LLM không chỉ là về dữ liệu mà công ty lưu trữ; nó còn là về những gì mô hình có thể suy ra</w:t>
      </w:r>
      <w:r>
        <w:rPr>
          <w:b/>
          <w:i w:val="0"/>
        </w:rPr>
        <w:t>.</w:t>
      </w:r>
    </w:p>
    <w:p>
      <w:pPr>
        <w:pStyle w:val="Heading2"/>
      </w:pPr>
      <w:r>
        <w:rPr>
          <w:rFonts w:ascii="Calibri" w:hAnsi="Calibri"/>
          <w:b/>
          <w:i w:val="0"/>
          <w:sz w:val="32"/>
        </w:rPr>
        <w:t>Sự chuyển dịch sang bảo vệ dữ liệu đang được sử dụng</w:t>
      </w:r>
    </w:p>
    <w:p>
      <w:pPr>
        <w:spacing w:after="80"/>
      </w:pPr>
      <w:r>
        <w:rPr>
          <w:b w:val="0"/>
          <w:i w:val="0"/>
        </w:rPr>
        <w:t>An ninh mạng truyền thống từ lâu đã tập trung vào hai lĩnh vực: bảo vệ dữ liệu khi lưu trữ (data at rest) và bảo vệ dữ liệu khi truyền tải (data in transit). Nhưng LLM mang đến một phạm trù thứ ba đang nhanh chóng trở thành quan trọng nhất: bảo vệ dữ liệu đang được sử dụng (data in use)—khoảnh khắc mà một agent, model, hay chuỗi agent truy cập dữ liệu, suy luận trên đó, hoặc ghi thông tin mới.</w:t>
      </w:r>
    </w:p>
    <w:p>
      <w:pPr>
        <w:spacing w:after="80"/>
      </w:pPr>
      <w:r>
        <w:rPr>
          <w:b w:val="0"/>
          <w:i w:val="0"/>
        </w:rPr>
        <w:t>Đây chính là nơi hầu hết các lỗi mới xảy ra. Một agent mua sắm có thể trộn lẫn dữ liệu nhà cung cấp với các dự báo nội bộ theo những cách vi phạm chính sách. Một trợ lý thẩm định bảo hiểm có thể nhúng chi tiết khách hàng mật vào một bản tóm tắt dành cho đối tác bên ngoài. Một trợ lý tạo sinh có thể ghi lại các điều khoản hợp đồng nhạy cảm vào đầu ra trace của nó. Bởi vì những hệ thống này vận hành một cách linh động—và thường không có sự giám sát của con người—các biện pháp kiểm soát kiểu vành đai (perimeter-style) truyền thống đơn giản là không thể phát hiện những sai sót này sau khi chúng đã xảy ra.</w:t>
      </w:r>
    </w:p>
    <w:p>
      <w:pPr>
        <w:spacing w:after="80"/>
      </w:pPr>
      <w:r>
        <w:rPr>
          <w:b w:val="0"/>
          <w:i w:val="0"/>
        </w:rPr>
        <w:t>Đối với các nhà lãnh đạo, hàm ý rất rõ ràng: bảo vệ dữ liệu giờ đây phải nằm ngay bên trong chính quá trình tính toán. Và điều đó đòi hỏi một loạt quyết định lãnh đạo cụ thể mới:</w:t>
      </w:r>
    </w:p>
    <w:p>
      <w:pPr>
        <w:spacing w:after="80"/>
        <w:ind w:left="360"/>
      </w:pPr>
      <w:r>
        <w:t xml:space="preserve">1. </w:t>
      </w:r>
      <w:r>
        <w:rPr>
          <w:b/>
          <w:i w:val="0"/>
        </w:rPr>
        <w:t>Yêu cầu các rào chắn bảo vệ theo thời gian thực (real-time guardrails) được thực thi bởi nền tảng AI—chứ không phải bởi từng nhóm riêng lẻ.</w:t>
      </w:r>
      <w:r>
        <w:rPr>
          <w:b w:val="0"/>
          <w:i w:val="0"/>
        </w:rPr>
        <w:t xml:space="preserve"> Điều này chuyển quyền kiểm soát từ việc phát hiện sau khi xảy ra sang ngăn chặn trực tiếp. Yêu cầu nền tảng AI của công ty thực hiện kiểm tra mỗi khi một agent:</w:t>
      </w:r>
    </w:p>
    <w:p>
      <w:pPr>
        <w:spacing w:after="80"/>
        <w:ind w:left="720"/>
      </w:pPr>
      <w:r>
        <w:t xml:space="preserve">• </w:t>
      </w:r>
      <w:r>
        <w:rPr>
          <w:b w:val="0"/>
          <w:i w:val="0"/>
        </w:rPr>
        <w:t>Yêu cầu dữ liệu (xác thực trước khi truy cập)</w:t>
      </w:r>
    </w:p>
    <w:p>
      <w:pPr>
        <w:spacing w:after="80"/>
        <w:ind w:left="720"/>
      </w:pPr>
      <w:r>
        <w:t xml:space="preserve">• </w:t>
      </w:r>
      <w:r>
        <w:rPr>
          <w:b w:val="0"/>
          <w:i w:val="0"/>
        </w:rPr>
        <w:t>Tạo nội dung (đánh giá và loại bỏ thông tin nhạy cảm ở đầu ra)</w:t>
      </w:r>
    </w:p>
    <w:p>
      <w:pPr>
        <w:spacing w:after="80"/>
        <w:ind w:left="720"/>
      </w:pPr>
      <w:r>
        <w:t xml:space="preserve">• </w:t>
      </w:r>
      <w:r>
        <w:rPr>
          <w:b w:val="0"/>
          <w:i w:val="0"/>
        </w:rPr>
        <w:t>Chuyển thông tin cho một agent khác (kiểm tra chính sách về khả năng hiển thị ở hạ nguồn)</w:t>
      </w:r>
    </w:p>
    <w:p>
      <w:pPr>
        <w:spacing w:after="80"/>
        <w:ind w:left="360"/>
      </w:pPr>
      <w:r>
        <w:t xml:space="preserve">2. </w:t>
      </w:r>
      <w:r>
        <w:rPr>
          <w:b/>
          <w:i w:val="0"/>
        </w:rPr>
        <w:t>Yêu cầu khả năng quan sát đầy đủ (full observability) đối với hành vi của agent—mọi lần truy cập, mọi lần biến đổi, mọi đầu ra.</w:t>
      </w:r>
      <w:r>
        <w:rPr>
          <w:b w:val="0"/>
          <w:i w:val="0"/>
        </w:rPr>
        <w:t xml:space="preserve"> Không có khả năng quan sát, các nhà lãnh đạo thực chất đang bay mà không có thiết bị định vị. Điều này có nghĩa là phải yêu cầu rằng:</w:t>
      </w:r>
    </w:p>
    <w:p>
      <w:pPr>
        <w:spacing w:after="80"/>
        <w:ind w:left="720"/>
      </w:pPr>
      <w:r>
        <w:t xml:space="preserve">• </w:t>
      </w:r>
      <w:r>
        <w:rPr>
          <w:b w:val="0"/>
          <w:i w:val="0"/>
        </w:rPr>
        <w:t>Mọi hành động của agent đều được ghi log theo cách có cấu trúc, "có thể truy vấn" được</w:t>
      </w:r>
    </w:p>
    <w:p>
      <w:pPr>
        <w:spacing w:after="80"/>
        <w:ind w:left="720"/>
      </w:pPr>
      <w:r>
        <w:t xml:space="preserve">• </w:t>
      </w:r>
      <w:r>
        <w:rPr>
          <w:b w:val="0"/>
          <w:i w:val="0"/>
        </w:rPr>
        <w:t>Các luồng dữ liệu giữa các agent được giám sát tự động</w:t>
      </w:r>
    </w:p>
    <w:p>
      <w:pPr>
        <w:spacing w:after="80"/>
        <w:ind w:left="720"/>
      </w:pPr>
      <w:r>
        <w:t xml:space="preserve">• </w:t>
      </w:r>
      <w:r>
        <w:rPr>
          <w:b w:val="0"/>
          <w:i w:val="0"/>
        </w:rPr>
        <w:t>Các agent "ẩn" (shadow) hoặc chưa đăng ký không thể hoạt động trên dữ liệu công ty</w:t>
      </w:r>
    </w:p>
    <w:p>
      <w:pPr>
        <w:spacing w:after="80"/>
        <w:ind w:left="720"/>
      </w:pPr>
      <w:r>
        <w:t xml:space="preserve">• </w:t>
      </w:r>
      <w:r>
        <w:rPr>
          <w:b w:val="0"/>
          <w:i w:val="0"/>
        </w:rPr>
        <w:t>Cảnh báo được kích hoạt khi agent yêu cầu những tập dữ liệu rộng bất thường hoặc không cần thiết</w:t>
      </w:r>
    </w:p>
    <w:p>
      <w:pPr>
        <w:spacing w:after="80"/>
        <w:ind w:left="360"/>
      </w:pPr>
      <w:r>
        <w:t xml:space="preserve">3. </w:t>
      </w:r>
      <w:r>
        <w:rPr>
          <w:b/>
          <w:i w:val="0"/>
        </w:rPr>
        <w:t>Giới hạn những hệ thống mà agent có thể giao tiếp—và yêu cầu phê duyệt rõ ràng cho các kết nối mới.</w:t>
      </w:r>
      <w:r>
        <w:rPr>
          <w:b w:val="0"/>
          <w:i w:val="0"/>
        </w:rPr>
        <w:t xml:space="preserve"> Hầu hết các kết quả rủi ro xảy ra khi agent truy cập vào những hệ thống lẽ ra chúng không bao giờ được chạm tới. Các nhà lãnh đạo nên yêu cầu:</w:t>
      </w:r>
    </w:p>
    <w:p>
      <w:pPr>
        <w:spacing w:after="80"/>
        <w:ind w:left="720"/>
      </w:pPr>
      <w:r>
        <w:t xml:space="preserve">• </w:t>
      </w:r>
      <w:r>
        <w:rPr>
          <w:b w:val="0"/>
          <w:i w:val="0"/>
        </w:rPr>
        <w:t>Một danh sách rõ ràng về những nguồn dữ liệu mà mỗi agent có thể truy cập</w:t>
      </w:r>
    </w:p>
    <w:p>
      <w:pPr>
        <w:spacing w:after="80"/>
        <w:ind w:left="720"/>
      </w:pPr>
      <w:r>
        <w:t xml:space="preserve">• </w:t>
      </w:r>
      <w:r>
        <w:rPr>
          <w:b w:val="0"/>
          <w:i w:val="0"/>
        </w:rPr>
        <w:t>Một quy trình quản trị để phê duyệt bất kỳ kết nối mới nào</w:t>
      </w:r>
    </w:p>
    <w:p>
      <w:pPr>
        <w:spacing w:after="80"/>
        <w:ind w:left="720"/>
      </w:pPr>
      <w:r>
        <w:t xml:space="preserve">• </w:t>
      </w:r>
      <w:r>
        <w:rPr>
          <w:b w:val="0"/>
          <w:i w:val="0"/>
        </w:rPr>
        <w:t>Tự động chặn các luồng dữ liệu trái phép</w:t>
      </w:r>
    </w:p>
    <w:p>
      <w:pPr>
        <w:spacing w:after="80"/>
        <w:ind w:left="360"/>
      </w:pPr>
      <w:r>
        <w:t xml:space="preserve">4. </w:t>
      </w:r>
      <w:r>
        <w:rPr>
          <w:b/>
          <w:i w:val="0"/>
        </w:rPr>
        <w:t>Thực thi việc tối giản dữ liệu như một quy tắc mặc định — không phải một mong muốn.</w:t>
      </w:r>
      <w:r>
        <w:rPr>
          <w:b w:val="0"/>
          <w:i w:val="0"/>
        </w:rPr>
        <w:t xml:space="preserve"> Việc tối giản giúp giảm mạnh phạm vi ảnh hưởng của bất kỳ sự cố nào. Yêu cầu nền tảng tự động:</w:t>
      </w:r>
    </w:p>
    <w:p>
      <w:pPr>
        <w:spacing w:after="80"/>
        <w:ind w:left="720"/>
      </w:pPr>
      <w:r>
        <w:t xml:space="preserve">• </w:t>
      </w:r>
      <w:r>
        <w:rPr>
          <w:b w:val="0"/>
          <w:i w:val="0"/>
        </w:rPr>
        <w:t>Chỉ truyền tập dữ liệu nhỏ nhất cần thiết cho tác vụ</w:t>
      </w:r>
    </w:p>
    <w:p>
      <w:pPr>
        <w:spacing w:after="80"/>
        <w:ind w:left="720"/>
      </w:pPr>
      <w:r>
        <w:t xml:space="preserve">• </w:t>
      </w:r>
      <w:r>
        <w:rPr>
          <w:b w:val="0"/>
          <w:i w:val="0"/>
        </w:rPr>
        <w:t>Loại bỏ thông tin nhận dạng cá nhân (PII) không cần thiết trước khi tác nhân nhận được</w:t>
      </w:r>
    </w:p>
    <w:p>
      <w:pPr>
        <w:spacing w:after="80"/>
        <w:ind w:left="720"/>
      </w:pPr>
      <w:r>
        <w:t xml:space="preserve">• </w:t>
      </w:r>
      <w:r>
        <w:rPr>
          <w:b w:val="0"/>
          <w:i w:val="0"/>
        </w:rPr>
        <w:t>Che giấu các trường nhạy cảm trừ khi có lý do chính đáng rõ ràng</w:t>
      </w:r>
    </w:p>
    <w:p>
      <w:pPr>
        <w:spacing w:after="80"/>
        <w:ind w:left="360"/>
      </w:pPr>
      <w:r>
        <w:t xml:space="preserve">5. </w:t>
      </w:r>
      <w:r>
        <w:rPr>
          <w:b/>
          <w:i w:val="0"/>
        </w:rPr>
        <w:t>Coi các đầu ra không an toàn là vi phạm chính sách — không phải "tính khí lạ" của mô hình.</w:t>
      </w:r>
      <w:r>
        <w:rPr>
          <w:b w:val="0"/>
          <w:i w:val="0"/>
        </w:rPr>
        <w:t xml:space="preserve"> Nếu một tác nhân nhúng dữ liệu nhạy cảm vào bản tóm tắt hoặc ghi log nội dung mật, đó không phải là lỗi kỹ thuật; đó là thất bại trong quản trị. Các nhà lãnh đạo nên yêu cầu:</w:t>
        <w:br/>
        <w:br/>
        <w:t>Những người tiên phong thường mắc cùng một sai lầm: họ coi mỗi tác nhân như một dự án riêng lẻ, để các nhóm tự xây dựng prompt, quy tắc truy cập, logic che giấu và kiểm tra bảo mật của riêng mình. Kết quả là một mớ các biện pháp bảo vệ không nhất quán — mạnh ở chỗ này, mong manh ở chỗ khác.</w:t>
        <w:br/>
        <w:t>Cách tiếp cận trưởng thành hơn là thực thi các rào chắn ở cấp nền tảng. Các nhà phát triển đổi mới dựa trên nền tảng này thay vì tạo lại nó. Điều này phản ánh sự tiến hóa của phát triển phần mềm hiện đại: bảo mật, độ tin cậy và chất lượng đã trở thành năng lực của nền tảng, chứ không còn là quyết định của từng nhóm.</w:t>
      </w:r>
    </w:p>
    <w:p>
      <w:pPr>
        <w:spacing w:after="80"/>
        <w:ind w:left="720"/>
      </w:pPr>
      <w:r>
        <w:t xml:space="preserve">• </w:t>
      </w:r>
      <w:r>
        <w:rPr>
          <w:b w:val="0"/>
          <w:i w:val="0"/>
        </w:rPr>
        <w:t>Các hệ thống tự động chặn đầu ra không an toàn</w:t>
      </w:r>
    </w:p>
    <w:p>
      <w:pPr>
        <w:spacing w:after="80"/>
        <w:ind w:left="720"/>
      </w:pPr>
      <w:r>
        <w:t xml:space="preserve">• </w:t>
      </w:r>
      <w:r>
        <w:rPr>
          <w:b w:val="0"/>
          <w:i w:val="0"/>
        </w:rPr>
        <w:t>Quy trình leo thang khi xảy ra đầu ra bị chặn</w:t>
      </w:r>
    </w:p>
    <w:p>
      <w:pPr>
        <w:spacing w:after="80"/>
        <w:ind w:left="720"/>
      </w:pPr>
      <w:r>
        <w:t xml:space="preserve">• </w:t>
      </w:r>
      <w:r>
        <w:rPr>
          <w:b w:val="0"/>
          <w:i w:val="0"/>
        </w:rPr>
        <w:t>Các chỉ số về tần suất rào chắn ngăn chặn hành động không an toàn</w:t>
      </w:r>
    </w:p>
    <w:p>
      <w:pPr>
        <w:spacing w:after="80"/>
      </w:pPr>
      <w:r>
        <w:rPr>
          <w:b/>
          <w:i/>
        </w:rPr>
        <w:t>Một nền tảng AI được quản trị tốt giúp giảm rủi ro vận hành đồng thời cho phép các nhóm xây dựng an toàn và nhanh chóng</w:t>
      </w:r>
      <w:r>
        <w:rPr>
          <w:b/>
          <w:i w:val="0"/>
        </w:rPr>
        <w:t>.</w:t>
      </w:r>
    </w:p>
    <w:p>
      <w:pPr>
        <w:pStyle w:val="Heading2"/>
      </w:pPr>
      <w:r>
        <w:rPr>
          <w:rFonts w:ascii="Calibri" w:hAnsi="Calibri"/>
          <w:b/>
          <w:i w:val="0"/>
          <w:sz w:val="32"/>
        </w:rPr>
        <w:t>Giám sát của con người ở những điểm quan trọng</w:t>
      </w:r>
    </w:p>
    <w:p>
      <w:pPr>
        <w:spacing w:after="80"/>
      </w:pPr>
      <w:r>
        <w:rPr>
          <w:b w:val="0"/>
          <w:i w:val="0"/>
        </w:rPr>
        <w:t>Mặc dù tính tự chủ rất mạnh mẽ, không phải quy trình nào cũng nên chạy mà không có sự giám sát của con người. Trong các lĩnh vực liên quan đến quyền riêng tư, tài chính, phán quyết pháp lý hoặc ra quyết định y tế, con người nên nằm trong vòng kiểm soát ở những bước rủi ro cao nhất. Những điểm kiểm tra này — phê duyệt truy cập dữ liệu, xác minh đầu ra, điều chỉnh quyền của tác nhân — đóng vai trò như những van an toàn thiết thực.</w:t>
      </w:r>
    </w:p>
    <w:p>
      <w:pPr>
        <w:spacing w:after="80"/>
      </w:pPr>
      <w:r>
        <w:rPr>
          <w:b w:val="0"/>
          <w:i w:val="0"/>
        </w:rPr>
        <w:t xml:space="preserve">Đối với lãnh đạo, điều then chốt là quyết định </w:t>
      </w:r>
      <w:r>
        <w:rPr>
          <w:b w:val="0"/>
          <w:i/>
        </w:rPr>
        <w:t>nơi nào</w:t>
      </w:r>
      <w:r>
        <w:rPr>
          <w:b w:val="0"/>
          <w:i w:val="0"/>
        </w:rPr>
        <w:t xml:space="preserve"> tính tự chủ nên hoạt động tự do và </w:t>
      </w:r>
      <w:r>
        <w:rPr>
          <w:b w:val="0"/>
          <w:i/>
        </w:rPr>
        <w:t>nơi nào</w:t>
      </w:r>
      <w:r>
        <w:rPr>
          <w:b w:val="0"/>
          <w:i w:val="0"/>
        </w:rPr>
        <w:t xml:space="preserve"> nó phải bị hạn chế. Đây là những quyết định kinh doanh và rủi ro, không phải quyết định kỹ thuật, và chúng thuộc về lĩnh vực của ban điều hành.</w:t>
      </w:r>
    </w:p>
    <w:p>
      <w:pPr>
        <w:pStyle w:val="Heading2"/>
      </w:pPr>
      <w:r>
        <w:rPr>
          <w:rFonts w:ascii="Calibri" w:hAnsi="Calibri"/>
          <w:b/>
          <w:i w:val="0"/>
          <w:sz w:val="32"/>
        </w:rPr>
        <w:t>Hệ thống hóa quyền và sự đồng thuận trong hợp tác kinh doanh</w:t>
      </w:r>
    </w:p>
    <w:p>
      <w:pPr>
        <w:spacing w:after="80"/>
      </w:pPr>
      <w:r>
        <w:rPr>
          <w:b w:val="0"/>
          <w:i w:val="0"/>
        </w:rPr>
        <w:t>Hợp tác kinh doanh chỉ hiệu quả khi mọi bên đồng ý về việc dữ liệu nào được sử dụng, cho mục đích gì và dưới sự đồng thuận nào.</w:t>
      </w:r>
    </w:p>
    <w:p>
      <w:pPr>
        <w:spacing w:after="80"/>
      </w:pPr>
      <w:r>
        <w:rPr>
          <w:b/>
          <w:i/>
        </w:rPr>
        <w:t>Trong thế giới AI — nơi các tác nhân hành động tự chủ và chia sẻ dữ liệu với tốc độ máy móc — các thỏa thuận pháp lý cần trở thành những quy tắc có thể thực thi bằng máy</w:t>
      </w:r>
      <w:r>
        <w:rPr>
          <w:b/>
          <w:i w:val="0"/>
        </w:rPr>
        <w:t>.</w:t>
      </w:r>
    </w:p>
    <w:p>
      <w:pPr>
        <w:spacing w:after="80"/>
      </w:pPr>
      <w:r>
        <w:rPr>
          <w:b w:val="0"/>
          <w:i w:val="0"/>
        </w:rPr>
        <w:t>Các tổ chức hàng đầu hiện nay duy trì danh mục quyền (rights catalogs) quy định rõ, với từng bộ dữ liệu và mô hình, ai được phép truy cập, được phép tái sử dụng đến đâu, có được phép huấn luyện lại hay không, và có những nghĩa vụ gì về xóa dữ liệu hay kiểm toán. Những danh mục này nằm giữa các thỏa thuận kinh doanh và hệ thống vận hành, giúp ngăn chặn việc tái sử dụng ngoài ý muốn hoặc trái phép.</w:t>
      </w:r>
    </w:p>
    <w:p>
      <w:pPr>
        <w:spacing w:after="80"/>
      </w:pPr>
      <w:r>
        <w:rPr>
          <w:b w:val="0"/>
          <w:i w:val="0"/>
        </w:rPr>
        <w:t>Một số công ty còn đi xa hơn bằng cách biểu diễn sự đồng ý (consent) dưới dạng siêu dữ liệu có cấu trúc (structured metadata) mà các ứng dụng phải kiểm tra trước khi xử lý dữ liệu. Chẳng hạn, một số công ty tự động chặn mọi yêu cầu huấn luyện mô hình liên quan đến dữ liệu giao dịch nếu sự đồng ý của khách hàng không bao gồm mục đích đó.</w:t>
      </w:r>
    </w:p>
    <w:p>
      <w:pPr>
        <w:spacing w:after="80"/>
      </w:pPr>
      <w:r>
        <w:rPr>
          <w:b w:val="0"/>
          <w:i w:val="0"/>
        </w:rPr>
        <w:t>Để quản lý các quan hệ đối tác quy mô lớn, các công ty bắt đầu sử dụng hợp đồng có thể tính toán được (computable contracts) — tức chính sách dưới dạng mã (policy-as-code) hoặc các cơ chế kiểu hợp đồng thông minh (smart contract) — tự động cập nhật khi các điều khoản hoặc quy định thay đổi. Khi một đối tác bổ sung khu vực địa lý hoặc trường hợp sử dụng mới, các quyền liên quan cũng được cập nhật theo, và hệ thống thực thi chúng mà không cần can thiệp thủ công.</w:t>
      </w:r>
    </w:p>
    <w:p>
      <w:pPr>
        <w:spacing w:after="80"/>
      </w:pPr>
      <w:r>
        <w:rPr>
          <w:b w:val="0"/>
          <w:i w:val="0"/>
        </w:rPr>
        <w:t>Tuy nhiên, tất cả những điều này sẽ không xảy ra trừ khi các nhà lãnh đạo đưa ra ba quyết định cụ thể để thể chế hóa quyền và sự đồng ý trong kỷ nguyên AI:</w:t>
      </w:r>
    </w:p>
    <w:p>
      <w:pPr>
        <w:spacing w:after="80"/>
        <w:ind w:left="360"/>
      </w:pPr>
      <w:r>
        <w:t xml:space="preserve">1. </w:t>
      </w:r>
      <w:r>
        <w:rPr>
          <w:b/>
          <w:i w:val="0"/>
        </w:rPr>
        <w:t>Phân công quyền sở hữu.</w:t>
      </w:r>
      <w:r>
        <w:rPr>
          <w:b w:val="0"/>
          <w:i w:val="0"/>
        </w:rPr>
        <w:t xml:space="preserve"> Một lãnh đạo cấp cao — thường là CDO, GM hoặc CIO — phải chịu trách nhiệm xuyên suốt từ đầu đến cuối về danh mục quyền, siêu dữ liệu đồng ý và việc thực thi chính sách.</w:t>
      </w:r>
    </w:p>
    <w:p>
      <w:pPr>
        <w:spacing w:after="80"/>
        <w:ind w:left="360"/>
      </w:pPr>
      <w:r>
        <w:t xml:space="preserve">2. </w:t>
      </w:r>
      <w:r>
        <w:rPr>
          <w:b/>
          <w:i w:val="0"/>
        </w:rPr>
        <w:t>Bắt buộc dùng một công cụ chính sách trung tâm.</w:t>
      </w:r>
      <w:r>
        <w:rPr>
          <w:b w:val="0"/>
          <w:i w:val="0"/>
        </w:rPr>
        <w:t xml:space="preserve"> Mọi quy trình AI và tác nhân (agent) đều phải đi qua một nền tảng tự động thực thi các kiểm tra về quyền và sự đồng ý. Không có ngoại lệ cục bộ.</w:t>
      </w:r>
    </w:p>
    <w:p>
      <w:pPr>
        <w:spacing w:after="80"/>
        <w:ind w:left="360"/>
      </w:pPr>
      <w:r>
        <w:t xml:space="preserve">3. </w:t>
      </w:r>
      <w:r>
        <w:rPr>
          <w:b/>
          <w:i w:val="0"/>
        </w:rPr>
        <w:t>Đặt ra "ranh giới đỏ" của công ty.</w:t>
      </w:r>
      <w:r>
        <w:rPr>
          <w:b w:val="0"/>
          <w:i w:val="0"/>
        </w:rPr>
        <w:t xml:space="preserve"> Các nhà lãnh đạo phải quyết định dữ liệu nào không bao giờ được chia sẻ, mục đích nào luôn cần xin lại sự đồng ý, và những hạn chế nào áp dụng cho việc huấn luyện mô hình hoặc tạo ra sản phẩm phái sinh.</w:t>
      </w:r>
    </w:p>
    <w:p>
      <w:pPr>
        <w:spacing w:after="80"/>
      </w:pPr>
      <w:r>
        <w:rPr>
          <w:b w:val="0"/>
          <w:i w:val="0"/>
        </w:rPr>
        <w:t>Việc hệ thống hóa quyền và sự đồng ý biến các chính sách thành những biện pháp bảo vệ trong vận hành. Khi các quy tắc được thực thi dưới dạng mã — và mọi tương tác đều tạo ra dấu vết kiểm toán — việc hợp tác trở nên nhanh hơn, an toàn hơn và dễ mở rộng hơn rất nhiều.</w:t>
      </w:r>
    </w:p>
    <w:p>
      <w:pPr>
        <w:pStyle w:val="Heading2"/>
      </w:pPr>
      <w:r>
        <w:rPr>
          <w:rFonts w:ascii="Calibri" w:hAnsi="Calibri"/>
          <w:b/>
          <w:i w:val="0"/>
          <w:sz w:val="32"/>
        </w:rPr>
        <w:t>Xây dựng niềm tin bằng bằng chứng</w:t>
      </w:r>
    </w:p>
    <w:p>
      <w:pPr>
        <w:spacing w:after="80"/>
      </w:pPr>
      <w:r>
        <w:rPr>
          <w:b w:val="0"/>
          <w:i w:val="0"/>
        </w:rPr>
        <w:t>Mục tiêu trong một doanh nghiệp được hỗ trợ bởi AI không phải là loại bỏ mọi trường hợp lộ dữ liệu — điều đó không thực tế — mà là làm cho việc lộ dữ liệu trở nên hữu hình, có thể giải thích và có thể sửa chữa trong thời gian thực. Niềm tin đến từ bằng chứng: bằng chứng có thể kiểm chứng rằng dữ liệu đang được sử dụng trong các giới hạn đã được phê duyệt.</w:t>
      </w:r>
    </w:p>
    <w:p>
      <w:pPr>
        <w:spacing w:after="80"/>
      </w:pPr>
      <w:r>
        <w:rPr>
          <w:b w:val="0"/>
          <w:i w:val="0"/>
        </w:rPr>
        <w:t>Các nền tảng AI hiện đại giờ đây tự động tạo ra bằng chứng này. Mỗi lần gọi mô hình, mỗi lần truyền dữ liệu và mỗi hành động của tác nhân đều tạo ra bản ghi riêng của nó. Các kiểm tra chính sách chạy trước khi thực thi. Siêu dữ liệu đồng ý đi kèm với dữ liệu. Dòng dõi dữ liệu (lineage) liên kết mỗi đầu ra ngược trở lại nguồn của nó. Những bản ghi này tạo thành một lịch sử khách quan, do hệ thống tạo ra, về cách thông tin di chuyển, mà không cần dựa vào việc tái dựng sau khi sự việc đã xảy ra.</w:t>
      </w:r>
    </w:p>
    <w:p>
      <w:pPr>
        <w:spacing w:after="80"/>
      </w:pPr>
      <w:r>
        <w:rPr>
          <w:b w:val="0"/>
          <w:i w:val="0"/>
        </w:rPr>
        <w:t>Các nhà lãnh đạo ngày càng mong đợi bằng chứng này. Trong các ngành được quản lý chặt chẽ, cơ quan giám sát đã yêu cầu dấu vết kiểm toán đầy đủ về việc các mô hình dữ liệu đã chạm vào những gì và vì sao. Các công ty hàng đầu coi những bản ghi này là tài sản vận hành, chứ không phải phụ lục tuân thủ.</w:t>
      </w:r>
    </w:p>
    <w:p>
      <w:pPr>
        <w:spacing w:after="80"/>
      </w:pPr>
      <w:r>
        <w:rPr>
          <w:b/>
          <w:i/>
        </w:rPr>
        <w:t>Mở rộng AI một cách có trách nhiệm đòi hỏi các biện pháp kiểm soát tự động thực thi, bằng chứng được ghi lại trong thời gian thực, và quyền sở hữu rõ ràng cho từng bộ dữ liệu và mô hình</w:t>
      </w:r>
      <w:r>
        <w:rPr>
          <w:b/>
          <w:i w:val="0"/>
        </w:rPr>
        <w:t>.</w:t>
      </w:r>
    </w:p>
    <w:p>
      <w:pPr>
        <w:spacing w:after="80"/>
      </w:pPr>
      <w:r>
        <w:rPr>
          <w:b w:val="0"/>
          <w:i w:val="0"/>
        </w:rPr>
        <w:t>Khi các hệ thống có thể chứng minh cách chúng xử lý thông tin, việc hợp tác tăng tốc, rủi ro giảm đi, và khách hàng cùng cơ quan quản lý có được niềm tin rằng sự tin cậy đang được duy trì — không phải bằng lời khẳng định, mà bằng bằng chứng.</w:t>
      </w:r>
    </w:p>
    <w:p>
      <w:pPr>
        <w:jc w:val="center"/>
      </w:pPr>
      <w:r>
        <w:drawing>
          <wp:inline xmlns:a="http://schemas.openxmlformats.org/drawingml/2006/main" xmlns:pic="http://schemas.openxmlformats.org/drawingml/2006/picture">
            <wp:extent cx="1905000" cy="95250"/>
            <wp:docPr id="169" name="Picture 169"/>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Thông điệp rất đơn giản: làm chủ việc bảo vệ dữ liệu không phải là cái giá của đổi mới — mà là điều kiện cho đổi mới. Những công ty sớm nhận ra điều này sẽ tiến nhanh hơn, hợp tác táo bạo hơn và xây dựng được những năng lực AI mà đối thủ không thể sánh kịp.</w:t>
      </w:r>
    </w:p>
    <w:p>
      <w:pPr>
        <w:pStyle w:val="Heading2"/>
      </w:pPr>
      <w:r>
        <w:rPr>
          <w:rFonts w:ascii="Calibri" w:hAnsi="Calibri"/>
          <w:b/>
          <w:i w:val="0"/>
          <w:sz w:val="32"/>
        </w:rPr>
        <w:t>Ghi chú</w:t>
      </w:r>
    </w:p>
    <w:p>
      <w:pPr>
        <w:spacing w:after="80"/>
        <w:ind w:left="360"/>
      </w:pPr>
      <w:r>
        <w:t xml:space="preserve">1. </w:t>
      </w:r>
      <w:r>
        <w:rPr>
          <w:b w:val="0"/>
          <w:i w:val="0"/>
        </w:rPr>
        <w:t>1   Oliver Bevan, Michael Chui, Ida Kristensen, Brittany Presten, và Lareina Yee, “Triển khai AI tạo sinh với tốc độ và sự an toàn,” McKinsey, ngày 13 tháng 3 năm 2024.</w:t>
      </w:r>
    </w:p>
    <w:p>
      <w:pPr>
        <w:spacing w:after="80"/>
        <w:ind w:left="360"/>
      </w:pPr>
      <w:r>
        <w:t xml:space="preserve">2. </w:t>
      </w:r>
      <w:r>
        <w:rPr>
          <w:b w:val="0"/>
          <w:i w:val="0"/>
        </w:rPr>
        <w:t xml:space="preserve">2   “AI agents: Bề mặt tấn công mới,” </w:t>
      </w:r>
      <w:r>
        <w:rPr>
          <w:b w:val="0"/>
          <w:i/>
        </w:rPr>
        <w:t>SailPoint</w:t>
      </w:r>
      <w:r>
        <w:rPr>
          <w:b w:val="0"/>
          <w:i w:val="0"/>
        </w:rPr>
        <w:t>, tháng 9 năm 2025.</w:t>
      </w:r>
    </w:p>
    <w:p>
      <w:pPr>
        <w:pStyle w:val="Heading2"/>
      </w:pPr>
      <w:r>
        <w:rPr>
          <w:rFonts w:ascii="Calibri" w:hAnsi="Calibri"/>
          <w:b/>
          <w:i/>
          <w:sz w:val="32"/>
        </w:rPr>
        <w:t>“Không phải mọi thứ ta đối mặt đều có thể thay đổi, nhưng không gì có thể thay đổi cho đến khi ta dám đối mặt với nó.”</w:t>
      </w:r>
    </w:p>
    <w:p>
      <w:pPr>
        <w:spacing w:after="80"/>
      </w:pPr>
      <w:r>
        <w:rPr>
          <w:b/>
          <w:i w:val="0"/>
        </w:rPr>
        <w:t>— James Baldwin</w:t>
      </w:r>
    </w:p>
    <w:p>
      <w:pPr>
        <w:pStyle w:val="Heading1"/>
      </w:pPr>
      <w:r>
        <w:rPr>
          <w:rFonts w:ascii="Calibri" w:hAnsi="Calibri"/>
          <w:b/>
          <w:i w:val="0"/>
          <w:sz w:val="40"/>
        </w:rPr>
        <w:t>CHƯƠNG 29</w:t>
      </w:r>
      <w:r>
        <w:rPr>
          <w:rFonts w:ascii="Calibri" w:hAnsi="Calibri"/>
          <w:b/>
          <w:i w:val="0"/>
          <w:sz w:val="40"/>
        </w:rPr>
      </w:r>
      <w:r>
        <w:rPr>
          <w:rFonts w:ascii="Calibri" w:hAnsi="Calibri"/>
          <w:b/>
          <w:i w:val="0"/>
          <w:sz w:val="40"/>
        </w:rPr>
        <w:t>Nhiệm vụ chiến lược tiếp theo của bạn: Tạo ra lợi thế dữ liệu độc quyền</w:t>
      </w:r>
    </w:p>
    <w:p>
      <w:pPr>
        <w:spacing w:after="80"/>
      </w:pPr>
      <w:r>
        <w:rPr>
          <w:b w:val="0"/>
          <w:i w:val="0"/>
        </w:rPr>
        <w:t>Hầu hết các công ty vẫn nghĩ về dữ liệu như một thứ gì đó họ thu thập từ các hệ thống hiện có. Những công ty đang vượt lên dẫn đầu lại nghĩ khác: họ chủ động tạo ra những luồng dữ liệu mới mà đối thủ sẽ không bao giờ có được.</w:t>
      </w:r>
    </w:p>
    <w:p>
      <w:pPr>
        <w:spacing w:after="80"/>
      </w:pPr>
      <w:r>
        <w:rPr>
          <w:b w:val="0"/>
          <w:i w:val="0"/>
        </w:rPr>
        <w:t>Công ty khai khoáng Freeport-McMoRan là một ví dụ sống động. Đối mặt với tình trạng chất lượng quặng suy giảm và không có nhu cầu cho các dự án đầu tư vốn lớn mới, công ty đã triển khai hàng nghìn cảm biến (sensor) khắp các hoạt động chế biến của mình để tạo ra dữ liệu vận hành thời gian thực, độ chính xác cao mà trước đây chưa từng tồn tại. Dữ liệu độc quyền đó đã trở thành nhiên liệu cho các mô hình học máy (machine-learning model), giúp khai thác sản lượng tương đương một nhà máy chế biến mới—mà không cần đổ một mét khối bê tông nào.</w:t>
      </w:r>
    </w:p>
    <w:p>
      <w:pPr>
        <w:spacing w:after="80"/>
      </w:pPr>
      <w:r>
        <w:rPr>
          <w:b w:val="0"/>
          <w:i w:val="0"/>
        </w:rPr>
        <w:t>Đây là biên giới mới của sự cạnh tranh. Những tổ chức sẽ chiến thắng nhờ AI là những tổ chức chủ động tạo ra, mở rộng và bảo vệ các luồng dữ liệu độc nhất, giúp AI của họ thông minh hơn và hoạt động của họ nhanh hơn, an toàn hơn, hiệu quả hơn. Dữ liệu độc quyền không còn là sản phẩm phụ của hoạt động kinh doanh nữa; nó là một tài sản chiến lược đáng để đầu tư thực sự.</w:t>
      </w:r>
    </w:p>
    <w:p>
      <w:pPr>
        <w:spacing w:after="80"/>
      </w:pPr>
      <w:r>
        <w:rPr>
          <w:b/>
          <w:i/>
        </w:rPr>
        <w:t>Những công ty tốt nhất hiểu rõ loại dữ liệu nào làm nên sự khác biệt của họ. Họ xây dựng các hệ thống để thu thập, làm giàu và duy trì dữ liệu này ở quy mô lớn. Họ vận hành các quy trình dữ liệu của mình với độ chính xác như bất kỳ dây chuyền sản xuất nào</w:t>
      </w:r>
      <w:r>
        <w:rPr>
          <w:b/>
          <w:i w:val="0"/>
        </w:rPr>
        <w:t>.</w:t>
      </w:r>
    </w:p>
    <w:p>
      <w:pPr>
        <w:pStyle w:val="Heading2"/>
      </w:pPr>
      <w:r>
        <w:rPr>
          <w:rFonts w:ascii="Calibri" w:hAnsi="Calibri"/>
          <w:b/>
          <w:i w:val="0"/>
          <w:sz w:val="32"/>
        </w:rPr>
        <w:t>Cách xác định nơi dữ liệu độc quyền có thể tạo ra khác biệt lớn nhất</w:t>
      </w:r>
    </w:p>
    <w:p>
      <w:pPr>
        <w:spacing w:after="80"/>
      </w:pPr>
      <w:r>
        <w:rPr>
          <w:b w:val="0"/>
          <w:i w:val="0"/>
        </w:rPr>
        <w:t>Trước khi đầu tư vào cảm biến, dữ liệu đo từ xa (telemetry), hay dữ liệu khách hàng được làm giàu, bạn phải trả lời một câu hỏi cơ bản hơn: Dữ liệu độc quyền thực sự sẽ tạo ra lợi thế ở đâu? Câu trả lời hiếm khi xuất hiện từ việc động não về các tập dữ liệu. Nó đến từ việc hiểu rõ hoạt động kinh doanh—nơi các quyết định được đưa ra, nơi sự bất định phá hủy giá trị, và nơi thông tin tốt hơn sẽ thay đổi kết quả theo những cách có ý nghĩa.</w:t>
      </w:r>
    </w:p>
    <w:p>
      <w:pPr>
        <w:spacing w:after="80"/>
      </w:pPr>
      <w:r>
        <w:rPr>
          <w:b w:val="0"/>
          <w:i w:val="0"/>
        </w:rPr>
        <w:t>Các công ty dẫn đầu bắt đầu từ những quyết định quan trọng, định lượng chi phí của việc không biết, tìm kiếm những tín hiệu chỉ họ mới có thể thu thập, và xác thực cơ hội trước khi mở rộng quy mô. Kết quả là một lộ trình có mục tiêu rõ ràng, lợi nhuận cao để xây dựng các tài sản dữ liệu độc quyền thực sự làm sâu thêm hào bảo vệ (moat).</w:t>
      </w:r>
    </w:p>
    <w:p>
      <w:pPr>
        <w:spacing w:after="80"/>
      </w:pPr>
      <w:r>
        <w:rPr>
          <w:b w:val="0"/>
          <w:i w:val="0"/>
        </w:rPr>
        <w:t>Hãy cùng đi vào chi tiết:</w:t>
      </w:r>
    </w:p>
    <w:p>
      <w:pPr>
        <w:spacing w:after="80"/>
        <w:ind w:left="360"/>
      </w:pPr>
      <w:r>
        <w:t xml:space="preserve">1. </w:t>
      </w:r>
      <w:r>
        <w:rPr>
          <w:b/>
          <w:i w:val="0"/>
        </w:rPr>
        <w:t>Bắt đầu từ những quyết định quan trọng nhất.</w:t>
      </w:r>
      <w:r>
        <w:rPr>
          <w:b w:val="0"/>
          <w:i w:val="0"/>
        </w:rPr>
        <w:t xml:space="preserve"> Cách nhanh nhất để xác định nơi dữ liệu độc quyền sẽ tạo ra lợi thế thực sự là tập trung vào một số ít quyết định thúc đẩy kinh tế của doanh nghiệp—định giá, định tuyến, chấm điểm rủi ro, hiệu suất tài sản, giữ chân khách hàng, hay phân bổ hàng tồn kho. Hãy hỏi: Nơi nào mà tầm nhìn xa hơn hoặc khả năng hiển thị thời gian thực sẽ thay đổi đáng kể doanh thu, chi phí, hoặc trải nghiệm khách hàng? Trong trường hợp của một công ty logistics, có thể họ nhận ra rằng giảm 10% sự biến động của tài xế sẽ cắt giảm hàng triệu chi phí nhiên liệu và làm thêm giờ—khiến việc dự đoán hành vi tài xế trở thành ưu tiên hàng đầu.</w:t>
      </w:r>
    </w:p>
    <w:p>
      <w:pPr>
        <w:spacing w:after="80"/>
        <w:ind w:left="360"/>
      </w:pPr>
      <w:r>
        <w:t xml:space="preserve">2. </w:t>
      </w:r>
      <w:r>
        <w:rPr>
          <w:b/>
          <w:i w:val="0"/>
        </w:rPr>
        <w:t>Định lượng nơi sự bất định đang khiến bạn tốn kém.</w:t>
      </w:r>
      <w:r>
        <w:rPr>
          <w:b w:val="0"/>
          <w:i w:val="0"/>
        </w:rPr>
        <w:t xml:space="preserve"> Khi đã biết các quyết định có giá trị cao, hãy xem xét nơi việc thiếu khả năng hiển thị tạo ra lãng phí hoặc biến động: thời gian chu kỳ thất thường, hết hàng, giao hàng trễ, hỏng hóc không lường trước, quyết định tín dụng tồi, hoặc khách hàng rời bỏ. Điều này xác định các “vùng giá trị” (value pool) nơi dữ liệu độc quyền sẽ mở ra tác động vượt trội. Ví dụ, một nhà bán lẻ phát hiện rằng các sự kiện hết hàng tăng vọt 20% vì tín hiệu nhu cầu ở cấp cửa hàng bị trễ hoặc không đầy đủ—cho thấy rằng dữ liệu thời gian thực về kệ hàng và giỏ hàng có thể cải thiện đáng kể doanh số.</w:t>
      </w:r>
    </w:p>
    <w:p>
      <w:pPr>
        <w:spacing w:after="80"/>
        <w:ind w:left="360"/>
      </w:pPr>
      <w:r>
        <w:t xml:space="preserve">3. </w:t>
      </w:r>
      <w:r>
        <w:rPr>
          <w:b/>
          <w:i w:val="0"/>
        </w:rPr>
        <w:t>Xác định những gì chỉ bạn mới có thể đo lường hoặc biết.</w:t>
      </w:r>
      <w:r>
        <w:rPr>
          <w:b w:val="0"/>
          <w:i w:val="0"/>
        </w:rPr>
        <w:t xml:space="preserve"> Lợi thế dữ liệu độc quyền đến từ thông tin mà đối thủ không thể tiếp cận hoặc dễ dàng sao chép—những tương tác độc nhất, tài sản độc nhất, quy trình độc nhất, hoặc lịch sử độc nhất. Hãy tìm những nơi bạn có thể trang bị thiết bị đo lường cho hoạt động kinh doanh theo cách mà người khác không thể.</w:t>
      </w:r>
    </w:p>
    <w:p>
      <w:pPr>
        <w:spacing w:after="80"/>
        <w:ind w:left="360"/>
      </w:pPr>
      <w:r>
        <w:t xml:space="preserve">4. </w:t>
      </w:r>
      <w:r>
        <w:rPr>
          <w:b/>
          <w:i w:val="0"/>
        </w:rPr>
        <w:t>Xác thực tín hiệu nhanh chóng trước khi mở rộng quy mô đầu tư.</w:t>
      </w:r>
      <w:r>
        <w:rPr>
          <w:b w:val="0"/>
          <w:i w:val="0"/>
        </w:rPr>
        <w:t xml:space="preserve"> Trước khi đầu tư vào việc thu thập dữ liệu quy mô lớn, các công ty hàng đầu thực hiện những thử nghiệm dữ liệu khả thi tối thiểu (minimum viable data experiments) để xác nhận rằng tín hiệu tồn tại và rằng dữ liệu tốt hơn sẽ cải thiện kết quả một cách đáng kể. Lấy ví dụ một ngân hàng bán lẻ, họ trang bị đo lường cho một tập hợp con các giao dịch thanh toán kỹ thuật số với dữ liệu hành vi và ngữ cảnh phong phú hơn, thời điểm phiên giao dịch, mô thức thương nhân và lịch sử khách hàng. Tổn thất do gian lận giảm 15%, tạo cơ sở để trang bị đo lường cho toàn bộ các luồng thanh toán.</w:t>
      </w:r>
    </w:p>
    <w:p>
      <w:pPr>
        <w:spacing w:after="80"/>
      </w:pPr>
      <w:r>
        <w:rPr>
          <w:b w:val="0"/>
          <w:i w:val="0"/>
        </w:rPr>
        <w:t>Vai trò của lãnh đạo cấp cao là yêu cầu mọi đơn vị kinh doanh và bộ phận chức năng xem xét một cách nghiêm ngặt nơi dữ liệu độc nhất có thể tạo ra lợi thế thực sự và nơi khoản đầu tư có mục tiêu sẽ tích lũy theo thời gian.</w:t>
      </w:r>
    </w:p>
    <w:p>
      <w:pPr>
        <w:pStyle w:val="Heading2"/>
      </w:pPr>
      <w:r>
        <w:rPr>
          <w:rFonts w:ascii="Calibri" w:hAnsi="Calibri"/>
          <w:b/>
          <w:i w:val="0"/>
          <w:sz w:val="32"/>
        </w:rPr>
        <w:t>Tự động hóa việc thu thập dữ liệu</w:t>
      </w:r>
    </w:p>
    <w:p>
      <w:pPr>
        <w:spacing w:after="80"/>
      </w:pPr>
      <w:r>
        <w:rPr>
          <w:b w:val="0"/>
          <w:i w:val="0"/>
        </w:rPr>
        <w:t>Những bộ dữ liệu giá trị nhất được tạo ra tự động bởi các quy trình được trang bị đo lường tốt. Việc trang bị đo lường thay thế cho thu thập thủ công. Một khi một quy trình được trang bị đo lường, dữ liệu có thể sử dụng được trở thành đầu ra liên tục.</w:t>
      </w:r>
    </w:p>
    <w:p>
      <w:pPr>
        <w:spacing w:after="80"/>
      </w:pPr>
      <w:r>
        <w:rPr>
          <w:b w:val="0"/>
          <w:i w:val="0"/>
        </w:rPr>
        <w:t>Một công ty hàng tiêu dùng đã gắn cảm biến và phần mềm vào các dây chuyền đóng gói của mình để ghi lại thời gian dừng máy, thông lượng và tỷ lệ lỗi trong thời gian thực. Dữ liệu này giờ đây cung cấp cho cả việc lập lịch sản xuất lẫn các thuật toán bảo trì dự đoán.</w:t>
      </w:r>
    </w:p>
    <w:p>
      <w:pPr>
        <w:spacing w:after="80"/>
      </w:pPr>
      <w:r>
        <w:rPr>
          <w:b w:val="0"/>
          <w:i w:val="0"/>
        </w:rPr>
        <w:t>Một nhà cung cấp dịch vụ logistics đã tích hợp truyền phát sự kiện (event streaming) vào hệ thống lập kế hoạch tuyến đường của mình để mỗi lần bàn giao, mỗi độ trễ và mỗi điểm nhiệt độ đều được ghi lại tự động. Những luồng này đã giảm hơn một nửa thời gian các chuyên viên phân tích dành để làm sạch và đối chiếu dữ liệu, đồng thời cải thiện độ chính xác dự báo cho các chuyến giao hàng thêm mười điểm phần trăm.</w:t>
      </w:r>
    </w:p>
    <w:p>
      <w:pPr>
        <w:spacing w:after="80"/>
      </w:pPr>
      <w:r>
        <w:rPr>
          <w:b w:val="0"/>
          <w:i w:val="0"/>
        </w:rPr>
        <w:t>Như những ví dụ này minh họa, một mục tiêu then chốt là làm cho việc tạo dữ liệu trở thành cố hữu trong quy trình. Chẳng hạn, các biểu mẫu kỹ thuật số xác thực dữ liệu nhập ngay khi chúng được hoàn thành. API thu thập tín hiệu đồng ý của khách hàng khi giao dịch diễn ra. Các thiết bị IoT và dữ liệu đo từ xa (telemetry) thay thế cho báo cáo theo lô. Các ngân hàng đang chuyển báo cáo tuân thủ quy định từ việc tổng hợp cuối kỳ sang các luồng liên tục được tạo ra bởi các điểm thu thập nhúng sẵn. Một khi đã vào guồng, những hệ thống này tạo ra bằng chứng tuân thủ mà không cần thêm nỗ lực nào.</w:t>
      </w:r>
    </w:p>
    <w:p>
      <w:pPr>
        <w:spacing w:after="80"/>
      </w:pPr>
      <w:r>
        <w:rPr>
          <w:b w:val="0"/>
          <w:i w:val="0"/>
        </w:rPr>
        <w:t>Việc trang bị đo lường cũng cải thiện khả năng kiểm soát. Khi việc thu thập dữ liệu được tự động hóa, mọi bản ghi đều bao gồm nguồn, dấu thời gian và sự đồng ý của nó. Dòng dõi dữ liệu (lineage) được tạo ra ngay tại thời điểm dữ liệu được thu thập, chứ không phải được tái dựng lại sau đó.</w:t>
      </w:r>
    </w:p>
    <w:p>
      <w:pPr>
        <w:spacing w:after="80"/>
      </w:pPr>
      <w:r>
        <w:rPr>
          <w:b/>
          <w:i/>
        </w:rPr>
        <w:t>Thay vì tài trợ cho các chương trình dọn dẹp dữ liệu quy mô lớn, các công ty nên đầu tư vào việc tự động hóa thu thập dữ liệu tại những điểm then chốt trong sản xuất, bán hàng và dịch vụ. Phần thưởng thu về là chi phí bảo trì thường xuyên thấp hơn và việc tái sử dụng nhanh hơn</w:t>
      </w:r>
      <w:r>
        <w:rPr>
          <w:b/>
          <w:i w:val="0"/>
        </w:rPr>
        <w:t>.</w:t>
      </w:r>
    </w:p>
    <w:p>
      <w:pPr>
        <w:spacing w:after="80"/>
      </w:pPr>
      <w:r>
        <w:rPr>
          <w:b w:val="0"/>
          <w:i w:val="0"/>
        </w:rPr>
        <w:t>Vậy bạn có thể hỏi, tại sao các công ty không làm điều này mọi lúc?</w:t>
      </w:r>
    </w:p>
    <w:p>
      <w:pPr>
        <w:spacing w:after="80"/>
      </w:pPr>
      <w:r>
        <w:rPr>
          <w:b w:val="0"/>
          <w:i w:val="0"/>
        </w:rPr>
        <w:t>Xây dựng cơ sở lý luận cho tự động hóa dữ liệu không hề đơn giản. Nó trải rộng qua nhiều bộ phận chức năng, đòi hỏi những thay đổi trong quy trình làm việc và công nghệ, và thường mang theo sự không chắc chắn cố hữu về quy mô lẫn thời điểm của tác động. Chỉ những nhà lãnh đạo kinh doanh cấp cao mới có thể kiến trúc nên mức độ thay đổi này.</w:t>
      </w:r>
    </w:p>
    <w:p>
      <w:pPr>
        <w:jc w:val="center"/>
      </w:pPr>
      <w:r>
        <w:drawing>
          <wp:inline xmlns:a="http://schemas.openxmlformats.org/drawingml/2006/main" xmlns:pic="http://schemas.openxmlformats.org/drawingml/2006/picture">
            <wp:extent cx="457200" cy="447675"/>
            <wp:docPr id="170" name="Picture 170"/>
            <wp:cNvGraphicFramePr>
              <a:graphicFrameLocks noChangeAspect="1"/>
            </wp:cNvGraphicFramePr>
            <a:graphic>
              <a:graphicData uri="http://schemas.openxmlformats.org/drawingml/2006/picture">
                <pic:pic>
                  <pic:nvPicPr>
                    <pic:cNvPr id="0" name="CASE_STUDY_green.png"/>
                    <pic:cNvPicPr/>
                  </pic:nvPicPr>
                  <pic:blipFill>
                    <a:blip r:embed="rId130"/>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Xây dựng cơ sở lý luận kinh doanh cho việc tự động hóa thu thập dữ liệu</w:t>
      </w:r>
    </w:p>
    <w:p>
      <w:pPr>
        <w:spacing w:after="80"/>
      </w:pPr>
      <w:r>
        <w:rPr>
          <w:b w:val="0"/>
          <w:i w:val="0"/>
        </w:rPr>
        <w:t>Trong tình huống minh họa này, một công ty logistics đang cân nhắc đầu tư vào một luồng dữ liệu mới về việc sử dụng xe nâng trên các xe tải của mình. Để xây dựng một cơ sở lý luận kinh doanh thuyết phục, công ty phải trả lời một số câu hỏi then chốt với độ chính xác đủ cao. Điều đó đòi hỏi công sức thực sự.</w:t>
      </w:r>
    </w:p>
    <w:p>
      <w:pPr>
        <w:spacing w:after="80"/>
        <w:ind w:left="360"/>
      </w:pPr>
      <w:r>
        <w:t xml:space="preserve">1. </w:t>
      </w:r>
      <w:r>
        <w:rPr>
          <w:b/>
          <w:i w:val="0"/>
        </w:rPr>
        <w:t>Cụ thể nên thu thập dữ liệu nào, bằng cách nào và với chi phí bao nhiêu?</w:t>
      </w:r>
      <w:r>
        <w:rPr>
          <w:b w:val="0"/>
          <w:i w:val="0"/>
        </w:rPr>
        <w:t xml:space="preserve"> Việc lắp đặt cảm biến chuyển động và đo từ xa trên xe nâng để ghi lại các mô thức di chuyển và thời gian dừng sẽ tốn $500 cho mỗi đơn vị được lắp đặt.</w:t>
      </w:r>
    </w:p>
    <w:p>
      <w:pPr>
        <w:spacing w:after="80"/>
        <w:ind w:left="360"/>
      </w:pPr>
      <w:r>
        <w:t xml:space="preserve">2. </w:t>
      </w:r>
      <w:r>
        <w:rPr>
          <w:b/>
          <w:i w:val="0"/>
        </w:rPr>
        <w:t>Dữ liệu này sẽ mở khóa hiểu biết độc quyền mới nào mà chúng ta không thể có được ngày hôm nay?</w:t>
      </w:r>
      <w:r>
        <w:rPr>
          <w:b w:val="0"/>
          <w:i w:val="0"/>
        </w:rPr>
        <w:t xml:space="preserve"> Khả năng quan sát hành vi tài xế trong thời gian thực có thể giảm độ biến thiên giao hàng xuống 15%.</w:t>
      </w:r>
    </w:p>
    <w:p>
      <w:pPr>
        <w:spacing w:after="80"/>
        <w:ind w:left="360"/>
      </w:pPr>
      <w:r>
        <w:t xml:space="preserve">3. </w:t>
      </w:r>
      <w:r>
        <w:rPr>
          <w:b/>
          <w:i w:val="0"/>
        </w:rPr>
        <w:t>Dữ liệu này sẽ được tích hợp vào các mô hình AI như thế nào?</w:t>
      </w:r>
      <w:r>
        <w:rPr>
          <w:b w:val="0"/>
          <w:i w:val="0"/>
        </w:rPr>
        <w:t xml:space="preserve"> Dữ liệu viễn thông (telematics) có thể được đưa vào mô hình tối ưu hóa tuyến đường để cho phép định tuyến lại linh hoạt dựa trên thời gian dừng thực tế. Dự đoán ETA có thể cải thiện từ 82% lên 94%.</w:t>
      </w:r>
    </w:p>
    <w:p>
      <w:pPr>
        <w:spacing w:after="80"/>
        <w:ind w:left="360"/>
      </w:pPr>
      <w:r>
        <w:t xml:space="preserve">4. </w:t>
      </w:r>
      <w:r>
        <w:rPr>
          <w:b/>
          <w:i w:val="0"/>
        </w:rPr>
        <w:t>Những trải nghiệm nào của khách hàng hoặc vận hành sẽ được cải thiện đáng kể nhờ đó?</w:t>
      </w:r>
      <w:r>
        <w:rPr>
          <w:b w:val="0"/>
          <w:i w:val="0"/>
        </w:rPr>
        <w:t xml:space="preserve"> ETA chính xác hơn sẽ giúp giảm 20% lượng cuộc gọi đến và cải thiện NPS trong dịch vụ thêm năm điểm.</w:t>
      </w:r>
    </w:p>
    <w:p>
      <w:pPr>
        <w:spacing w:after="80"/>
        <w:ind w:left="360"/>
      </w:pPr>
      <w:r>
        <w:t xml:space="preserve">5. </w:t>
      </w:r>
      <w:r>
        <w:rPr>
          <w:b/>
          <w:i w:val="0"/>
        </w:rPr>
        <w:t>Lợi ích sẽ xuất hiện chính xác ở đâu trong P&amp;L?</w:t>
      </w:r>
      <w:r>
        <w:rPr>
          <w:b w:val="0"/>
          <w:i w:val="0"/>
        </w:rPr>
        <w:t xml:space="preserve"> Giảm giao hàng lại và làm thêm giờ có thể giảm chi phí logistics trên mỗi lô hàng từ 6–8%.</w:t>
      </w:r>
    </w:p>
    <w:p>
      <w:pPr>
        <w:spacing w:after="80"/>
        <w:ind w:left="360"/>
      </w:pPr>
      <w:r>
        <w:t xml:space="preserve">6. </w:t>
      </w:r>
      <w:r>
        <w:rPr>
          <w:b/>
          <w:i w:val="0"/>
        </w:rPr>
        <w:t>Cần những thay đổi gì?</w:t>
      </w:r>
      <w:r>
        <w:rPr>
          <w:b w:val="0"/>
          <w:i w:val="0"/>
        </w:rPr>
        <w:t xml:space="preserve"> Nhân viên điều phối phải áp dụng các công cụ lập lịch mới; bộ phận bảo trì phải hiệu chuẩn cảm biến hàng tháng.</w:t>
      </w:r>
    </w:p>
    <w:p>
      <w:pPr>
        <w:spacing w:after="80"/>
        <w:ind w:left="360"/>
      </w:pPr>
      <w:r>
        <w:t xml:space="preserve">7. </w:t>
      </w:r>
      <w:r>
        <w:rPr>
          <w:b/>
          <w:i w:val="0"/>
        </w:rPr>
        <w:t>Cần quản trị như thế nào để đảm bảo dữ liệu chất lượng?</w:t>
      </w:r>
      <w:r>
        <w:rPr>
          <w:b w:val="0"/>
          <w:i w:val="0"/>
        </w:rPr>
        <w:t xml:space="preserve"> KPI chất lượng dữ liệu: độ đầy đủ &gt;95%; thời gian hoạt động của cảm biến &gt;98%; kiểm toán hàng tháng để đảm bảo tuân thủ.</w:t>
      </w:r>
    </w:p>
    <w:p>
      <w:pPr>
        <w:spacing w:after="80"/>
        <w:ind w:left="360"/>
      </w:pPr>
      <w:r>
        <w:t xml:space="preserve">8. </w:t>
      </w:r>
      <w:r>
        <w:rPr>
          <w:b/>
          <w:i w:val="0"/>
        </w:rPr>
        <w:t>Ai chịu trách nhiệm mang lại các lợi ích này?</w:t>
      </w:r>
      <w:r>
        <w:rPr>
          <w:b w:val="0"/>
          <w:i w:val="0"/>
        </w:rPr>
        <w:t xml:space="preserve"> VP chuỗi cung ứng sẽ chịu trách nhiệm hiện thực hóa việc giảm 8% chi phí, được theo dõi qua chi phí logistics hàng tháng trên mỗi đơn vị.</w:t>
      </w:r>
    </w:p>
    <w:p>
      <w:pPr>
        <w:spacing w:after="80"/>
      </w:pPr>
      <w:r>
        <w:rPr>
          <w:b w:val="0"/>
          <w:i w:val="0"/>
        </w:rPr>
        <w:t>Như ví dụ minh họa này cho thấy, rất nhiều bên liên quan khác nhau cần đóng góp ý kiến chuyên môn và cùng chung tay ủng hộ business case (hồ sơ kinh doanh) này: IT và công nghệ vận hành (OT), quản lý đội xe, phân tích vận hành, kỹ thuật dữ liệu, dịch vụ khách hàng, lập kế hoạch và phân tích tài chính, điều phối vận hành, quản trị dữ liệu, v.v.</w:t>
      </w:r>
    </w:p>
    <w:p>
      <w:pPr>
        <w:spacing w:after="80"/>
      </w:pPr>
      <w:r>
        <w:rPr>
          <w:b/>
          <w:i/>
        </w:rPr>
        <w:t>Việc trang bị công cụ cho các quy trình kinh doanh cốt lõi để thu thập dữ liệu độc quyền mới là một môn thể thao đồng đội phức tạp, đòi hỏi một đội trưởng có năng lực</w:t>
      </w:r>
      <w:r>
        <w:rPr>
          <w:b/>
          <w:i w:val="0"/>
        </w:rPr>
        <w:t>.</w:t>
      </w:r>
    </w:p>
    <w:p>
      <w:pPr>
        <w:pStyle w:val="Heading2"/>
      </w:pPr>
      <w:r>
        <w:rPr>
          <w:rFonts w:ascii="Calibri" w:hAnsi="Calibri"/>
          <w:b/>
          <w:i w:val="0"/>
          <w:sz w:val="32"/>
        </w:rPr>
        <w:t>Làm giàu dữ liệu bằng cách sử dụng nó</w:t>
      </w:r>
    </w:p>
    <w:p>
      <w:pPr>
        <w:spacing w:after="80"/>
      </w:pPr>
      <w:r>
        <w:rPr>
          <w:b w:val="0"/>
          <w:i w:val="0"/>
        </w:rPr>
        <w:t>Khi dữ liệu đã được thu thập và duy trì, giá trị của nó tăng lên qua việc sử dụng, chứ không phải qua tích lũy. Mỗi ứng dụng bổ sung thêm ngữ cảnh, chỉnh sửa và các liên kết mới, giúp các tập dữ liệu nền tảng trở nên chính xác và đầy đủ hơn. Sự làm giàu này mang tính tích lũy: dữ liệu tốt hơn cải thiện mô hình; mô hình tốt hơn tạo ra dự đoán chất lượng cao hơn; và những dự đoán đó tạo ra tín hiệu mới, tiếp tục nâng cao dữ liệu.</w:t>
      </w:r>
    </w:p>
    <w:p>
      <w:pPr>
        <w:spacing w:after="80"/>
      </w:pPr>
      <w:r>
        <w:rPr>
          <w:b/>
          <w:i/>
        </w:rPr>
        <w:t>Làm giàu dữ liệu đến ít hơn từ việc mở rộng khối lượng mà nhiều hơn từ việc tăng độ chính xác, độ bao phủ và tính kết nối—liên kết những dữ liệu trước đây bị cô lập</w:t>
      </w:r>
      <w:r>
        <w:rPr>
          <w:b/>
          <w:i w:val="0"/>
        </w:rPr>
        <w:t>.</w:t>
      </w:r>
    </w:p>
    <w:p>
      <w:pPr>
        <w:spacing w:after="80"/>
      </w:pPr>
      <w:r>
        <w:rPr>
          <w:b w:val="0"/>
          <w:i w:val="0"/>
        </w:rPr>
        <w:t>Ví dụ, một nhà sản xuất hợp nhất các chỉ số cảm biến với nhật ký bảo trì để tương quan các điều kiện dẫn đến hỏng hóc. Một nhà bán lẻ kết hợp giao dịch, sự kiện chuỗi cung ứng và tín hiệu marketing để dự đoán cả tình trạng hết hàng lẫn tỷ lệ chuyển đổi trong một góc nhìn duy nhất. Trong mỗi trường hợp, bước đột phá đến từ ngữ cảnh, chứ không phải từ kích thước dữ liệu thuần túy.</w:t>
      </w:r>
    </w:p>
    <w:p>
      <w:pPr>
        <w:spacing w:after="80"/>
      </w:pPr>
      <w:r>
        <w:rPr>
          <w:b w:val="0"/>
          <w:i w:val="0"/>
        </w:rPr>
        <w:t>Toyota Motor North America đã khai mở giá trị vượt trội khi tạo ra một ID khách hàng duy nhất bao trùm lịch sử mua hàng, lượt ghé đại lý, sửa chữa, phụ kiện, tài chính và các tương tác kỹ thuật số—mang lại hiệu suất cao hơn nhiều cho các mô hình vận hành khác nhau của họ.</w:t>
      </w:r>
    </w:p>
    <w:p>
      <w:pPr>
        <w:spacing w:after="80"/>
      </w:pPr>
      <w:r>
        <w:rPr>
          <w:b w:val="0"/>
          <w:i w:val="0"/>
        </w:rPr>
        <w:t>Giá trị tích lũy nhanh nhất đến từ vòng phản hồi khép kín. Đây là cách "bánh đà học hỏi" (learning flywheel) tăng tốc. Khi đầu ra của mô hình được chỉnh sửa, hệ thống học được câu trả lời đúng. Những chỉnh sửa đó được lưu trữ cùng với dữ liệu, nên mô hình trở nên chính xác hơn vào lần sau.</w:t>
      </w:r>
    </w:p>
    <w:p>
      <w:pPr>
        <w:spacing w:after="80"/>
      </w:pPr>
      <w:r>
        <w:rPr>
          <w:b w:val="0"/>
          <w:i w:val="0"/>
        </w:rPr>
        <w:t>Mỗi chu kỳ làm tăng khả năng tái sử dụng của dữ liệu, kéo dài vòng đời hữu ích của nó và mở rộng khoảng cách cạnh tranh với các công ty dựa vào nguồn dữ liệu tĩnh, bị chia cắt hoặc của bên thứ ba.</w:t>
      </w:r>
    </w:p>
    <w:p>
      <w:pPr>
        <w:pStyle w:val="Heading2"/>
      </w:pPr>
      <w:r>
        <w:rPr>
          <w:rFonts w:ascii="Calibri" w:hAnsi="Calibri"/>
          <w:b/>
          <w:i w:val="0"/>
          <w:sz w:val="32"/>
        </w:rPr>
        <w:t>Dữ liệu như một lớp tài sản được quản lý một cách rõ ràng</w:t>
      </w:r>
    </w:p>
    <w:p>
      <w:pPr>
        <w:spacing w:after="80"/>
      </w:pPr>
      <w:r>
        <w:rPr>
          <w:b w:val="0"/>
          <w:i w:val="0"/>
        </w:rPr>
        <w:t>Khi AI định hình lại mọi ngành công nghiệp, các đội ngũ lãnh đạo sẽ cần đánh giá “tài sản dữ liệu” (data estate) của mình giống như cách họ đánh giá mạng lưới nhà máy hay bằng sáng chế: Chúng ta sở hữu những dữ liệu độc quyền nào? Lỗ hổng nằm ở đâu? Những luồng dữ liệu mới nào chúng ta phải tạo ra để luôn dẫn đầu?</w:t>
      </w:r>
    </w:p>
    <w:p>
      <w:pPr>
        <w:spacing w:after="80"/>
      </w:pPr>
      <w:r>
        <w:rPr>
          <w:b w:val="0"/>
          <w:i w:val="0"/>
        </w:rPr>
        <w:t>Các công ty có tầm nhìn xa đang bắt đầu xây dựng những kế hoạch đầu tư dữ liệu rõ ràng—đánh giá chất lượng, tính độc đáo và giá trị kinh doanh của tài sản dữ liệu, rồi phân bổ nguồn lực cho những bộ dữ liệu (dataset) có thể cải thiện nhiều nhất việc định giá, trải nghiệm khách hàng, hiệu quả vận hành hoặc các quyết định về rủi ro.</w:t>
      </w:r>
    </w:p>
    <w:p>
      <w:pPr>
        <w:spacing w:after="80"/>
      </w:pPr>
      <w:r>
        <w:rPr>
          <w:b/>
          <w:i/>
        </w:rPr>
        <w:t>Nếu một kế hoạch chiến lược có lộ trình đầu tư vốn (capex) 5 năm cho tài sản hữu hình nhưng lại không có lộ trình cho tài sản dữ liệu—thứ sẽ vận hành các mô hình AI tương lai—thì công ty đó đang quản lý dưới mức nguồn lợi thế có khả năng mở rộng nhất của mình</w:t>
      </w:r>
      <w:r>
        <w:rPr>
          <w:b/>
          <w:i w:val="0"/>
        </w:rPr>
        <w:t>.</w:t>
      </w:r>
    </w:p>
    <w:p>
      <w:pPr>
        <w:spacing w:after="80"/>
      </w:pPr>
      <w:r>
        <w:rPr>
          <w:b w:val="0"/>
          <w:i w:val="0"/>
        </w:rPr>
        <w:t>Những nguyên tắc sau đây—cùng với những câu hỏi tương ứng để kiểm tra mức độ thực hành các nguyên tắc này—phân biệt những công ty quản lý dữ liệu như nguồn vốn sinh lời với những công ty chỉ coi dữ liệu là sản phẩm phụ:</w:t>
      </w:r>
    </w:p>
    <w:p>
      <w:pPr>
        <w:spacing w:after="80"/>
        <w:ind w:left="360"/>
      </w:pPr>
      <w:r>
        <w:t xml:space="preserve">1. </w:t>
      </w:r>
      <w:r>
        <w:rPr>
          <w:b/>
          <w:i w:val="0"/>
        </w:rPr>
        <w:t>Xác định dữ liệu tạo khác biệt.</w:t>
      </w:r>
      <w:r>
        <w:rPr>
          <w:b w:val="0"/>
          <w:i w:val="0"/>
        </w:rPr>
        <w:t xml:space="preserve"> Các lãnh đạo cấp cao của bạn có khả năng nhận diện những tài sản dữ liệu ảnh hưởng nhiều nhất đến năng lực cạnh tranh của bạn (tương tác khách hàng, hiệu suất sản phẩm hay độ tin cậy của chuỗi cung ứng) không? Họ có thể đưa ra nhận định về tình trạng của chúng không?</w:t>
      </w:r>
    </w:p>
    <w:p>
      <w:pPr>
        <w:spacing w:after="80"/>
        <w:ind w:left="360"/>
      </w:pPr>
      <w:r>
        <w:t xml:space="preserve">2. </w:t>
      </w:r>
      <w:r>
        <w:rPr>
          <w:b/>
          <w:i w:val="0"/>
        </w:rPr>
        <w:t>Giao quyền sở hữu vận hành.</w:t>
      </w:r>
      <w:r>
        <w:rPr>
          <w:b w:val="0"/>
          <w:i w:val="0"/>
        </w:rPr>
        <w:t xml:space="preserve"> Bạn có những lãnh đạo kinh doanh cấp cao chịu trách nhiệm về tình trạng của dữ liệu mà họ sở hữu/tạo ra không? Bạn giữ họ có trách nhiệm về chất lượng, độ mới, nguồn gốc (lineage) và tính dễ sử dụng của dữ liệu như thế nào?</w:t>
      </w:r>
    </w:p>
    <w:p>
      <w:pPr>
        <w:spacing w:after="80"/>
        <w:ind w:left="360"/>
      </w:pPr>
      <w:r>
        <w:t xml:space="preserve">3. </w:t>
      </w:r>
      <w:r>
        <w:rPr>
          <w:b/>
          <w:i w:val="0"/>
        </w:rPr>
        <w:t>Đầu tư vào công cụ thu thập, không phải vào việc gom dữ liệu.</w:t>
      </w:r>
      <w:r>
        <w:rPr>
          <w:b w:val="0"/>
          <w:i w:val="0"/>
        </w:rPr>
        <w:t xml:space="preserve"> Bạn có đang đủ mạnh dạn hướng chi tiêu cho dữ liệu vào việc thu thập, gán nhãn và xin sự đồng thuận tự động ngay tại điểm công việc diễn ra, thay vì tránh những chương trình làm sạch dữ liệu một lần rồi mai một sau khi dự án kết thúc không?</w:t>
      </w:r>
    </w:p>
    <w:p>
      <w:pPr>
        <w:spacing w:after="80"/>
        <w:ind w:left="360"/>
      </w:pPr>
      <w:r>
        <w:t xml:space="preserve">4. </w:t>
      </w:r>
      <w:r>
        <w:rPr>
          <w:b/>
          <w:i w:val="0"/>
        </w:rPr>
        <w:t>Yêu cầu đầu tư vào việc làm giàu dữ liệu.</w:t>
      </w:r>
      <w:r>
        <w:rPr>
          <w:b w:val="0"/>
          <w:i w:val="0"/>
        </w:rPr>
        <w:t xml:space="preserve"> Bạn có nhận được những đề xuất làm giàu dữ liệu (data enrichment) chu đáo từ các lãnh đạo cấp cao của mình không? Họ có nêu chính xác cách họ sẽ củng cố thêm lợi thế cạnh tranh của bạn không?</w:t>
      </w:r>
    </w:p>
    <w:p>
      <w:pPr>
        <w:spacing w:after="80"/>
        <w:ind w:left="360"/>
      </w:pPr>
      <w:r>
        <w:t xml:space="preserve">5. </w:t>
      </w:r>
      <w:r>
        <w:rPr>
          <w:b/>
          <w:i w:val="0"/>
        </w:rPr>
        <w:t>Đo lường việc tái sử dụng và ROI.</w:t>
      </w:r>
      <w:r>
        <w:rPr>
          <w:b w:val="0"/>
          <w:i w:val="0"/>
        </w:rPr>
        <w:t xml:space="preserve"> Bạn có thể đo lường tần suất các bộ dữ liệu cốt lõi được tái sử dụng trong các mô hình AI và quyết định, chi phí duy trì chúng, và hiệu suất gia tăng mà chúng mang lại không? Bạn có đang dùng thông tin này để định hướng các khoản đầu tư dữ liệu trong tương lai không?</w:t>
      </w:r>
    </w:p>
    <w:p>
      <w:pPr>
        <w:spacing w:after="80"/>
      </w:pPr>
      <w:r>
        <w:rPr>
          <w:b w:val="0"/>
          <w:i w:val="0"/>
        </w:rPr>
        <w:t>Walmart đã tạo ra nền tảng dữ liệu Luminate (được đổi tên thành Scintilla) để tích hợp dữ liệu bán hàng, tồn kho và tương tác số của chính mình—mang lại cho họ khả năng nhìn thấu hành vi người tiêu dùng mà ngay cả những nhà cung cấp lớn nhất của họ cũng không có.</w:t>
      </w:r>
    </w:p>
    <w:p>
      <w:pPr>
        <w:spacing w:after="80"/>
      </w:pPr>
      <w:r>
        <w:rPr>
          <w:b w:val="0"/>
          <w:i w:val="0"/>
        </w:rPr>
        <w:t>Tesla coi dữ liệu từ xa của xe (vehicle telemetry) là tài sản cốt lõi: mỗi dặm lái xe tạo ra dữ liệu huấn luyện độc quyền, liên tục cải thiện các mô hình autopilot và full self-driving của họ, tạo nên một bánh đà học hỏi mà ít đối thủ nào có thể sao chép.</w:t>
      </w:r>
    </w:p>
    <w:p>
      <w:pPr>
        <w:jc w:val="center"/>
      </w:pPr>
      <w:r>
        <w:drawing>
          <wp:inline xmlns:a="http://schemas.openxmlformats.org/drawingml/2006/main" xmlns:pic="http://schemas.openxmlformats.org/drawingml/2006/picture">
            <wp:extent cx="1905000" cy="95250"/>
            <wp:docPr id="171" name="Picture 171"/>
            <wp:cNvGraphicFramePr>
              <a:graphicFrameLocks noChangeAspect="1"/>
            </wp:cNvGraphicFramePr>
            <a:graphic>
              <a:graphicData uri="http://schemas.openxmlformats.org/drawingml/2006/picture">
                <pic:pic>
                  <pic:nvPicPr>
                    <pic:cNvPr id="0" name="CHAPTEREND_RULE_green.png"/>
                    <pic:cNvPicPr/>
                  </pic:nvPicPr>
                  <pic:blipFill>
                    <a:blip r:embed="rId116"/>
                    <a:stretch>
                      <a:fillRect/>
                    </a:stretch>
                  </pic:blipFill>
                  <pic:spPr>
                    <a:xfrm>
                      <a:off x="0" y="0"/>
                      <a:ext cx="1905000" cy="95250"/>
                    </a:xfrm>
                    <a:prstGeom prst="rect"/>
                  </pic:spPr>
                </pic:pic>
              </a:graphicData>
            </a:graphic>
          </wp:inline>
        </w:drawing>
      </w:r>
    </w:p>
    <w:p>
      <w:pPr>
        <w:spacing w:after="80"/>
      </w:pPr>
      <w:r>
        <w:rPr>
          <w:b w:val="0"/>
          <w:i w:val="0"/>
        </w:rPr>
        <w:t>Các công ty dẫn đầu không chỉ thu thập dữ liệu—họ đầu tư để tạo ra, làm giàu và vận hành nó, đưa những tín hiệu độc quyền vào các cỗ máy ra quyết định và quy trình làm việc hằng ngày. Đó là điều biến dữ liệu từ “khí thải số” (digital exhaust) thành một lợi thế chiến lược có thể phòng thủ.</w:t>
      </w:r>
    </w:p>
    <w:p>
      <w:pPr>
        <w:pStyle w:val="Heading1"/>
      </w:pPr>
      <w:r>
        <w:rPr>
          <w:rFonts w:ascii="Calibri" w:hAnsi="Calibri"/>
          <w:b/>
          <w:i w:val="0"/>
          <w:sz w:val="40"/>
        </w:rPr>
        <w:t>THỜI GIAN ĐỂ SUY NGẪM</w:t>
      </w:r>
    </w:p>
    <w:p>
      <w:pPr>
        <w:pStyle w:val="Heading2"/>
      </w:pPr>
      <w:r>
        <w:rPr>
          <w:rFonts w:ascii="Calibri" w:hAnsi="Calibri"/>
          <w:b/>
          <w:i w:val="0"/>
          <w:sz w:val="32"/>
        </w:rPr>
        <w:t>Điểm nổi bật</w:t>
      </w:r>
    </w:p>
    <w:p>
      <w:pPr>
        <w:spacing w:after="80"/>
      </w:pPr>
      <w:r>
        <w:rPr>
          <w:b w:val="0"/>
          <w:i w:val="0"/>
        </w:rPr>
        <w:t>Hãy dành một chút thời gian để tự nhắc mình những điểm quan trọng nhất từ phần này đối với bạn, và đánh giá xem bạn đang ở đâu trên hành trình chuyển đổi Công nghệ &amp; AI.</w:t>
      </w:r>
    </w:p>
    <w:p>
      <w:pPr>
        <w:spacing w:after="80"/>
      </w:pPr>
      <w:r>
        <w:rPr>
          <w:b/>
          <w:i w:val="0"/>
        </w:rPr>
        <w:t>Đừng bắt đầu từ dữ liệu, hãy bắt đầu từ giá trị.</w:t>
      </w:r>
      <w:r>
        <w:rPr>
          <w:b w:val="0"/>
          <w:i w:val="0"/>
        </w:rPr>
        <w:t xml:space="preserve"> Hãy dành thời gian để làm rõ những vấn đề kinh doanh (hoặc cơ hội) nào có thể mang lại giá trị đột phá lớn nhất với AI. Rồi từ đó lần ngược trở lại để xác định dữ liệu có thể mở khóa giá trị đó.</w:t>
      </w:r>
    </w:p>
    <w:p>
      <w:pPr>
        <w:spacing w:after="80"/>
      </w:pPr>
      <w:r>
        <w:rPr>
          <w:b/>
          <w:i w:val="0"/>
        </w:rPr>
        <w:t>Kiến trúc dữ liệu riêng.</w:t>
      </w:r>
      <w:r>
        <w:rPr>
          <w:b w:val="0"/>
          <w:i w:val="0"/>
        </w:rPr>
        <w:t xml:space="preserve"> Bạn có thể mô tả kiến trúc dữ liệu của mình và cách nó tạo ra sự khác biệt cạnh tranh không? Các lãnh đạo cấp cao phải nắm vững nền tảng quan trọng này vì nó định hình khả năng cạnh tranh trong một thế giới vận hành bằng AI.</w:t>
      </w:r>
    </w:p>
    <w:p>
      <w:pPr>
        <w:spacing w:after="80"/>
      </w:pPr>
      <w:r>
        <w:rPr>
          <w:b/>
          <w:i w:val="0"/>
        </w:rPr>
        <w:t>Sản phẩm dữ liệu là công thức bí mật để mở rộng quy mô AI.</w:t>
      </w:r>
      <w:r>
        <w:rPr>
          <w:b w:val="0"/>
          <w:i w:val="0"/>
        </w:rPr>
        <w:t xml:space="preserve"> Các đội nhóm đóng gói dữ liệu thành những “sản phẩm” có thể tái sử dụng, cho phép sử dụng và tái kết hợp trong vô vàn tình huống ứng dụng. Sản phẩm dữ liệu giúp dữ liệu dễ tìm, đáng tin và dễ sử dụng hơn.</w:t>
      </w:r>
    </w:p>
    <w:p>
      <w:pPr>
        <w:spacing w:after="80"/>
      </w:pPr>
      <w:r>
        <w:rPr>
          <w:b/>
          <w:i w:val="0"/>
        </w:rPr>
        <w:t>Quản trị dữ liệu giờ đây không còn là chuyện kiểm soát; mà là chuyện mở khóa giá trị ở quy mô lớn.</w:t>
      </w:r>
      <w:r>
        <w:rPr>
          <w:b w:val="0"/>
          <w:i w:val="0"/>
        </w:rPr>
        <w:t xml:space="preserve"> Những nhà lãnh đạo coi quản trị là đòn bẩy tăng tốc—chứ không phải rào chắn—sẽ triển khai mô hình nhanh hơn, ít phải làm lại hơn, và mức độ ứng dụng các giải pháp AI cao hơn hẳn.</w:t>
      </w:r>
    </w:p>
    <w:p>
      <w:pPr>
        <w:spacing w:after="80"/>
      </w:pPr>
      <w:r>
        <w:rPr>
          <w:b/>
          <w:i w:val="0"/>
        </w:rPr>
        <w:t>Tự động hóa, tự động hóa, tự động hóa.</w:t>
      </w:r>
      <w:r>
        <w:rPr>
          <w:b w:val="0"/>
          <w:i w:val="0"/>
        </w:rPr>
        <w:t xml:space="preserve"> Trong thế giới AI, bảo vệ dữ liệu không thể phụ thuộc vào ý thức hay các biện pháp kiểm soát sau khi sự việc đã xảy ra; nó phải được tích hợp trực tiếp vào cách máy móc truy cập, kết hợp, suy luận từ và tạo sinh dữ liệu. Giải pháp chính là tự động hóa ở cấp nền tảng, ngay trong lúc dữ liệu đang được sử dụng.</w:t>
      </w:r>
    </w:p>
    <w:p>
      <w:pPr>
        <w:spacing w:after="80"/>
      </w:pPr>
      <w:r>
        <w:rPr>
          <w:b/>
          <w:i w:val="0"/>
        </w:rPr>
        <w:t>Quản lý dữ liệu như một loại tài sản chiến lược.</w:t>
      </w:r>
      <w:r>
        <w:rPr>
          <w:b w:val="0"/>
          <w:i w:val="0"/>
        </w:rPr>
        <w:t xml:space="preserve"> Những công ty giỏi nhất luôn rõ ràng về việc dữ liệu nào là nền tảng cho sự khác biệt của họ. Họ trang bị hệ thống để thu thập, làm giàu và duy trì dữ liệu này ở quy mô lớn. Họ chủ động định hướng đầu tư để tạo ra và làm giàu dữ liệu độc quyền của mình, giống như họ làm với bất kỳ loại tài sản nào khác.</w:t>
      </w:r>
    </w:p>
    <w:p>
      <w:pPr>
        <w:pStyle w:val="Heading2"/>
      </w:pPr>
      <w:r>
        <w:rPr>
          <w:rFonts w:ascii="Calibri" w:hAnsi="Calibri"/>
          <w:b/>
          <w:i w:val="0"/>
          <w:sz w:val="32"/>
        </w:rPr>
        <w:t>Bạn đang ở đâu trên hành trình này?</w:t>
      </w:r>
    </w:p>
    <w:p>
      <w:pPr>
        <w:spacing w:after="80"/>
      </w:pPr>
      <w:r>
        <w:rPr>
          <w:b w:val="0"/>
          <w:i w:val="0"/>
        </w:rPr>
        <w:t>Những câu hỏi này có thể giúp bạn nhìn rõ mình đang ở đâu trên hành trình so với những đơn vị dẫn đầu. Quét mã QR ở cuối nếu bạn muốn làm bài đánh giá trực tuyến:</w:t>
      </w:r>
    </w:p>
    <w:p>
      <w:pPr>
        <w:spacing w:after="80"/>
      </w:pPr>
      <w:r>
        <w:rPr>
          <w:b/>
          <w:i w:val="0"/>
        </w:rPr>
        <w:t>Câu 1. Công ty bạn có rõ về loại dữ liệu nào là quan trọng nhất để mở khóa giá trị kinh doanh thông qua AI không?</w:t>
      </w:r>
    </w:p>
    <w:p>
      <w:pPr>
        <w:spacing w:after="80"/>
      </w:pPr>
      <w:r>
        <w:rPr>
          <w:b/>
          <w:i w:val="0"/>
        </w:rPr>
        <w:t>Dẫn đầu thị trường:</w:t>
      </w:r>
      <w:r>
        <w:rPr>
          <w:b w:val="0"/>
          <w:i w:val="0"/>
        </w:rPr>
        <w:t xml:space="preserve"> Chúng tôi đã xác định và đánh giá được dữ liệu sẽ vận hành các giải pháp AI trong những lĩnh vực kinh doanh ưu tiên của mình. Và chúng tôi có lộ trình rõ ràng để làm cho dữ liệu sạch sẽ và dễ truy cập.</w:t>
      </w:r>
    </w:p>
    <w:p>
      <w:pPr>
        <w:spacing w:after="80"/>
      </w:pPr>
      <w:r>
        <w:rPr>
          <w:b/>
          <w:i w:val="0"/>
        </w:rPr>
        <w:t>Câu 2. Công ty bạn đã thiết kế kiến trúc nền tảng dữ liệu để giúp các đội nhóm làm việc nhanh hơn, nâng cao khả năng tái sử dụng trong toàn doanh nghiệp và tăng tốc đổi mới sáng tạo chưa?</w:t>
      </w:r>
    </w:p>
    <w:p>
      <w:pPr>
        <w:spacing w:after="80"/>
      </w:pPr>
      <w:r>
        <w:rPr>
          <w:b/>
          <w:i w:val="0"/>
        </w:rPr>
        <w:t>Dẫn đầu thị trường:</w:t>
      </w:r>
      <w:r>
        <w:rPr>
          <w:b w:val="0"/>
          <w:i w:val="0"/>
        </w:rPr>
        <w:t xml:space="preserve"> Chúng tôi đã xây dựng một nền tảng dữ liệu dạng mô-đun, thuần cloud (cloud-native), cung cấp các năng lực dùng chung—thu nạp, lưu trữ, xử lý, bảo mật và truy cập—mà các đội nhóm có thể tái sử dụng xuyên suốt các lĩnh vực, giúp rút ngắn đáng kể thời gian xây dựng các giải pháp Công nghệ &amp; AI mới.</w:t>
      </w:r>
    </w:p>
    <w:p>
      <w:pPr>
        <w:spacing w:after="80"/>
      </w:pPr>
      <w:r>
        <w:rPr>
          <w:b/>
          <w:i w:val="0"/>
        </w:rPr>
        <w:t>Câu 3. Bạn đã định nghĩa và vận hành hóa các sản phẩm dữ liệu để giúp con người, mô hình và ứng dụng của mình tiêu thụ dữ liệu dễ dàng hơn chưa?</w:t>
      </w:r>
    </w:p>
    <w:p>
      <w:pPr>
        <w:spacing w:after="80"/>
      </w:pPr>
      <w:r>
        <w:rPr>
          <w:b/>
          <w:i w:val="0"/>
        </w:rPr>
        <w:t>Dẫn đầu thị trường:</w:t>
      </w:r>
      <w:r>
        <w:rPr>
          <w:b w:val="0"/>
          <w:i w:val="0"/>
        </w:rPr>
        <w:t xml:space="preserve"> Chúng tôi có một danh mục sản phẩm dữ liệu được thiết kế bài bản, mỗi sản phẩm đều có chủ sở hữu xác định, tiêu chuẩn chất lượng, giao diện truy cập và chỉ số sử dụng, giúp dữ liệu đáng tin cậy trở nên dễ khám phá, dễ hiểu, dễ truy cập và dễ tiêu thụ đối với các chuyên viên phân tích, ứng dụng và mô hình AI.</w:t>
      </w:r>
    </w:p>
    <w:p>
      <w:pPr>
        <w:spacing w:after="80"/>
      </w:pPr>
      <w:r>
        <w:rPr>
          <w:b/>
          <w:i w:val="0"/>
        </w:rPr>
        <w:t>Câu 4: Công ty bạn có được tổ chức hiệu quả để quản lý và quản trị dữ liệu tốt không?</w:t>
      </w:r>
    </w:p>
    <w:p>
      <w:pPr>
        <w:spacing w:after="80"/>
      </w:pPr>
      <w:r>
        <w:rPr>
          <w:b/>
          <w:i w:val="0"/>
        </w:rPr>
        <w:t>Dẫn đầu thị trường:</w:t>
      </w:r>
      <w:r>
        <w:rPr>
          <w:b w:val="0"/>
          <w:i w:val="0"/>
        </w:rPr>
        <w:t xml:space="preserve"> Chúng tôi có trách nhiệm giải trình rõ ràng về dữ liệu trên toàn tổ chức, với quyền sở hữu sản phẩm dữ liệu do khối kinh doanh dẫn dắt, đội ngũ quản lý chất lượng và rủi ro dữ liệu ở cấp lĩnh vực, cùng cơ chế quản trị tinh gọn cho phép ra quyết định nhanh chóng mà vẫn đáp ứng các yêu cầu về quy định và bảo mật.</w:t>
      </w:r>
    </w:p>
    <w:p>
      <w:pPr>
        <w:spacing w:after="80"/>
      </w:pPr>
      <w:r>
        <w:rPr>
          <w:b/>
          <w:i w:val="0"/>
        </w:rPr>
        <w:t>Câu 5: Công ty bạn đã xây dựng tự động hóa ở cấp nền tảng để kiểm soát cách máy móc truy cập, kết hợp, suy luận từ và tạo sinh dữ liệu chưa?</w:t>
      </w:r>
    </w:p>
    <w:p>
      <w:pPr>
        <w:spacing w:after="80"/>
      </w:pPr>
      <w:r>
        <w:rPr>
          <w:b/>
          <w:i w:val="0"/>
        </w:rPr>
        <w:t>Hàng đầu:</w:t>
      </w:r>
      <w:r>
        <w:rPr>
          <w:b w:val="0"/>
          <w:i w:val="0"/>
        </w:rPr>
        <w:t xml:space="preserve"> Chúng tôi đã xây dựng các kiểm soát tự động, dựa trên chính sách xuyên suốt các nền tảng dữ liệu và AI của mình để máy móc có thể truy cập, sử dụng và tạo dữ liệu một cách an toàn và ở quy mô lớn.</w:t>
      </w:r>
    </w:p>
    <w:p>
      <w:pPr>
        <w:spacing w:after="80"/>
      </w:pPr>
      <w:r>
        <w:rPr>
          <w:b/>
          <w:i w:val="0"/>
        </w:rPr>
        <w:t>Câu hỏi 6: Các lãnh đạo cấp cao của bạn có quản lý dữ liệu như một loại tài sản chiến lược không?</w:t>
      </w:r>
    </w:p>
    <w:p>
      <w:pPr>
        <w:spacing w:after="80"/>
      </w:pPr>
      <w:r>
        <w:rPr>
          <w:b/>
          <w:i w:val="0"/>
        </w:rPr>
        <w:t>Hàng đầu:</w:t>
      </w:r>
      <w:r>
        <w:rPr>
          <w:b w:val="0"/>
          <w:i w:val="0"/>
        </w:rPr>
        <w:t xml:space="preserve"> Các lãnh đạo cấp cao chủ động quyết định nơi đầu tư vào dữ liệu độc quyền, lý do nó quan trọng đối với lợi thế cạnh tranh, và cách giá trị sẽ được nắm bắt với cùng mức độ nghiêm ngặt như các quyết định về vốn, sản phẩm và M&amp;A.</w:t>
      </w:r>
    </w:p>
    <w:p>
      <w:pPr>
        <w:jc w:val="center"/>
      </w:pPr>
      <w:r>
        <w:drawing>
          <wp:inline xmlns:a="http://schemas.openxmlformats.org/drawingml/2006/main" xmlns:pic="http://schemas.openxmlformats.org/drawingml/2006/picture">
            <wp:extent cx="1981199" cy="1981199"/>
            <wp:docPr id="172" name="Picture 172"/>
            <wp:cNvGraphicFramePr>
              <a:graphicFrameLocks noChangeAspect="1"/>
            </wp:cNvGraphicFramePr>
            <a:graphic>
              <a:graphicData uri="http://schemas.openxmlformats.org/drawingml/2006/picture">
                <pic:pic>
                  <pic:nvPicPr>
                    <pic:cNvPr id="0" name="c29qr001.png"/>
                    <pic:cNvPicPr/>
                  </pic:nvPicPr>
                  <pic:blipFill>
                    <a:blip r:embed="rId131"/>
                    <a:stretch>
                      <a:fillRect/>
                    </a:stretch>
                  </pic:blipFill>
                  <pic:spPr>
                    <a:xfrm>
                      <a:off x="0" y="0"/>
                      <a:ext cx="1981199" cy="1981199"/>
                    </a:xfrm>
                    <a:prstGeom prst="rect"/>
                  </pic:spPr>
                </pic:pic>
              </a:graphicData>
            </a:graphic>
          </wp:inline>
        </w:drawing>
      </w:r>
    </w:p>
    <w:p>
      <w:pPr>
        <w:spacing w:after="80"/>
      </w:pPr>
      <w:r>
        <w:rPr>
          <w:b/>
          <w:i w:val="0"/>
        </w:rPr>
        <w:t xml:space="preserve">Hãy làm bài đánh giá </w:t>
      </w:r>
      <w:r>
        <w:rPr>
          <w:b/>
          <w:i/>
        </w:rPr>
        <w:t>Rewired</w:t>
      </w:r>
    </w:p>
    <w:p>
      <w:pPr>
        <w:spacing w:after="80"/>
      </w:pPr>
      <w:r>
        <w:rPr>
          <w:b/>
          <w:i w:val="0"/>
        </w:rPr>
        <w:t>McKinsey.com/RewiredAssessment</w:t>
      </w:r>
    </w:p>
    <w:p>
      <w:pPr>
        <w:pStyle w:val="Heading1"/>
      </w:pPr>
      <w:r>
        <w:rPr>
          <w:rFonts w:ascii="Calibri" w:hAnsi="Calibri"/>
          <w:b/>
          <w:i w:val="0"/>
          <w:sz w:val="40"/>
        </w:rPr>
        <w:t>MỤC SÁU</w:t>
      </w:r>
      <w:r>
        <w:rPr>
          <w:rFonts w:ascii="Calibri" w:hAnsi="Calibri"/>
          <w:b/>
          <w:i w:val="0"/>
          <w:sz w:val="40"/>
        </w:rPr>
      </w:r>
      <w:r>
        <w:rPr>
          <w:rFonts w:ascii="Calibri" w:hAnsi="Calibri"/>
          <w:b/>
          <w:i w:val="0"/>
          <w:sz w:val="40"/>
        </w:rPr>
        <w:t>Chấp nhận và Mở rộng quy mô: Những đòn bẩy sức mạnh của bạn</w:t>
      </w:r>
    </w:p>
    <w:p>
      <w:pPr>
        <w:jc w:val="center"/>
      </w:pPr>
      <w:r>
        <w:drawing>
          <wp:inline xmlns:a="http://schemas.openxmlformats.org/drawingml/2006/main" xmlns:pic="http://schemas.openxmlformats.org/drawingml/2006/picture">
            <wp:extent cx="5486400" cy="3429000"/>
            <wp:docPr id="173" name="Picture 173"/>
            <wp:cNvGraphicFramePr>
              <a:graphicFrameLocks noChangeAspect="1"/>
            </wp:cNvGraphicFramePr>
            <a:graphic>
              <a:graphicData uri="http://schemas.openxmlformats.org/drawingml/2006/picture">
                <pic:pic>
                  <pic:nvPicPr>
                    <pic:cNvPr id="0" name="p06f001.png"/>
                    <pic:cNvPicPr/>
                  </pic:nvPicPr>
                  <pic:blipFill>
                    <a:blip r:embed="rId132"/>
                    <a:stretch>
                      <a:fillRect/>
                    </a:stretch>
                  </pic:blipFill>
                  <pic:spPr>
                    <a:xfrm>
                      <a:off x="0" y="0"/>
                      <a:ext cx="5486400" cy="3429000"/>
                    </a:xfrm>
                    <a:prstGeom prst="rect"/>
                  </pic:spPr>
                </pic:pic>
              </a:graphicData>
            </a:graphic>
          </wp:inline>
        </w:drawing>
      </w:r>
    </w:p>
    <w:p>
      <w:pPr>
        <w:pStyle w:val="Heading2"/>
      </w:pPr>
      <w:r>
        <w:rPr>
          <w:rFonts w:ascii="Calibri" w:hAnsi="Calibri"/>
          <w:b/>
          <w:i w:val="0"/>
          <w:sz w:val="32"/>
        </w:rPr>
        <w:t>Giá trị thực sự chỉ xảy ra khi mọi người sử dụng các giải pháp AI của bạn và bạn có thể mở rộng chúng ở mọi nơi</w:t>
      </w:r>
    </w:p>
    <w:p>
      <w:pPr>
        <w:spacing w:after="80"/>
      </w:pPr>
      <w:r>
        <w:rPr>
          <w:b w:val="0"/>
          <w:i/>
        </w:rPr>
        <w:t>Với sự cộng tác của Sandra Durth và Brooke Weddle</w:t>
      </w:r>
    </w:p>
    <w:p>
      <w:pPr>
        <w:spacing w:after="80"/>
      </w:pPr>
      <w:r>
        <w:rPr>
          <w:b w:val="0"/>
          <w:i w:val="0"/>
        </w:rPr>
        <w:t>Một nhóm các nhà lãnh đạo hàng đầu đang tụ họp trong một căn phòng. Có những tiếng trò chuyện háo hức. Nhóm giải pháp sắp trình diễn AI agent mới nhất của họ. Trưởng nhóm kỹ thuật đang chia sẻ màn hình của cô ấy, được chiếu lên phía trước căn phòng.</w:t>
      </w:r>
    </w:p>
    <w:p>
      <w:pPr>
        <w:spacing w:after="80"/>
      </w:pPr>
      <w:r>
        <w:rPr>
          <w:b w:val="0"/>
          <w:i w:val="0"/>
        </w:rPr>
        <w:t>"Điều này sẽ hoàn toàn thay đổi cách chúng ta làm kinh doanh," vị CEO nói, háo hức chờ xem phần trình diễn.</w:t>
      </w:r>
    </w:p>
    <w:p>
      <w:pPr>
        <w:spacing w:after="80"/>
      </w:pPr>
      <w:r>
        <w:rPr>
          <w:b w:val="0"/>
          <w:i w:val="0"/>
        </w:rPr>
        <w:t>Trưởng nhóm kỹ thuật yêu cầu AI agent truy xuất một số tài liệu, tổng hợp những điểm quan trọng nhất, và đề xuất các hành động tiếp theo cần thực hiện. Vòng tròn xoay xuất hiện trên màn hình khi agent "xử lý" lệnh. Có vài tiếng cười hồi hộp trong phòng, nhưng agent nhanh chóng trở lại với một bản tổng hợp và vài đề xuất tốt.</w:t>
      </w:r>
    </w:p>
    <w:p>
      <w:pPr>
        <w:spacing w:after="80"/>
      </w:pPr>
      <w:r>
        <w:rPr>
          <w:b w:val="0"/>
          <w:i w:val="0"/>
        </w:rPr>
        <w:t>Nhiều người lần lượt đặt câu hỏi, và AI agent đưa ra những câu trả lời tốt.</w:t>
      </w:r>
    </w:p>
    <w:p>
      <w:pPr>
        <w:spacing w:after="80"/>
      </w:pPr>
      <w:r>
        <w:rPr>
          <w:b w:val="0"/>
          <w:i w:val="0"/>
        </w:rPr>
        <w:t>"Thật tuyệt vời," vị CEO nói. "Bao lâu nữa thì chúng ta triển khai điều này cho toàn bộ nhân viên và nó sẽ tăng năng suất của chúng ta lên bao nhiêu?"</w:t>
      </w:r>
    </w:p>
    <w:p>
      <w:pPr>
        <w:spacing w:after="80"/>
      </w:pPr>
      <w:r>
        <w:rPr>
          <w:b w:val="0"/>
          <w:i w:val="0"/>
        </w:rPr>
        <w:t>Hmmm. Câu hỏi hay đấy.</w:t>
      </w:r>
    </w:p>
    <w:p>
      <w:pPr>
        <w:spacing w:after="80"/>
      </w:pPr>
      <w:r>
        <w:rPr>
          <w:b w:val="0"/>
          <w:i w:val="0"/>
        </w:rPr>
        <w:t>Chúng ta đều từng ở trong những cuộc họp mà phần trình diễn không diễn ra suốt sẻ. Nhưng vấn đề phổ biến hơn—và tốn kém hơn—là phần trình diễn của một MVP diễn ra tốt đẹp, nhưng việc triển khai lại sụp đổ khi cố gắng mở rộng quy mô. Những thành công ban đầu thường che giấu những thách thức của việc mở rộng quy mô.</w:t>
      </w:r>
    </w:p>
    <w:p>
      <w:pPr>
        <w:spacing w:after="80"/>
      </w:pPr>
      <w:r>
        <w:rPr>
          <w:b w:val="0"/>
          <w:i w:val="0"/>
        </w:rPr>
        <w:t>Có rất nhiều lý do khiến các cuộc chuyển đổi bị đình trệ ở giai đoạn mở rộng quy mô, nhưng ba trong số những lý do quan trọng nhất (và thường gặp nhất) quy về:</w:t>
      </w:r>
    </w:p>
    <w:p>
      <w:pPr>
        <w:spacing w:after="80"/>
        <w:ind w:left="360"/>
      </w:pPr>
      <w:r>
        <w:t xml:space="preserve">1. </w:t>
      </w:r>
      <w:r>
        <w:rPr>
          <w:b w:val="0"/>
          <w:i w:val="0"/>
        </w:rPr>
        <w:t>MVP chỉ giải quyết một phần nhỏ trong một quy trình lớn hơn (ví dụ, bản demo chỉ cho thấy một AI agent đang hoạt động thay vì tất cả các agent khác cần thiết để thay đổi một quy trình làm việc).</w:t>
      </w:r>
    </w:p>
    <w:p>
      <w:pPr>
        <w:spacing w:after="80"/>
        <w:ind w:left="360"/>
      </w:pPr>
      <w:r>
        <w:t xml:space="preserve">2. </w:t>
      </w:r>
      <w:r>
        <w:rPr>
          <w:b w:val="0"/>
          <w:i w:val="0"/>
        </w:rPr>
        <w:t>MVP được xây dựng trên nền tảng công nghệ dùng một lần (chẳng hạn như các thiết lập công nghệ tạm bợ với dữ liệu trích xuất hạn chế và không tích hợp với các hệ thống cốt lõi).</w:t>
      </w:r>
    </w:p>
    <w:p>
      <w:pPr>
        <w:spacing w:after="80"/>
        <w:ind w:left="360"/>
      </w:pPr>
      <w:r>
        <w:t xml:space="preserve">3. </w:t>
      </w:r>
      <w:r>
        <w:rPr>
          <w:b w:val="0"/>
          <w:i w:val="0"/>
        </w:rPr>
        <w:t>Không có kế hoạch kích hoạt để đảm bảo MVP được đón nhận (ví dụ, các tính năng của MVP được xây dựng cho một nhóm nhỏ người dùng được chọn lọc thủ công).</w:t>
      </w:r>
    </w:p>
    <w:p>
      <w:pPr>
        <w:spacing w:after="80"/>
      </w:pPr>
      <w:r>
        <w:rPr>
          <w:b/>
          <w:i/>
        </w:rPr>
        <w:t>Phát triển một giải pháp công nghệ tốt là phần dễ dàng (nói một cách tương đối). Khiến mọi người sử dụng nó thường xuyên, và mở rộng nó trên toàn bộ tệp khách hàng, thị trường, hoặc nhà máy của bạn mới là nơi thách thức thực sự nằm ở đó. Và đó cũng chính là nơi giá trị được tạo ra</w:t>
      </w:r>
      <w:r>
        <w:rPr>
          <w:b/>
          <w:i w:val="0"/>
        </w:rPr>
        <w:t>.</w:t>
      </w:r>
    </w:p>
    <w:p>
      <w:pPr>
        <w:spacing w:after="80"/>
      </w:pPr>
      <w:r>
        <w:rPr>
          <w:b w:val="0"/>
          <w:i w:val="0"/>
        </w:rPr>
        <w:t>Giai đoạn đón nhận và mở rộng thường là nơi các chuyển đổi Công nghệ &amp; AI vấp ngã. Các công ty có xu hướng dồn phần lớn năng lượng vào việc phát triển các giải pháp và xem nhẹ những gì cần thiết để mở rộng chúng. Thường thì đó là vì việc phê duyệt đầu tư cho phát triển một giải pháp dễ hơn so với việc khiến nó mở rộng được. Nhưng đó là công thức chắc chắn dẫn đến việc không thấy được lợi nhuận từ khoản đầu tư của bạn.</w:t>
      </w:r>
    </w:p>
    <w:p>
      <w:pPr>
        <w:spacing w:after="80"/>
      </w:pPr>
      <w:r>
        <w:rPr>
          <w:b w:val="0"/>
          <w:i w:val="0"/>
        </w:rPr>
        <w:t>Theo nguyên tắc chung, cứ mỗi $1 bạn chi cho việc phát triển một giải pháp Công nghệ &amp; AI, hãy dự trù chi thêm $1 (và đôi khi nhiều hơn thế) cho hàng loạt hành động bạn cần thực hiện để đảm bảo nó được đón nhận và mở rộng.</w:t>
      </w:r>
    </w:p>
    <w:p>
      <w:pPr>
        <w:jc w:val="center"/>
      </w:pPr>
      <w:r>
        <w:drawing>
          <wp:inline xmlns:a="http://schemas.openxmlformats.org/drawingml/2006/main" xmlns:pic="http://schemas.openxmlformats.org/drawingml/2006/picture">
            <wp:extent cx="457200" cy="447675"/>
            <wp:docPr id="174" name="Picture 174"/>
            <wp:cNvGraphicFramePr>
              <a:graphicFrameLocks noChangeAspect="1"/>
            </wp:cNvGraphicFramePr>
            <a:graphic>
              <a:graphicData uri="http://schemas.openxmlformats.org/drawingml/2006/picture">
                <pic:pic>
                  <pic:nvPicPr>
                    <pic:cNvPr id="0" name="MANAGEMENT_TIP_blue.png"/>
                    <pic:cNvPicPr/>
                  </pic:nvPicPr>
                  <pic:blipFill>
                    <a:blip r:embed="rId133"/>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Hãy nghĩ về quản lý thay đổi theo hai chiều</w:t>
      </w:r>
    </w:p>
    <w:p>
      <w:pPr>
        <w:spacing w:after="80"/>
      </w:pPr>
      <w:r>
        <w:rPr>
          <w:b/>
          <w:i w:val="0"/>
        </w:rPr>
        <w:t>Cấp độ lĩnh vực.</w:t>
      </w:r>
      <w:r>
        <w:rPr>
          <w:b w:val="0"/>
          <w:i w:val="0"/>
        </w:rPr>
        <w:t xml:space="preserve"> Điều này liên quan đến việc đảm bảo các giải pháp được người dùng cuối đón nhận và mở rộng trên toàn doanh nghiệp (Chương 30). Nó đòi hỏi phải cấu hình lại các quy trình thượng nguồn và hạ nguồn để hiện thực hóa giá trị. Ví dụ, một giải pháp AI có thể dự đoán chính xác một sự cố thiết bị nhưng nếu việc bảo trì vẫn dựa trên lịch cố định, thì sẽ không có lợi ích nào được tạo ra.</w:t>
      </w:r>
    </w:p>
    <w:p>
      <w:pPr>
        <w:spacing w:after="80"/>
      </w:pPr>
      <w:r>
        <w:rPr>
          <w:b/>
          <w:i w:val="0"/>
        </w:rPr>
        <w:t>Cấp độ chuyển đổi.</w:t>
      </w:r>
      <w:r>
        <w:rPr>
          <w:b w:val="0"/>
          <w:i w:val="0"/>
        </w:rPr>
        <w:t xml:space="preserve"> Điều này liên quan đến việc giải quyết vấn đề hóc búa là nhân rộng các giải pháp trên các đơn vị tương tự nhưng không hoàn toàn giống nhau, chẳng hạn như các nhà máy, thị trường địa lý, phân khúc khách hàng, hoặc dòng sản phẩm (trọng tâm của các Chương 32, 33, 34, và 35).</w:t>
      </w:r>
    </w:p>
    <w:p>
      <w:pPr>
        <w:spacing w:after="80"/>
      </w:pPr>
      <w:r>
        <w:rPr>
          <w:b w:val="0"/>
          <w:i w:val="0"/>
        </w:rPr>
        <w:t>Một điều cần thừa nhận quan trọng: mặc dù chúng ta bàn về chủ đề đón nhận và mở rộng này ở phần cuối của cuốn sách, đừng nghĩ về nó như "bước cuối cùng". Điều quan trọng là phải suy nghĩ thấu đáo về những thách thức này ngay từ đầu quá trình chuyển đổi, khi các quyết định còn rẻ hơn và dễ đưa ra hơn. Một khi bạn đã đi xa hơn trên con đường, việc thay đổi sẽ khó khăn hơn nhiều.</w:t>
      </w:r>
    </w:p>
    <w:p>
      <w:pPr>
        <w:spacing w:after="80"/>
      </w:pPr>
      <w:r>
        <w:rPr>
          <w:b/>
          <w:i w:val="0"/>
        </w:rPr>
        <w:t>Chương 30. Khiến việc đón nhận trở nên bền vững.</w:t>
      </w:r>
      <w:r>
        <w:rPr>
          <w:b w:val="0"/>
          <w:i w:val="0"/>
        </w:rPr>
        <w:t xml:space="preserve"> Để nắm bắt giá trị, bạn cần vượt ra ngoài việc giải quyết nhu cầu người dùng để thay đổi mô hình kinh doanh cốt lõi—một kỷ luật quan trọng mà nhiều người bỏ qua.</w:t>
      </w:r>
    </w:p>
    <w:p>
      <w:pPr>
        <w:spacing w:after="80"/>
      </w:pPr>
      <w:r>
        <w:rPr>
          <w:b/>
          <w:i w:val="0"/>
        </w:rPr>
        <w:t>Chương 31. Thiết kế giải pháp để mở rộng và tái sử dụng.</w:t>
      </w:r>
      <w:r>
        <w:rPr>
          <w:b w:val="0"/>
          <w:i w:val="0"/>
        </w:rPr>
        <w:t xml:space="preserve"> Hãy thiết kế để tái sử dụng ngay từ đầu nhằm giúp việc nhân rộng giải pháp trên các phân khúc khách hàng, thị trường, hoặc đơn vị tổ chức khác nhau trở nên dễ dàng.</w:t>
      </w:r>
    </w:p>
    <w:p>
      <w:pPr>
        <w:spacing w:after="80"/>
      </w:pPr>
      <w:r>
        <w:rPr>
          <w:b/>
          <w:i w:val="0"/>
        </w:rPr>
        <w:t>Chương 32. Đảm bảo tác động bằng cách theo dõi những gì quan trọng.</w:t>
      </w:r>
      <w:r>
        <w:rPr>
          <w:b w:val="0"/>
          <w:i w:val="0"/>
        </w:rPr>
        <w:t xml:space="preserve"> Việc theo dõi hiệu quả đòi hỏi một kiến trúc quản lý hiệu suất chặt chẽ liên kết OKR với KPI vận hành, cũng như một quy trình theo dõi theo cổng giai đoạn (stage-gate) mạnh mẽ được hỗ trợ bởi công cụ.</w:t>
      </w:r>
    </w:p>
    <w:p>
      <w:pPr>
        <w:spacing w:after="80"/>
      </w:pPr>
      <w:r>
        <w:rPr>
          <w:b/>
          <w:i w:val="0"/>
        </w:rPr>
        <w:t>Chương 33. Lập kế hoạch cho các điều chỉnh giữa chừng.</w:t>
      </w:r>
      <w:r>
        <w:rPr>
          <w:b w:val="0"/>
          <w:i w:val="0"/>
        </w:rPr>
        <w:t xml:space="preserve"> Mọi chuyển đổi đều có những trắc trở trên đường đi, đặc biệt là khi chúng chạm mốc một đến hai năm. Nhiều thách thức trong số đó có thể dự đoán được. Hãy sẵn sàng đối mặt với chúng.</w:t>
      </w:r>
    </w:p>
    <w:p>
      <w:pPr>
        <w:spacing w:after="80"/>
      </w:pPr>
      <w:r>
        <w:rPr>
          <w:b/>
          <w:i w:val="0"/>
        </w:rPr>
        <w:t>Chương 34. Rủi ro, niềm tin, và quyền triển khai AI.</w:t>
      </w:r>
      <w:r>
        <w:rPr>
          <w:b w:val="0"/>
          <w:i w:val="0"/>
        </w:rPr>
        <w:t xml:space="preserve"> GenAI đã mở rộng đáng kể phạm vi rủi ro. Áp dụng các kỹ thuật quản lý rủi ro đã được chứng minh sẽ giúp bạn theo kịp; phân loại rủi ro, cập nhật chính sách rủi ro, tự động hóa vận hành rủi ro, và nâng cao nhận thức văn hóa sẽ giúp bạn đi trước.</w:t>
      </w:r>
    </w:p>
    <w:p>
      <w:pPr>
        <w:spacing w:after="80"/>
      </w:pPr>
      <w:r>
        <w:rPr>
          <w:b/>
          <w:i w:val="0"/>
        </w:rPr>
        <w:t>Chương 35. Vậy còn văn hóa thì sao?</w:t>
      </w:r>
      <w:r>
        <w:rPr>
          <w:b w:val="0"/>
          <w:i w:val="0"/>
        </w:rPr>
        <w:t xml:space="preserve"> Mọi công ty ngày nay đều cần một nền văn hóa hiểu, đón nhận và thúc đẩy chuyển đổi kinh doanh bằng công nghệ. Những năng lực được tái cấu trúc (Rewired capabilities) trình bày trong cuốn sách này giúp xây dựng nền văn hóa đó. Hãy bắt đầu bằng việc tập trung mạnh mẽ hơn vào đội ngũ lãnh đạo của bạn.</w:t>
      </w:r>
    </w:p>
    <w:p>
      <w:pPr>
        <w:pStyle w:val="Heading2"/>
      </w:pPr>
      <w:r>
        <w:rPr>
          <w:rFonts w:ascii="Calibri" w:hAnsi="Calibri"/>
          <w:b/>
          <w:i w:val="0"/>
          <w:sz w:val="32"/>
        </w:rPr>
        <w:t>Lưu ý</w:t>
      </w:r>
    </w:p>
    <w:p>
      <w:pPr>
        <w:spacing w:after="80"/>
        <w:ind w:left="360"/>
      </w:pPr>
      <w:r>
        <w:t xml:space="preserve">1. </w:t>
      </w:r>
      <w:r>
        <w:rPr>
          <w:b w:val="0"/>
          <w:i w:val="0"/>
        </w:rPr>
        <w:t>1   Sandra Durth là đối tác tại văn phòng Cologne của McKinsey; Brooke Weddle là đối tác cấp cao tại văn phòng Washington, DC.</w:t>
      </w:r>
    </w:p>
    <w:p>
      <w:pPr>
        <w:pStyle w:val="Heading2"/>
      </w:pPr>
      <w:r>
        <w:rPr>
          <w:rFonts w:ascii="Calibri" w:hAnsi="Calibri"/>
          <w:b/>
          <w:i/>
          <w:sz w:val="32"/>
        </w:rPr>
        <w:t>"Bí quyết của sự thay đổi là dồn toàn bộ năng lượng của bạn không phải vào việc chống lại cái cũ, mà vào việc xây dựng cái mới."</w:t>
      </w:r>
    </w:p>
    <w:p>
      <w:pPr>
        <w:spacing w:after="80"/>
      </w:pPr>
      <w:r>
        <w:rPr>
          <w:b/>
          <w:i w:val="0"/>
        </w:rPr>
        <w:t>— Dan Millman</w:t>
      </w:r>
    </w:p>
    <w:p>
      <w:pPr>
        <w:pStyle w:val="Heading1"/>
      </w:pPr>
      <w:r>
        <w:rPr>
          <w:rFonts w:ascii="Calibri" w:hAnsi="Calibri"/>
          <w:b/>
          <w:i w:val="0"/>
          <w:sz w:val="40"/>
        </w:rPr>
        <w:t>CHƯƠNG 30</w:t>
      </w:r>
      <w:r>
        <w:rPr>
          <w:rFonts w:ascii="Calibri" w:hAnsi="Calibri"/>
          <w:b/>
          <w:i w:val="0"/>
          <w:sz w:val="40"/>
        </w:rPr>
      </w:r>
      <w:r>
        <w:rPr>
          <w:rFonts w:ascii="Calibri" w:hAnsi="Calibri"/>
          <w:b/>
          <w:i w:val="0"/>
          <w:sz w:val="40"/>
        </w:rPr>
        <w:t>Làm cho việc áp dụng trở nên bền vững</w:t>
      </w:r>
    </w:p>
    <w:p>
      <w:pPr>
        <w:spacing w:after="80"/>
      </w:pPr>
      <w:r>
        <w:rPr>
          <w:b w:val="0"/>
          <w:i w:val="0"/>
        </w:rPr>
        <w:t>Chúng ta thường nghe những nhà lãnh đạo chán nản thốt lên những câu như: "Có vẻ như chúng ta mãi mãi mắc kẹt trong luyện ngục thử nghiệm (pilot purgatory)", hay "Ở đây có rất nhiều sức ỳ và sự kháng cự với thay đổi", hay "Nhóm đã tạo ra một giải pháp tốt nhưng bộ phận kinh doanh không chịu áp dụng nó".</w:t>
      </w:r>
    </w:p>
    <w:p>
      <w:pPr>
        <w:spacing w:after="80"/>
      </w:pPr>
      <w:r>
        <w:rPr>
          <w:b w:val="0"/>
          <w:i w:val="0"/>
        </w:rPr>
        <w:t>Những lời phàn nàn này là kết quả điển hình của cái mà chúng ta có thể gọi là vấn đề "dặm cuối" (last mile). Vấn đề nảy sinh khi một doanh nghiệp muốn triển khai một giải pháp mà mình đã phát triển, để rồi nhận ra rằng người dùng không muốn nó hoặc nó không hoạt động như mong đợi.</w:t>
      </w:r>
    </w:p>
    <w:p>
      <w:pPr>
        <w:spacing w:after="80"/>
      </w:pPr>
      <w:r>
        <w:rPr>
          <w:b w:val="0"/>
          <w:i w:val="0"/>
        </w:rPr>
        <w:t>Kiểu thất bại này nhấn mạnh một thực tế rằng hầu hết các thất bại áp dụng phổ biến không phải là vấn đề kỹ thuật—mà là vấn đề hành vi hoặc do sự lệch pha giữa giải pháp AI và quy trình kinh doanh mà nó tồn tại trong đó. Ngay cả những giải pháp được khởi chạy tốt cũng có thể trì trệ sau khi sự hào hứng ban đầu phai nhạt.</w:t>
      </w:r>
    </w:p>
    <w:p>
      <w:pPr>
        <w:spacing w:after="80"/>
      </w:pPr>
      <w:r>
        <w:rPr>
          <w:b w:val="0"/>
          <w:i w:val="0"/>
        </w:rPr>
        <w:t>Thủ phạm thì có thể đoán trước được. Dưới đây là một số điều bạn sẽ nhận ra:</w:t>
      </w:r>
    </w:p>
    <w:p>
      <w:pPr>
        <w:spacing w:after="80"/>
        <w:ind w:left="360"/>
      </w:pPr>
      <w:r>
        <w:t xml:space="preserve">• </w:t>
      </w:r>
      <w:r>
        <w:rPr>
          <w:b/>
          <w:i w:val="0"/>
        </w:rPr>
        <w:t>Vấn đề "Tôi không tin cái thứ này":</w:t>
      </w:r>
      <w:r>
        <w:rPr>
          <w:b w:val="0"/>
          <w:i w:val="0"/>
        </w:rPr>
        <w:t xml:space="preserve"> Hành vi của mô hình là một hộp đen và khó giải thích.</w:t>
      </w:r>
    </w:p>
    <w:p>
      <w:pPr>
        <w:spacing w:after="80"/>
        <w:ind w:left="360"/>
      </w:pPr>
      <w:r>
        <w:t xml:space="preserve">• </w:t>
      </w:r>
      <w:r>
        <w:rPr>
          <w:b/>
          <w:i w:val="0"/>
        </w:rPr>
        <w:t>Vấn đề "Nó không làm điều tôi muốn nó làm":</w:t>
      </w:r>
      <w:r>
        <w:rPr>
          <w:b w:val="0"/>
          <w:i w:val="0"/>
        </w:rPr>
        <w:t xml:space="preserve"> Giải pháp không hoạt động theo cách nó được cho là phải hoạt động hoặc cung cấp một năng lực mà người dùng thực sự không cần. Điều này càng tệ hơn khi người dùng đưa ra phản hồi nhưng không được tiếp thu (vấn đề "Bạn đang lãng phí thời gian của tôi").</w:t>
      </w:r>
    </w:p>
    <w:p>
      <w:pPr>
        <w:spacing w:after="80"/>
        <w:ind w:left="360"/>
      </w:pPr>
      <w:r>
        <w:t xml:space="preserve">• </w:t>
      </w:r>
      <w:r>
        <w:rPr>
          <w:b/>
          <w:i w:val="0"/>
        </w:rPr>
        <w:t>Vấn đề "Lại thêm một công cụ nữa":</w:t>
      </w:r>
      <w:r>
        <w:rPr>
          <w:b w:val="0"/>
          <w:i w:val="0"/>
        </w:rPr>
        <w:t xml:space="preserve"> Người dùng phải học thêm một công cụ không thuộc quy trình làm việc hay thói quen làm việc hàng ngày của họ.</w:t>
      </w:r>
    </w:p>
    <w:p>
      <w:pPr>
        <w:spacing w:after="80"/>
        <w:ind w:left="360"/>
      </w:pPr>
      <w:r>
        <w:t xml:space="preserve">• </w:t>
      </w:r>
      <w:r>
        <w:rPr>
          <w:b/>
          <w:i w:val="0"/>
        </w:rPr>
        <w:t>Vấn đề "Nó không hoạt động trong thế giới thực":</w:t>
      </w:r>
      <w:r>
        <w:rPr>
          <w:b w:val="0"/>
          <w:i w:val="0"/>
        </w:rPr>
        <w:t xml:space="preserve"> Độ trễ (latency) và độ chính xác (accuracy) chao đảo dưới sức nặng của những đòi hỏi trong thế giới thực.</w:t>
      </w:r>
    </w:p>
    <w:p>
      <w:pPr>
        <w:spacing w:after="80"/>
        <w:ind w:left="360"/>
      </w:pPr>
      <w:r>
        <w:t xml:space="preserve">• </w:t>
      </w:r>
      <w:r>
        <w:rPr>
          <w:b/>
          <w:i w:val="0"/>
        </w:rPr>
        <w:t>Vấn đề "Nó sẽ không giúp ích gì cho đến khi cái thứ kia được sửa xong":</w:t>
      </w:r>
      <w:r>
        <w:rPr>
          <w:b w:val="0"/>
          <w:i w:val="0"/>
        </w:rPr>
        <w:t xml:space="preserve"> Giải pháp chỉ là một phần của một chuỗi giá trị lớn hơn chưa được sửa chữa, nghĩa là giải pháp không mang lại giá trị mà nó được cho là phải mang lại.</w:t>
      </w:r>
    </w:p>
    <w:p>
      <w:pPr>
        <w:spacing w:after="80"/>
      </w:pPr>
      <w:r>
        <w:rPr>
          <w:b w:val="0"/>
          <w:i w:val="0"/>
        </w:rPr>
        <w:t>Còn nhiều vấn đề khác nữa, nhưng kết quả cuối cùng của mỗi vấn đề đều giống nhau: mức độ áp dụng thấp và giá trị hạn chế.</w:t>
      </w:r>
    </w:p>
    <w:p>
      <w:pPr>
        <w:spacing w:after="80"/>
      </w:pPr>
      <w:r>
        <w:rPr>
          <w:b w:val="0"/>
          <w:i w:val="0"/>
        </w:rPr>
        <w:t>Về nhiều mặt, đây là một vấn đề kinh điển mà các doanh nghiệp (và đặc biệt là ngành IT) đã vật lộn trong nhiều thập kỷ. Nhưng AI và đặc biệt là các AI agent (tác nhân AI) đã mang đến sự phức tạp mới cho thách thức chấp nhận, bao gồm cả sự kháng cự thay đổi thường mang tính cảm xúc nhiều như tính lý trí.</w:t>
      </w:r>
    </w:p>
    <w:p>
      <w:pPr>
        <w:spacing w:after="80"/>
      </w:pPr>
      <w:r>
        <w:rPr>
          <w:b w:val="0"/>
          <w:i w:val="0"/>
        </w:rPr>
        <w:t>Những công nghệ này khó kiểm soát và giải thích hơn, và mức độ thay đổi cần thiết với các quy trình làm việc dạng tác nhân (agentic workflow) thì phức tạp và đòi hỏi cao hơn. Tóm lại, với AI, "dấu chân" thay đổi đã trở nên lớn hơn nhiều.</w:t>
      </w:r>
    </w:p>
    <w:p>
      <w:pPr>
        <w:pStyle w:val="Heading2"/>
      </w:pPr>
      <w:r>
        <w:rPr>
          <w:rFonts w:ascii="Calibri" w:hAnsi="Calibri"/>
          <w:b/>
          <w:i w:val="0"/>
          <w:sz w:val="32"/>
        </w:rPr>
        <w:t>Biến người dùng cuối thành 'copilot' trong quá trình phát triển</w:t>
      </w:r>
    </w:p>
    <w:p>
      <w:pPr>
        <w:spacing w:after="80"/>
      </w:pPr>
      <w:r>
        <w:rPr>
          <w:b w:val="0"/>
          <w:i w:val="0"/>
        </w:rPr>
        <w:t>Một cách hay để nghĩ về việc chấp nhận là bạn đang "thiết kế để tạo sức hút." Bạn muốn mọi người muốn sử dụng giải pháp, chứ không phải áp đặt nó lên họ rồi cố thuyết phục họ dùng. Quan điểm này quy về việc đảm bảo giải pháp thực sự giúp ích cho công việc của mọi người. Dưới đây là bốn cách để làm điều đó:</w:t>
      </w:r>
    </w:p>
    <w:p>
      <w:pPr>
        <w:spacing w:after="80"/>
        <w:ind w:left="360"/>
      </w:pPr>
      <w:r>
        <w:t xml:space="preserve">• </w:t>
      </w:r>
      <w:r>
        <w:rPr>
          <w:b/>
          <w:i w:val="0"/>
        </w:rPr>
        <w:t>Đưa người dùng cuối vào để xây dựng niềm tin.</w:t>
      </w:r>
      <w:r>
        <w:rPr>
          <w:b w:val="0"/>
          <w:i w:val="0"/>
        </w:rPr>
        <w:t xml:space="preserve"> Ý tưởng cộng tác với người dùng cuối để tạo ra trải nghiệm người dùng tuyệt vời không phải là mới. Thực tế, đó là một nguyên tắc nền tảng của tư duy thiết kế (design thinking). Nhưng với những rào cản niềm tin đặc biệt cao liên quan đến GenAI, bạn sẽ cần tiến thêm một bước nữa.</w:t>
        <w:br/>
        <w:t>Tại Toyota Motor North America, chẳng hạn, ban lãnh đạo đã đưa các chuyên gia chủ đề (SME - subject matter expert) vào đội phát triển giải pháp ngay từ đầu trong quá trình chuyển đổi AI chuỗi cung ứng của họ. Các SME đề xuất tính năng, đánh giá MVP, và kiểm thử kết quả đầu ra. Các đội phát triển đã chạy nhiều bài kiểm thử để đảm bảo các mô hình làm đúng điều SME mong muốn và giúp giải thích cách các mô hình đi đến câu trả lời. Họ thường xuyên có các buổi làm việc với người dùng để chỉ ra cách các mô hình AI học hỏi và cách chúng xác định các yếu tố dự báo chính, chẳng hạn.</w:t>
        <w:br/>
        <w:t>Mức độ cộng tác tích hợp giữa nghiệp vụ và đội phát triển này là cốt lõi của một mô hình vận hành cấp đội nhóm rộng hơn mà chúng tôi mô tả chi tiết trong Chương 13.</w:t>
      </w:r>
    </w:p>
    <w:p>
      <w:pPr>
        <w:spacing w:after="80"/>
      </w:pPr>
      <w:r>
        <w:rPr>
          <w:b/>
          <w:i/>
        </w:rPr>
        <w:t>Sự tham gia sát sao của các chuyên gia chủ đề (SME) đặc biệt quan trọng khi nói đến AI agent, nơi việc huấn luyện chúng cũng quan trọng như việc xây dựng chúng. Khi SME tham gia sát sao vào việc huấn luyện các tác nhân, niềm tin vào kết quả đầu ra của chúng—và việc chấp nhận sau đó—sẽ tăng lên</w:t>
      </w:r>
      <w:r>
        <w:rPr>
          <w:b/>
          <w:i w:val="0"/>
        </w:rPr>
        <w:t>.</w:t>
      </w:r>
    </w:p>
    <w:p>
      <w:pPr>
        <w:jc w:val="center"/>
      </w:pPr>
      <w:r>
        <w:drawing>
          <wp:inline xmlns:a="http://schemas.openxmlformats.org/drawingml/2006/main" xmlns:pic="http://schemas.openxmlformats.org/drawingml/2006/picture">
            <wp:extent cx="457200" cy="447675"/>
            <wp:docPr id="175" name="Picture 175"/>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Thúc đẩy việc chấp nhận với các nhân viên xử lý yêu cầu bồi thường tại Aviva</w:t>
      </w:r>
    </w:p>
    <w:p>
      <w:pPr>
        <w:spacing w:after="80"/>
      </w:pPr>
      <w:r>
        <w:rPr>
          <w:b w:val="0"/>
          <w:i w:val="0"/>
        </w:rPr>
        <w:t>Aviva, một công ty bảo hiểm hàng đầu châu Âu, có một mục tiêu rõ ràng: biến hoạt động xử lý yêu cầu bồi thường của mình thành dẫn đầu thị trường. Công ty cuối cùng đã xây dựng và triển khai hơn 80 mô hình qua nhiều giai đoạn khác nhau của nhiều hành trình xử lý yêu cầu bồi thường, nâng cao độ chính xác của việc ra quyết định.</w:t>
      </w:r>
    </w:p>
    <w:p>
      <w:pPr>
        <w:spacing w:after="80"/>
      </w:pPr>
      <w:r>
        <w:rPr>
          <w:b w:val="0"/>
          <w:i w:val="0"/>
        </w:rPr>
        <w:t>Nhưng ban lãnh đạo đã nhận ra ngay từ đầu rằng phần khó hơn sẽ là thúc đẩy việc chấp nhận. Vì vậy họ để các nhà tài trợ nghiệp vụ (trưởng nhóm vận hành) dẫn dắt các đội đa chức năng. Việc phát triển giải pháp, xây dựng năng lực, và chấp nhận diễn ra song hành.</w:t>
      </w:r>
    </w:p>
    <w:p>
      <w:pPr>
        <w:spacing w:after="80"/>
      </w:pPr>
      <w:r>
        <w:rPr>
          <w:b w:val="0"/>
          <w:i w:val="0"/>
        </w:rPr>
        <w:t>Vòng cộng tác chặt chẽ này giữa công nghệ và người dùng tuyến đầu cho phép lặp lại nhanh chóng dựa trên nhu cầu người dùng, và được kiểm thử với phản hồi thời gian thực từ người dùng. Aviva đã triển khai các "buổi giải thích" (explainability session) hàng tuần, quy tụ các đội dữ liệu, AI, công nghệ, thay đổi, và vận hành trong cùng một phòng. Mục tiêu chính là xem xét hiệu suất của lĩnh vực nghiệp vụ, bao gồm kiểm tra kết quả đầu ra của các mô hình liên quan, thu thập phản hồi về những gì đang hiệu quả, và phát triển ý tưởng cải tiến. Bằng cách này, các đội phát triển ưu tiên những cải tiến (ví dụ: thêm dữ liệu và/hoặc tinh chỉnh kết quả đầu ra) mà người dùng yêu cầu để nhúng vào quy trình vận hành hàng ngày của họ.</w:t>
      </w:r>
    </w:p>
    <w:p>
      <w:pPr>
        <w:spacing w:after="80"/>
      </w:pPr>
      <w:r>
        <w:rPr>
          <w:b w:val="0"/>
          <w:i w:val="0"/>
        </w:rPr>
        <w:t>Việc xây dựng năng lực diễn ra qua ba luồng, tổng cộng hơn 40.000 giờ đào tạo trên toàn hoạt động: a) một chương trình giảng dạy cho các trưởng nhóm vận hành, nơi họ học các thực hành tốt nhất về quyền sở hữu sản phẩm, giải quyết vấn đề, và cách điều hành các sprint đội đa chức năng hiệu quả (gặp nhau trực tiếp để tranh luận về cải tiến và thảo luận nên tập trung nguồn lực vào đâu); b) học việc kỹ thuật cho các translator, kỹ sư dữ liệu, và nhà khoa học dữ liệu, những người cũng được huấn luyện về cách truyền đạt kết quả mô hình cho nhân viên xử lý yêu cầu bồi thường vận hành thông qua các buổi "show and tell" hàng tuần; và c) các mô-đun học tập vận hành tuyến đầu cho chính các nhân viên xử lý yêu cầu bồi thường.</w:t>
      </w:r>
    </w:p>
    <w:p>
      <w:pPr>
        <w:spacing w:after="80"/>
      </w:pPr>
      <w:r>
        <w:rPr>
          <w:b w:val="0"/>
          <w:i w:val="0"/>
        </w:rPr>
        <w:t>Kết quả trực tiếp là điểm gắn kết nhân viên của hoạt động xử lý yêu cầu bồi thường của Aviva đã tăng hơn gấp đôi lên mức cao nhất mọi thời đại. Và các mô hình được chấp nhận đã giúp công ty tạo ra tác động đáng kể khoảng £80 triệu (khoảng $107 triệu) cải thiện trong tổn thất bồi thường—tương đương với cải thiện nhiều điểm trong tỷ lệ tổn thất—nhờ độ chính xác được cải thiện trong việc điều chỉnh yêu cầu bồi thường. Công ty cũng giảm thời gian và công sức để đánh giá các yêu cầu bồi thường xe phức tạp xuống trung bình 23 ngày. Điều này lại giúp giảm lo ngại của khách hàng xuống hai phần ba và tăng điểm hài lòng của khách hàng lên gấp bảy lần.</w:t>
      </w:r>
    </w:p>
    <w:p>
      <w:pPr>
        <w:spacing w:after="80"/>
        <w:ind w:left="360"/>
      </w:pPr>
      <w:r>
        <w:t xml:space="preserve">• </w:t>
      </w:r>
      <w:r>
        <w:rPr>
          <w:b/>
          <w:i w:val="0"/>
        </w:rPr>
        <w:t>Làm cho giải pháp của bạn dễ sử dụng.</w:t>
      </w:r>
      <w:r>
        <w:rPr>
          <w:b w:val="0"/>
          <w:i w:val="0"/>
        </w:rPr>
        <w:t xml:space="preserve"> Với tư cách là "người tiêu dùng" công nghệ, chúng ta hiểu điểm này một cách trực giác, nhưng nó thường bị bỏ qua khi chúng ta nhìn chằm chằm vào một quy trình từ bên trong bốn bức tường của doanh nghiệp mình. Các giải pháp thường được tạo ra với các chỉ số nghiệp vụ trong đầu, chứ không phải người dùng cuối, dẫn đến những công cụ tách rời khỏi hoạt động hàng ngày của người dùng và khó sử dụng.</w:t>
        <w:br/>
        <w:t>Một tư duy quan trọng để chống lại vấn đề này là đối xử với người dùng nội bộ như khách hàng. Các công ty thường biết cách thực hiện nghiên cứu dân tộc học (ethnography) về khách hàng và cần mang mức độ tập trung và cường độ đó vào việc hiểu chính nhân viên của mình. Hãy đầu tư vào việc hiểu sâu cách họ làm việc, những công cụ họ đã dùng, và điều gì quan trọng trong công việc hàng ngày của họ.</w:t>
        <w:br/>
        <w:t>Hãy nhìn vào Freeport-McMoRan, một công ty khai khoáng toàn cầu đã phát triển một họ giải pháp để tối ưu hóa các điểm đặt (set point) trong các nhà máy tuyển quặng đồng. Thay vì chỉ đơn thuần bàn giao giải pháp, đội phát triển đã làm việc sát cánh với người dùng tuyến đầu trong tám tháng sau khi các giải pháp được triển khai ban đầu. Họ tạo ra các buổi kiểm tra ba giờ một lần, 24/7, quy tụ các nhà vận hành, kỹ sư nhà máy, và nhà luyện kim để thảo luận về các khuyến nghị điểm đặt từ các mô hình phân tích nâng cao và thực hiện thay đổi vận hành trong thời gian thực.</w:t>
        <w:br/>
        <w:t>Cách tiếp cận này đảm bảo rằng các đội tuyến đầu biết cách sử dụng giải pháp, học được cách tin tưởng chúng, đóng góp vào việc cải thiện chúng, và trở thành những người ủng hộ thực sự.</w:t>
      </w:r>
    </w:p>
    <w:p>
      <w:pPr>
        <w:spacing w:after="80"/>
        <w:ind w:left="360"/>
      </w:pPr>
      <w:r>
        <w:t xml:space="preserve">• </w:t>
      </w:r>
      <w:r>
        <w:rPr>
          <w:b/>
          <w:i w:val="0"/>
        </w:rPr>
        <w:t>Làm cho giải pháp của bạn có giá trị với người dùng.</w:t>
      </w:r>
      <w:r>
        <w:rPr>
          <w:b w:val="0"/>
          <w:i w:val="0"/>
        </w:rPr>
        <w:t xml:space="preserve"> Cách tốt nhất để khiến người dùng chấp nhận một giải pháp mới là nếu nó mang lại cho họ lợi ích hữu hình (ví dụ: giúp họ đạt mục tiêu nhanh hơn, giúp họ bán được nhiều hơn). Sản phẩm nên có một lộ trình rõ ràng về giá trị được tạo ra cho người dùng, với trọng tâm là mang lại điều gì đó đáng kể mỗi quý.</w:t>
        <w:br/>
        <w:t>Một sales copilot, chẳng hạn, có thể tóm tắt email tốt, nhưng liệu nó có xác định được khách hàng nào tổ chức chưa liên hệ gần đây, hay khách hàng nào có dấu hiệu cơ hội bán thêm tiềm năng hoặc rời bỏ, và soạn thảo một thông điệp tiếp cận phù hợp dựa trên bối cảnh cụ thể đó không? Nếu nó không giúp nhân viên bán hàng bán tốt hơn, họ ít có khả năng sử dụng nó.</w:t>
      </w:r>
    </w:p>
    <w:p>
      <w:pPr>
        <w:spacing w:after="80"/>
        <w:ind w:left="360"/>
      </w:pPr>
      <w:r>
        <w:t xml:space="preserve">• </w:t>
      </w:r>
      <w:r>
        <w:rPr>
          <w:b/>
          <w:i w:val="0"/>
        </w:rPr>
        <w:t>"Gói" việc đào tạo lại</w:t>
      </w:r>
      <w:r>
        <w:rPr>
          <w:b w:val="0"/>
          <w:i w:val="0"/>
        </w:rPr>
        <w:t>. Một cân nhắc quan trọng là đóng gói tất cả các giải pháp liên quan thành một chương trình can thiệp thay đổi duy nhất cho người dùng cuối (thay vì đến gặp cùng một người dùng cuối nhiều lần để đào tạo họ cách sử dụng từng giải pháp khác nhau). Ví dụ, nếu một nhân viên bán hàng vận tải hàng không cần hiểu cách sử dụng ba giải pháp mới (một để đánh giá công suất vận tải hàng hóa khả dụng, một để tối ưu hóa giá của công suất khả dụng này, và giải pháp thứ ba để xuất hóa đơn cho khách hàng), thì việc đóng gói tất cả các giải pháp này thành một chương trình can thiệp thay đổi duy nhất sẽ hợp lý hơn. Đó là một trong những lý do các chuyển đổi Công nghệ &amp; AI hiệu quả hơn khi cả một lĩnh vực được chuyển đổi cùng lúc thay vì triển khai từng giải pháp hoặc trường hợp sử dụng riêng lẻ.</w:t>
      </w:r>
    </w:p>
    <w:p>
      <w:pPr>
        <w:pStyle w:val="Heading2"/>
      </w:pPr>
      <w:r>
        <w:rPr>
          <w:rFonts w:ascii="Calibri" w:hAnsi="Calibri"/>
          <w:b/>
          <w:i w:val="0"/>
          <w:sz w:val="32"/>
        </w:rPr>
        <w:t>Tác động đến người dùng cuối</w:t>
      </w:r>
    </w:p>
    <w:p>
      <w:pPr>
        <w:spacing w:after="80"/>
      </w:pPr>
      <w:r>
        <w:rPr>
          <w:b w:val="0"/>
          <w:i w:val="0"/>
        </w:rPr>
        <w:t>Ngay cả khi giải pháp cải thiện trải nghiệm người dùng, bạn vẫn sẽ cần thúc đẩy một chương trình quản lý thay đổi để đảm bảo nó được áp dụng rộng rãi. Quản lý thay đổi là việc tác động đến người dùng cuối thông qua một loạt các can thiệp cụ thể, được thể hiện trong một mô hình tác động đã được thiết lập và kiểm chứng, xoay quanh bốn yếu tố (Hình 30.1):</w:t>
      </w:r>
    </w:p>
    <w:p>
      <w:pPr>
        <w:jc w:val="center"/>
      </w:pPr>
      <w:r>
        <w:drawing>
          <wp:inline xmlns:a="http://schemas.openxmlformats.org/drawingml/2006/main" xmlns:pic="http://schemas.openxmlformats.org/drawingml/2006/picture">
            <wp:extent cx="5486400" cy="2896057"/>
            <wp:docPr id="176" name="Picture 176"/>
            <wp:cNvGraphicFramePr>
              <a:graphicFrameLocks noChangeAspect="1"/>
            </wp:cNvGraphicFramePr>
            <a:graphic>
              <a:graphicData uri="http://schemas.openxmlformats.org/drawingml/2006/picture">
                <pic:pic>
                  <pic:nvPicPr>
                    <pic:cNvPr id="0" name="c30ex001.png"/>
                    <pic:cNvPicPr/>
                  </pic:nvPicPr>
                  <pic:blipFill>
                    <a:blip r:embed="rId135"/>
                    <a:stretch>
                      <a:fillRect/>
                    </a:stretch>
                  </pic:blipFill>
                  <pic:spPr>
                    <a:xfrm>
                      <a:off x="0" y="0"/>
                      <a:ext cx="5486400" cy="2896057"/>
                    </a:xfrm>
                    <a:prstGeom prst="rect"/>
                  </pic:spPr>
                </pic:pic>
              </a:graphicData>
            </a:graphic>
          </wp:inline>
        </w:drawing>
      </w:r>
    </w:p>
    <w:p>
      <w:pPr>
        <w:spacing w:after="160"/>
        <w:jc w:val="center"/>
      </w:pPr>
      <w:r>
        <w:rPr>
          <w:rFonts w:ascii="Calibri" w:hAnsi="Calibri"/>
          <w:b w:val="0"/>
          <w:i/>
          <w:sz w:val="19"/>
        </w:rPr>
        <w:t>HÌNH 30.1</w:t>
      </w:r>
    </w:p>
    <w:p>
      <w:pPr>
        <w:spacing w:after="80"/>
        <w:ind w:left="360"/>
      </w:pPr>
      <w:r>
        <w:t xml:space="preserve">1. </w:t>
      </w:r>
      <w:r>
        <w:rPr>
          <w:b w:val="0"/>
          <w:i w:val="0"/>
        </w:rPr>
        <w:t>Sự tham gia của lãnh đạo và việc làm gương của lãnh đạo cùng đồng nghiệp để thể hiện sự ủng hộ, nhiệt tình và khích lệ đối với các giải pháp mới đang được triển khai.</w:t>
      </w:r>
    </w:p>
    <w:p>
      <w:pPr>
        <w:spacing w:after="80"/>
        <w:ind w:left="360"/>
      </w:pPr>
      <w:r>
        <w:t xml:space="preserve">2. </w:t>
      </w:r>
      <w:r>
        <w:rPr>
          <w:b w:val="0"/>
          <w:i w:val="0"/>
        </w:rPr>
        <w:t>Đào tạo theo vai trò và xây dựng kỹ năng để đảm bảo người dùng có kiến thức và kỹ năng phù hợp nhằm sử dụng giải pháp thành công.</w:t>
      </w:r>
    </w:p>
    <w:p>
      <w:pPr>
        <w:spacing w:after="80"/>
        <w:ind w:left="360"/>
      </w:pPr>
      <w:r>
        <w:t xml:space="preserve">3. </w:t>
      </w:r>
      <w:r>
        <w:rPr>
          <w:b w:val="0"/>
          <w:i w:val="0"/>
        </w:rPr>
        <w:t>Một câu chuyện thay đổi hấp dẫn về lý do tại sao một giải pháp lại quan trọng đối với người dùng cuối, đối với khách hàng và đối với toàn bộ công ty.</w:t>
      </w:r>
    </w:p>
    <w:p>
      <w:pPr>
        <w:spacing w:after="80"/>
        <w:ind w:left="360"/>
      </w:pPr>
      <w:r>
        <w:t xml:space="preserve">4. </w:t>
      </w:r>
      <w:r>
        <w:rPr>
          <w:b w:val="0"/>
          <w:i w:val="0"/>
        </w:rPr>
        <w:t>Đo lường và các chỉ số hiệu suất (chỉ báo dẫn dắt và chỉ báo trễ) để theo dõi các hành vi và kết quả mong muốn, và khen thưởng tương xứng bằng những ưu đãi phù hợp.</w:t>
      </w:r>
    </w:p>
    <w:p>
      <w:pPr>
        <w:pStyle w:val="Heading2"/>
      </w:pPr>
      <w:r>
        <w:rPr>
          <w:rFonts w:ascii="Calibri" w:hAnsi="Calibri"/>
          <w:b/>
          <w:i w:val="0"/>
          <w:sz w:val="32"/>
        </w:rPr>
        <w:t>Thích ứng mô hình kinh doanh</w:t>
      </w:r>
    </w:p>
    <w:p>
      <w:pPr>
        <w:spacing w:after="80"/>
      </w:pPr>
      <w:r>
        <w:rPr>
          <w:b w:val="0"/>
          <w:i w:val="0"/>
        </w:rPr>
        <w:t>Nhiều công ty đối xử với một giải pháp công nghệ hay AI như thể thêm một nguyên liệu vào công thức nấu ăn và kỳ vọng món ăn sẽ ngon hơn. Một phép so sánh chính xác hơn là việc triển khai một giải pháp giống như xây thêm một phần mở rộng cho ngôi nhà. Nó sẽ không hiệu quả trừ khi nền móng, tường, hệ thống điện và hệ thống ống nước của ngôi nhà cũng được thay đổi để hỗ trợ phần mở rộng đó.</w:t>
      </w:r>
    </w:p>
    <w:p>
      <w:pPr>
        <w:spacing w:after="80"/>
      </w:pPr>
      <w:r>
        <w:rPr>
          <w:b/>
          <w:i/>
        </w:rPr>
        <w:t>Giá trị đến từ việc hiểu rõ các mối phụ thuộc lẫn nhau liên quan đến chính giải pháp đó và thích ứng mô hình kinh doanh để tính đến chúng. Việc áp dụng giải pháp phải diễn ra như một phần của sự thay đổi từ đầu đến cuối</w:t>
      </w:r>
      <w:r>
        <w:rPr>
          <w:b/>
          <w:i w:val="0"/>
        </w:rPr>
        <w:t>.</w:t>
      </w:r>
    </w:p>
    <w:p>
      <w:pPr>
        <w:jc w:val="center"/>
      </w:pPr>
      <w:r>
        <w:drawing>
          <wp:inline xmlns:a="http://schemas.openxmlformats.org/drawingml/2006/main" xmlns:pic="http://schemas.openxmlformats.org/drawingml/2006/picture">
            <wp:extent cx="457200" cy="447675"/>
            <wp:docPr id="177" name="Picture 177"/>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Toyota đã quản lý các mối phụ thuộc lẫn nhau của sự thay đổi như thế nào</w:t>
      </w:r>
    </w:p>
    <w:p>
      <w:pPr>
        <w:spacing w:after="80"/>
      </w:pPr>
      <w:r>
        <w:rPr>
          <w:b w:val="0"/>
          <w:i w:val="0"/>
        </w:rPr>
        <w:t>Toyota Motor North America đã phát triển một thuật toán nhu cầu để dự đoán tổ hợp các mẫu xe và tính năng nào mà người tiêu dùng bước vào bãi xe sẽ yêu cầu.</w:t>
      </w:r>
    </w:p>
    <w:p>
      <w:pPr>
        <w:spacing w:after="80"/>
      </w:pPr>
      <w:r>
        <w:rPr>
          <w:b w:val="0"/>
          <w:i w:val="0"/>
        </w:rPr>
        <w:t>Trong các mô phỏng, mô hình này đưa ra dự đoán tốt hơn nhiều, dẫn đến doanh số cao hơn. Nhưng để hiện thực hóa giá trị, nhiều bộ phận phụ thuộc lẫn nhau cần phải làm phần việc của mình. Vì vậy, các nhóm giải pháp đã xây dựng một bản sao kỹ thuật số chuỗi cung ứng (supply chain digital twin) tích hợp sản xuất, mua hàng, bán hàng, dịch vụ hậu mãi, nhà cung cấp và đại lý để tạo nên một màn cân bằng cung - cầu trên toàn công ty. Tất cả các bộ phận này đều phải sử dụng bản sao kỹ thuật số để chế tạo và giao đúng loại xe đúng thời hạn.</w:t>
      </w:r>
    </w:p>
    <w:p>
      <w:pPr>
        <w:spacing w:after="80"/>
      </w:pPr>
      <w:r>
        <w:rPr>
          <w:b w:val="0"/>
          <w:i w:val="0"/>
        </w:rPr>
        <w:t>Việc giải quyết những thay đổi này liên quan đến việc cập nhật toàn bộ các quy trình kinh doanh liên quan để cho phép giải pháp dự báo nhu cầu mang lại giá trị trọn vẹn của nó (bạn có thể đọc toàn bộ tình huống Toyota trong Chương 37).</w:t>
      </w:r>
    </w:p>
    <w:p>
      <w:pPr>
        <w:spacing w:after="80"/>
      </w:pPr>
      <w:r>
        <w:rPr>
          <w:b w:val="0"/>
          <w:i w:val="0"/>
        </w:rPr>
        <w:t>Hình 30.2 cho thấy một ví dụ về cách một hãng hàng không thương mại đang triển khai một bộ giải pháp quản lý doanh thu mới cho mảng vận tải hàng hóa trên các hãng hàng không chở khách của mình đã nắm bắt được toàn bộ các vấn đề ở thượng nguồn và hạ nguồn.</w:t>
      </w:r>
    </w:p>
    <w:p>
      <w:pPr>
        <w:jc w:val="center"/>
      </w:pPr>
      <w:r>
        <w:drawing>
          <wp:inline xmlns:a="http://schemas.openxmlformats.org/drawingml/2006/main" xmlns:pic="http://schemas.openxmlformats.org/drawingml/2006/picture">
            <wp:extent cx="5486400" cy="4578997"/>
            <wp:docPr id="178" name="Picture 178"/>
            <wp:cNvGraphicFramePr>
              <a:graphicFrameLocks noChangeAspect="1"/>
            </wp:cNvGraphicFramePr>
            <a:graphic>
              <a:graphicData uri="http://schemas.openxmlformats.org/drawingml/2006/picture">
                <pic:pic>
                  <pic:nvPicPr>
                    <pic:cNvPr id="0" name="c30ex002.png"/>
                    <pic:cNvPicPr/>
                  </pic:nvPicPr>
                  <pic:blipFill>
                    <a:blip r:embed="rId136"/>
                    <a:stretch>
                      <a:fillRect/>
                    </a:stretch>
                  </pic:blipFill>
                  <pic:spPr>
                    <a:xfrm>
                      <a:off x="0" y="0"/>
                      <a:ext cx="5486400" cy="4578997"/>
                    </a:xfrm>
                    <a:prstGeom prst="rect"/>
                  </pic:spPr>
                </pic:pic>
              </a:graphicData>
            </a:graphic>
          </wp:inline>
        </w:drawing>
      </w:r>
    </w:p>
    <w:p>
      <w:pPr>
        <w:spacing w:after="160"/>
        <w:jc w:val="center"/>
      </w:pPr>
      <w:r>
        <w:rPr>
          <w:rFonts w:ascii="Calibri" w:hAnsi="Calibri"/>
          <w:b w:val="0"/>
          <w:i/>
          <w:sz w:val="19"/>
        </w:rPr>
        <w:t>PHỤ LỤC 30.2</w:t>
      </w:r>
    </w:p>
    <w:p>
      <w:pPr>
        <w:spacing w:after="80"/>
      </w:pPr>
      <w:r>
        <w:rPr>
          <w:b w:val="0"/>
          <w:i w:val="0"/>
        </w:rPr>
        <w:t>Về bản chất, việc thích ứng mô hình kinh doanh là làm việc với tất cả các chức năng thượng nguồn và hạ nguồn liên quan trong toàn bộ doanh nghiệp (bao gồm phân phối, chuỗi cung ứng, marketing, bán hàng, v.v.) để xác định những thay đổi quan trọng về quy trình, quản lý hiệu suất, tổ chức và kỹ năng cần thiết để giải pháp đạt được giá trị trọn vẹn của nó.</w:t>
      </w:r>
    </w:p>
    <w:p>
      <w:pPr>
        <w:spacing w:after="80"/>
      </w:pPr>
      <w:r>
        <w:rPr>
          <w:b w:val="0"/>
          <w:i w:val="0"/>
        </w:rPr>
        <w:t>Kiểu tác động rộng khắp, liên chức năng này chính là bản chất của các cuộc chuyển đổi Công nghệ &amp; AI, và là một đặc điểm khác biệt so với bất kỳ loại chuyển đổi nào khác. Đó là lý do cần có sự tham gia của CEO hoặc trưởng bộ phận để thúc đẩy sự liên kết liên chức năng.</w:t>
      </w:r>
    </w:p>
    <w:p>
      <w:pPr>
        <w:jc w:val="center"/>
      </w:pPr>
      <w:r>
        <w:drawing>
          <wp:inline xmlns:a="http://schemas.openxmlformats.org/drawingml/2006/main" xmlns:pic="http://schemas.openxmlformats.org/drawingml/2006/picture">
            <wp:extent cx="457200" cy="447675"/>
            <wp:docPr id="179" name="Picture 179"/>
            <wp:cNvGraphicFramePr>
              <a:graphicFrameLocks noChangeAspect="1"/>
            </wp:cNvGraphicFramePr>
            <a:graphic>
              <a:graphicData uri="http://schemas.openxmlformats.org/drawingml/2006/picture">
                <pic:pic>
                  <pic:nvPicPr>
                    <pic:cNvPr id="0" name="MANAGEMENT_TIP_blue.png"/>
                    <pic:cNvPicPr/>
                  </pic:nvPicPr>
                  <pic:blipFill>
                    <a:blip r:embed="rId133"/>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MẸO QUẢN LÝ</w:t>
      </w:r>
    </w:p>
    <w:p>
      <w:pPr>
        <w:pStyle w:val="Heading3"/>
      </w:pPr>
      <w:r>
        <w:rPr>
          <w:rFonts w:ascii="Calibri" w:hAnsi="Calibri"/>
          <w:b/>
          <w:i w:val="0"/>
          <w:sz w:val="26"/>
        </w:rPr>
        <w:t>Thành lập một đội ngũ tiếp nhận</w:t>
      </w:r>
    </w:p>
    <w:p>
      <w:pPr>
        <w:spacing w:after="80"/>
      </w:pPr>
      <w:r>
        <w:rPr>
          <w:b w:val="0"/>
          <w:i w:val="0"/>
        </w:rPr>
        <w:t>Theo nguyên tắc chung, chủ sở hữu lĩnh vực chịu trách nhiệm về việc triển khai thành công giải pháp. Họ có trách nhiệm huy động đúng nguồn lực để hỗ trợ nỗ lực tiếp nhận.</w:t>
      </w:r>
    </w:p>
    <w:p>
      <w:pPr>
        <w:spacing w:after="80"/>
      </w:pPr>
      <w:r>
        <w:rPr>
          <w:b w:val="0"/>
          <w:i w:val="0"/>
        </w:rPr>
        <w:t>Trong những trường hợp việc tiếp nhận đặc biệt phức tạp và cần hỗ trợ lâu dài, hãy cân nhắc xây dựng một đội ngũ tiếp nhận thường trực dưới sự lãnh đạo của chủ sở hữu lĩnh vực. Một đội ngũ tiếp nhận bao gồm những người có nhiều kỹ năng khác nhau, bao gồm quản lý thay đổi và truyền thông. Đội ngũ này tham gia sớm vào quá trình phát triển để có thể nêu bật các vấn đề tiếp nhận, đánh giá nhu cầu hỗ trợ tiếp nhận, và xây dựng các cẩm nang (playbook) cùng tài nguyên cho việc triển khai cuối cùng.</w:t>
      </w:r>
    </w:p>
    <w:p>
      <w:pPr>
        <w:pStyle w:val="Heading2"/>
      </w:pPr>
      <w:r>
        <w:rPr>
          <w:rFonts w:ascii="Calibri" w:hAnsi="Calibri"/>
          <w:b/>
          <w:i w:val="0"/>
          <w:sz w:val="32"/>
        </w:rPr>
        <w:t>Cân nhắc hai cách tiếp cận khác nhau để tiếp nhận các giải pháp GenAI</w:t>
      </w:r>
    </w:p>
    <w:p>
      <w:pPr>
        <w:spacing w:after="80"/>
      </w:pPr>
      <w:r>
        <w:rPr>
          <w:b w:val="0"/>
          <w:i w:val="0"/>
        </w:rPr>
        <w:t>Có hai loại ứng dụng GenAI nói chung: ngang và dọc. Các ứng dụng GenAI theo chiều ngang về cơ bản là những công cụ có thể được áp dụng rộng rãi trong toàn tổ chức và giúp mọi người làm công việc chung (như tìm kiếm tài liệu, tổng hợp kết quả, và viết email). Các ứng dụng theo chiều dọc là những quy trình công việc đầu-cuối hoặc một nhóm các ứng dụng bổ trợ lẫn nhau trong cùng một lĩnh vực.</w:t>
      </w:r>
    </w:p>
    <w:p>
      <w:pPr>
        <w:spacing w:after="80"/>
      </w:pPr>
      <w:r>
        <w:rPr>
          <w:b w:val="0"/>
          <w:i w:val="0"/>
        </w:rPr>
        <w:t>Mỗi loại đòi hỏi một phương thức tiếp nhận khác nhau, về cơ bản là những biến thể của các thực hành mà chúng tôi đã mô tả trong chương này. Các công ty nên liên tục xem lại các trường hợp sử dụng phổ biến cho các ứng dụng theo chiều ngang, và rèn luyện mọi người thử nghiệm và đưa chúng vào quy trình làm việc hàng ngày. Điều này giống như giúp ai đó hình thành thói quen tập thể dục để cải thiện sức khỏe tổng thể. Ví dụ bao gồm việc dành ra nửa ngày để học, và dành ra nửa giờ trong các cuộc họp hoặc tại các buổi off-site để thử một trường hợp sử dụng GenAI. Trong những trường hợp này, chúng tôi khuyến khích người dùng tạo ra các câu lệnh (prompt) cho trường hợp sử dụng của riêng họ, rồi sau đó xây dựng các agent của riêng họ.</w:t>
      </w:r>
    </w:p>
    <w:p>
      <w:pPr>
        <w:spacing w:after="80"/>
      </w:pPr>
      <w:r>
        <w:rPr>
          <w:b w:val="0"/>
          <w:i w:val="0"/>
        </w:rPr>
        <w:t>Những hành vi này cần được củng cố thông qua việc lãnh đạo làm gương (“Tuần này bạn đã phát triển phân tích hiệu suất bán hàng bằng nền tảng AI nội bộ của chúng ta chưa?”). Kết quả năng suất rất khó theo dõi đến tận lợi nhuận cuối cùng, nhưng chúng quan trọng để xây dựng năng lực hiểu biết về AI (AI literacy) cho lực lượng lao động của bạn. Về bản chất, đây giờ đây là chi phí để vận hành kinh doanh và nâng cao kỹ năng cho lực lượng lao động của bạn.</w:t>
      </w:r>
    </w:p>
    <w:p>
      <w:pPr>
        <w:spacing w:after="80"/>
      </w:pPr>
      <w:r>
        <w:rPr>
          <w:b w:val="0"/>
          <w:i w:val="0"/>
        </w:rPr>
        <w:t>Điều này khác với các ứng dụng theo chiều dọc, từ tự động hóa toàn diện trung tâm liên hệ đến bản sao kỹ thuật số (digital twin) của chuỗi cung ứng, cho đến marketing được cá nhân hóa. Làm việc với các giải pháp agentic theo chiều dọc tương đương với việc xây dựng một nhóm cơ cụ thể, đòi hỏi việc huấn luyện được thiết kế riêng và hoạt động thực hành trực tiếp.</w:t>
      </w:r>
    </w:p>
    <w:p>
      <w:pPr>
        <w:jc w:val="center"/>
      </w:pPr>
      <w:r>
        <w:drawing>
          <wp:inline xmlns:a="http://schemas.openxmlformats.org/drawingml/2006/main" xmlns:pic="http://schemas.openxmlformats.org/drawingml/2006/picture">
            <wp:extent cx="1905000" cy="95250"/>
            <wp:docPr id="180" name="Picture 180"/>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Tiếp nhận không phải là việc có bao nhiêu người đang sử dụng giải pháp của bạn. Điều đó quan trọng nhưng chỉ là một phần của khát vọng tiếp nhận rộng lớn hơn, đó là việc sử dụng giải pháp đó tạo ra giá trị có ý nghĩa.</w:t>
      </w:r>
    </w:p>
    <w:p>
      <w:pPr>
        <w:pStyle w:val="Heading2"/>
      </w:pPr>
      <w:r>
        <w:rPr>
          <w:rFonts w:ascii="Calibri" w:hAnsi="Calibri"/>
          <w:b/>
          <w:i w:val="0"/>
          <w:sz w:val="32"/>
        </w:rPr>
        <w:t>Ghi chú</w:t>
      </w:r>
    </w:p>
    <w:p>
      <w:pPr>
        <w:spacing w:after="80"/>
        <w:ind w:left="360"/>
      </w:pPr>
      <w:r>
        <w:t xml:space="preserve">1. </w:t>
      </w:r>
      <w:r>
        <w:rPr>
          <w:b w:val="0"/>
          <w:i w:val="0"/>
        </w:rPr>
        <w:t>1   Results, presentations, and reports, “13 Nov 2025: In focus and third quarter 2025 trading update—for nine months ended 30 September 2025,” Aviva.</w:t>
      </w:r>
    </w:p>
    <w:p>
      <w:pPr>
        <w:spacing w:after="80"/>
        <w:ind w:left="360"/>
      </w:pPr>
      <w:r>
        <w:t xml:space="preserve">2. </w:t>
      </w:r>
      <w:r>
        <w:rPr>
          <w:b w:val="0"/>
          <w:i w:val="0"/>
        </w:rPr>
        <w:t xml:space="preserve">2   Scott Keller và Colin Price, </w:t>
      </w:r>
      <w:r>
        <w:rPr>
          <w:b w:val="0"/>
          <w:i/>
        </w:rPr>
        <w:t>Beyond Performance: How Great Organizations Build Ultimate Competitive Advantage</w:t>
      </w:r>
      <w:r>
        <w:rPr>
          <w:b w:val="0"/>
          <w:i w:val="0"/>
        </w:rPr>
        <w:t>, Wiley, 2011.</w:t>
      </w:r>
    </w:p>
    <w:p>
      <w:pPr>
        <w:pStyle w:val="Heading2"/>
      </w:pPr>
      <w:r>
        <w:rPr>
          <w:rFonts w:ascii="Calibri" w:hAnsi="Calibri"/>
          <w:b/>
          <w:i/>
          <w:sz w:val="32"/>
        </w:rPr>
        <w:t>“Phần thưởng cho một công việc được làm tốt chính là cơ hội được làm nhiều hơn.”</w:t>
      </w:r>
    </w:p>
    <w:p>
      <w:pPr>
        <w:spacing w:after="80"/>
      </w:pPr>
      <w:r>
        <w:rPr>
          <w:b/>
          <w:i w:val="0"/>
        </w:rPr>
        <w:t>— Jonas Salk</w:t>
      </w:r>
    </w:p>
    <w:p>
      <w:pPr>
        <w:pStyle w:val="Heading1"/>
      </w:pPr>
      <w:r>
        <w:rPr>
          <w:rFonts w:ascii="Calibri" w:hAnsi="Calibri"/>
          <w:b/>
          <w:i w:val="0"/>
          <w:sz w:val="40"/>
        </w:rPr>
        <w:t>CHƯƠNG 31</w:t>
      </w:r>
      <w:r>
        <w:rPr>
          <w:rFonts w:ascii="Calibri" w:hAnsi="Calibri"/>
          <w:b/>
          <w:i w:val="0"/>
          <w:sz w:val="40"/>
        </w:rPr>
      </w:r>
      <w:r>
        <w:rPr>
          <w:rFonts w:ascii="Calibri" w:hAnsi="Calibri"/>
          <w:b/>
          <w:i w:val="0"/>
          <w:sz w:val="40"/>
        </w:rPr>
        <w:t>Thiết kế giải pháp để mở rộng quy mô và tái sử dụng</w:t>
      </w:r>
    </w:p>
    <w:p>
      <w:pPr>
        <w:spacing w:after="80"/>
      </w:pPr>
      <w:r>
        <w:rPr>
          <w:b w:val="0"/>
          <w:i w:val="0"/>
        </w:rPr>
        <w:t>Hãy tưởng tượng bạn đang điều hành một nhà hàng thành công. Đồ ăn tuyệt vời, không gian ấm cúng và thân thiện, dịch vụ thì đỉnh cao. Nhà hàng của bạn kín bàn mỗi tối—thực tế là bạn còn phải từ chối khách.</w:t>
      </w:r>
    </w:p>
    <w:p>
      <w:pPr>
        <w:spacing w:after="80"/>
      </w:pPr>
      <w:r>
        <w:rPr>
          <w:b w:val="0"/>
          <w:i w:val="0"/>
        </w:rPr>
        <w:t>Giờ hãy tưởng tượng bạn muốn mở thêm vài chi nhánh nữa của nhà hàng này ở các thành phố khác nhau. Bạn sẽ không cố nghĩ lại thực đơn từ đầu hay làm lại phong cách và không gian. Không, bạn sẽ lấy mô hình của nhà hàng thành công mà bạn đang có và tập trung nhân rộng nó, có thể tinh chỉnh chút ít cho những khác biệt nhỏ về khẩu vị vùng miền hoặc nét riêng của từng mặt bằng cụ thể.</w:t>
      </w:r>
    </w:p>
    <w:p>
      <w:pPr>
        <w:spacing w:after="80"/>
      </w:pPr>
      <w:r>
        <w:rPr>
          <w:b w:val="0"/>
          <w:i w:val="0"/>
        </w:rPr>
        <w:t>Ý tưởng về mô hình nhân rộng đó chính là bản chất của việc mở rộng quy mô.</w:t>
      </w:r>
    </w:p>
    <w:p>
      <w:pPr>
        <w:spacing w:after="80"/>
      </w:pPr>
      <w:r>
        <w:rPr>
          <w:b/>
          <w:i/>
        </w:rPr>
        <w:t>Mở rộng quy mô là chỗ mà hầu hết các chuyển đổi Công nghệ &amp; AI vấp ngã, và đây là một vấn đề lớn vì mở rộng quy mô cũng chính là nơi tập trung phần lớn giá trị</w:t>
      </w:r>
      <w:r>
        <w:rPr>
          <w:b/>
          <w:i w:val="0"/>
        </w:rPr>
        <w:t>.</w:t>
      </w:r>
    </w:p>
    <w:p>
      <w:pPr>
        <w:spacing w:after="80"/>
      </w:pPr>
      <w:r>
        <w:rPr>
          <w:b w:val="0"/>
          <w:i w:val="0"/>
        </w:rPr>
        <w:t>Khái niệm then chốt đằng sau việc mở rộng quy mô thành công là nhân rộng việc áp dụng các giải pháp ở những môi trường khác nhau một cách nhanh chóng và tiết kiệm. Những môi trường đó thường là các phân khúc khách hàng, chuỗi cung ứng, dây chuyền sản xuất, đơn vị kinh doanh và thị trường địa lý khác nhau trong toàn doanh nghiệp. Trong chương này, chúng ta sẽ gọi những mục tiêu nhân rộng này một cách đơn giản là các “đơn vị” (unit).</w:t>
      </w:r>
    </w:p>
    <w:p>
      <w:pPr>
        <w:spacing w:after="80"/>
      </w:pPr>
      <w:r>
        <w:rPr>
          <w:b w:val="0"/>
          <w:i w:val="0"/>
        </w:rPr>
        <w:t>Mở rộng quy mô thành công đòi hỏi phải thiết kế một phương pháp hiệu quả và hạ tầng hỗ trợ để tái sử dụng và điều chỉnh giải pháp công nghệ hoặc AI cho phù hợp với đặc thù của từng đơn vị khác nhau.</w:t>
      </w:r>
    </w:p>
    <w:p>
      <w:pPr>
        <w:pStyle w:val="Heading2"/>
      </w:pPr>
      <w:r>
        <w:rPr>
          <w:rFonts w:ascii="Calibri" w:hAnsi="Calibri"/>
          <w:b/>
          <w:i w:val="0"/>
          <w:sz w:val="32"/>
        </w:rPr>
        <w:t>Xác định các ‘đơn vị’ để mở rộng quy mô</w:t>
      </w:r>
    </w:p>
    <w:p>
      <w:pPr>
        <w:spacing w:after="80"/>
      </w:pPr>
      <w:r>
        <w:rPr>
          <w:b w:val="0"/>
          <w:i w:val="0"/>
        </w:rPr>
        <w:t>Hãy bắt đầu với một điểm hiển nhiên: không phải mọi việc mở rộng quy mô đều giống nhau. Đôi khi nó khá đơn giản. Nếu bạn đang phát triển một giải pháp trả lời các câu hỏi về chính sách nhân sự cho toàn bộ nhân viên trong một quốc gia, nó chỉ được triển khai một lần và hoạt động ở mọi nơi trong quốc gia đó. Độ phức tạp nhân rộng thấp.</w:t>
      </w:r>
    </w:p>
    <w:p>
      <w:pPr>
        <w:spacing w:after="80"/>
      </w:pPr>
      <w:r>
        <w:rPr>
          <w:b w:val="0"/>
          <w:i w:val="0"/>
        </w:rPr>
        <w:t>Nhưng một giải pháp thị giác máy tính (computer vision) để tối ưu chất lượng dây chuyền sản xuất thì sao? Nó sẽ đòi hỏi phải tinh chỉnh để nhận diện các lỗi khác nhau ở các sản phẩm khác nhau trên các dây chuyền khác nhau tại các nhà máy khác nhau với các hệ thống công nghệ khác nhau. Độ phức tạp nhân rộng ở đây cao.</w:t>
      </w:r>
    </w:p>
    <w:p>
      <w:pPr>
        <w:pStyle w:val="Heading2"/>
      </w:pPr>
      <w:r>
        <w:rPr>
          <w:rFonts w:ascii="Calibri" w:hAnsi="Calibri"/>
          <w:b/>
          <w:i w:val="0"/>
          <w:sz w:val="32"/>
        </w:rPr>
        <w:t>Các phương án sắp xếp trình tự để mở rộng quy mô</w:t>
      </w:r>
    </w:p>
    <w:p>
      <w:pPr>
        <w:spacing w:after="80"/>
      </w:pPr>
      <w:r>
        <w:rPr>
          <w:b w:val="0"/>
          <w:i w:val="0"/>
        </w:rPr>
        <w:t>Việc chọn đúng trình tự mở rộng quy mô phụ thuộc vào độ phức tạp tổng thể của giải pháp, mức độ sẵn sàng của tổ chức để tiếp nhận thay đổi, và tính cấp bách. Ba phương án chính là:</w:t>
      </w:r>
    </w:p>
    <w:p>
      <w:pPr>
        <w:spacing w:after="80"/>
        <w:ind w:left="360"/>
      </w:pPr>
      <w:r>
        <w:t xml:space="preserve">1. </w:t>
      </w:r>
      <w:r>
        <w:rPr>
          <w:b/>
          <w:i w:val="0"/>
        </w:rPr>
        <w:t>Các làn sóng tuyến tính.</w:t>
      </w:r>
      <w:r>
        <w:rPr>
          <w:b w:val="0"/>
          <w:i w:val="0"/>
        </w:rPr>
        <w:t xml:space="preserve"> Cách tiếp cận này là mở rộng quy mô tuần tự từ đơn vị này sang đơn vị tiếp theo, với một đội ngũ trung tâm xây dựng năng lực cho từng đơn vị mới. Cách này chậm hơn, nhưng nó cho phép tiến bộ đều đặn, đảm bảo thu được giá trị ở mỗi đơn vị trước khi chuyển sang đơn vị tiếp theo. Cách tiếp cận này hợp lý nhất trong bối cảnh có ít đơn vị giá trị cao, chẳng hạn như các mỏ khai khoáng hay nhà máy lọc dầu, nơi các địa điểm khác nhau và phải được sắp xếp theo trình tự.</w:t>
      </w:r>
    </w:p>
    <w:p>
      <w:pPr>
        <w:spacing w:after="80"/>
        <w:ind w:left="360"/>
      </w:pPr>
      <w:r>
        <w:t xml:space="preserve">2. </w:t>
      </w:r>
      <w:r>
        <w:rPr>
          <w:b/>
          <w:i w:val="0"/>
        </w:rPr>
        <w:t>Các làn sóng theo cấp số nhân.</w:t>
      </w:r>
      <w:r>
        <w:rPr>
          <w:b w:val="0"/>
          <w:i w:val="0"/>
        </w:rPr>
        <w:t xml:space="preserve"> Cách tiếp cận này là triển khai theo những làn sóng ngày càng lớn. Làn sóng đầu tiên có thể có hai đơn vị, làn sóng thứ hai bốn đơn vị, làn sóng thứ ba tám đơn vị, và cứ thế tiếp tục. Nó thường đòi hỏi phải dùng mô hình đào tạo người đào tạo (train-the-trainer). Các làn sóng theo cấp số nhân tạo ra tác động nhanh hơn, nhưng chất lượng triển khai có thể khó duy trì hơn. Cách tiếp cận này phát huy hiệu quả tốt nhất với số lượng lớn các đơn vị (có giá trị thấp hơn).</w:t>
      </w:r>
    </w:p>
    <w:p>
      <w:pPr>
        <w:spacing w:after="80"/>
        <w:ind w:left="360"/>
      </w:pPr>
      <w:r>
        <w:t xml:space="preserve">3. </w:t>
      </w:r>
      <w:r>
        <w:rPr>
          <w:b/>
          <w:i w:val="0"/>
        </w:rPr>
        <w:t>Big bang.</w:t>
      </w:r>
      <w:r>
        <w:rPr>
          <w:b w:val="0"/>
          <w:i w:val="0"/>
        </w:rPr>
        <w:t xml:space="preserve"> Cách tiếp cận này là triển khai một giải pháp trên toàn bộ tổ chức cùng một lúc. Ví dụ, một giải pháp lập lịch cho các tuyến bay sẽ hợp lý khi triển khai ở mọi nơi cùng lúc. Kiểu mẫu này đòi hỏi phải xây dựng năng lực cho tất cả các vai trò then chốt cùng một lúc, thường là dùng các đội triển khai phối hợp được bố trí khắp tổ chức. Cách tiếp cận này phát huy hiệu quả nhất trong các doanh nghiệp dạng mạng lưới.</w:t>
      </w:r>
    </w:p>
    <w:p>
      <w:pPr>
        <w:spacing w:after="80"/>
      </w:pPr>
      <w:r>
        <w:rPr>
          <w:b w:val="0"/>
          <w:i w:val="0"/>
        </w:rPr>
        <w:t>Xác định đơn vị quy mô (scale unit) của bạn là một bước then chốt để hiểu được độ phức tạp (và chi phí) tiềm ẩn, và cần phải làm trước khi bạn bắt đầu phát triển giải pháp. Đừng xem nhẹ bước này; việc thống nhất quan điểm thường khó hơn cả việc phát triển chính giải pháp đó.</w:t>
      </w:r>
    </w:p>
    <w:p>
      <w:pPr>
        <w:spacing w:after="80"/>
      </w:pPr>
      <w:r>
        <w:rPr>
          <w:b w:val="0"/>
          <w:i w:val="0"/>
        </w:rPr>
        <w:t>Khi đã thống nhất được, bạn có thể xác định trình tự triển khai (sequencing rollout), chiến lược tài sản hóa (assetization strategy) (nghĩa là cách xây dựng một giải pháp nhất định sao cho nó có thể dễ dàng được nhân bản và tùy chỉnh—xem thêm phần dưới về nội dung này), và thời điểm đạt ROI.</w:t>
      </w:r>
    </w:p>
    <w:p>
      <w:pPr>
        <w:spacing w:after="80"/>
      </w:pPr>
      <w:r>
        <w:rPr>
          <w:b/>
          <w:i/>
        </w:rPr>
        <w:t>Một bước then chốt để mở rộng quy mô là làm cho các trưởng đơn vị khác nhau thống nhất về tiềm năng giá trị trong đơn vị cụ thể của họ, hiểu rõ kỳ vọng dành cho họ, giải phóng đúng nguồn lực tài chính và nhân sự, và đồng thuận về trách nhiệm giải trình đối với những lợi ích kỳ vọng</w:t>
      </w:r>
      <w:r>
        <w:rPr>
          <w:b/>
          <w:i w:val="0"/>
        </w:rPr>
        <w:t>.</w:t>
      </w:r>
    </w:p>
    <w:p>
      <w:pPr>
        <w:spacing w:after="80"/>
      </w:pPr>
      <w:r>
        <w:rPr>
          <w:b w:val="0"/>
          <w:i w:val="0"/>
        </w:rPr>
        <w:t>Tiếp theo, bạn cần xác định trình tự các đơn vị nơi giải pháp sẽ được triển khai. Thường có ba cân nhắc quan trọng trong việc thiết kế trình tự này: thời gian đạt giá trị, mức độ dễ triển khai, và mức độ sẵn sàng của đơn vị.</w:t>
      </w:r>
    </w:p>
    <w:p>
      <w:pPr>
        <w:jc w:val="center"/>
      </w:pPr>
      <w:r>
        <w:drawing>
          <wp:inline xmlns:a="http://schemas.openxmlformats.org/drawingml/2006/main" xmlns:pic="http://schemas.openxmlformats.org/drawingml/2006/picture">
            <wp:extent cx="457200" cy="447675"/>
            <wp:docPr id="181" name="Picture 181"/>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Cách tiếp cận mở rộng quy mô quốc tế của Daimler</w:t>
      </w:r>
    </w:p>
    <w:p>
      <w:pPr>
        <w:spacing w:after="80"/>
      </w:pPr>
      <w:r>
        <w:rPr>
          <w:b w:val="0"/>
          <w:i w:val="0"/>
        </w:rPr>
        <w:t>Lấy ví dụ về Daimler, một hãng sản xuất xe tải toàn cầu hoạt động khắp Bắc Mỹ, châu Âu và châu Á. Công ty đặt mục tiêu biến GenAI thành giá trị kinh doanh đo lường được trên các chức năng kinh doanh. Với quy mô của doanh nghiệp, vấn đề then chốt đối với Daimler là làm sao mở rộng quy mô các giải pháp của mình trên tất cả các chức năng trên toàn thế giới.</w:t>
      </w:r>
    </w:p>
    <w:p>
      <w:pPr>
        <w:spacing w:after="80"/>
      </w:pPr>
      <w:r>
        <w:rPr>
          <w:b w:val="0"/>
          <w:i w:val="0"/>
        </w:rPr>
        <w:t>Daimler có lợi thế dẫn trước vì có thể kế thừa lịch sử cả một thập kỷ triển khai các giải pháp học máy (machine learning - ML) trên nhiều chức năng—GenAI là bước tiến tự nhiên tiếp theo khi năng lực công nghệ phát triển. Tận dụng kinh nghiệm với các ca sử dụng ML, công ty khởi động một giai đoạn ban đầu để khám phá tác động đằng sau các ca sử dụng GenAI.</w:t>
      </w:r>
    </w:p>
    <w:p>
      <w:pPr>
        <w:spacing w:after="80"/>
      </w:pPr>
      <w:r>
        <w:rPr>
          <w:b w:val="0"/>
          <w:i w:val="0"/>
        </w:rPr>
        <w:t>Trong giai đoạn ban đầu, Daimler đánh giá hơn 50 giải pháp GenAI khả thi trên một “khối lập phương” gồm các lĩnh vực, đơn vị kinh doanh và khu vực địa lý để xác định mức độ tác động, khoản đầu tư cần thiết, và mức độ dễ mở rộng quy mô. Phân tích này xác định được mười giải pháp triển vọng nhất theo các tiêu chí, mỗi giải pháp có tiềm năng hàng triệu đô la. Những giải pháp này trở thành các chương trình ngọn hải đăng (lighthouse program) của Daimler, như thể hiện trong Hình 31.1.</w:t>
      </w:r>
    </w:p>
    <w:p>
      <w:pPr>
        <w:spacing w:after="80"/>
      </w:pPr>
      <w:r>
        <w:rPr>
          <w:b w:val="0"/>
          <w:i w:val="0"/>
        </w:rPr>
        <w:t>Để đảm bảo các giải pháp sẽ mở rộng được quy mô, Daimler đưa ra một kế hoạch ba giai đoạn. Mục tiêu của giai đoạn đầu là cho thấy tác động của các ca sử dụng ban đầu tại các thị trường thí điểm như những bằng chứng thực tế. Giai đoạn hai tập trung vào việc hoàn thiện mô hình vận hành, và giai đoạn ba tập trung vào việc mở rộng quy mô để thu trọn giá trị trên các chức năng và khu vực.</w:t>
      </w:r>
    </w:p>
    <w:p>
      <w:pPr>
        <w:spacing w:after="80"/>
      </w:pPr>
      <w:r>
        <w:rPr>
          <w:b w:val="0"/>
          <w:i w:val="0"/>
        </w:rPr>
        <w:t>Daimler muốn tạo ra quyền sở hữu thực sự trên toàn doanh nghiệp ngay từ đầu và tránh việc các khu vực phải “xếp hàng chờ đợi.” Vì vậy mỗi đơn vị kinh doanh được giao quyền sở hữu một ngọn hải đăng khác nhau và chịu trách nhiệm phát triển nhanh chóng. Châu Âu, chẳng hạn, dẫn dắt R&amp;D SpecBook (một trợ lý ảo hỗ trợ các kỹ sư phần cứng tạo và chỉnh sửa sách đặc tả); Bắc Mỹ dẫn dắt một copilot cho trung tâm cuộc gọi dịch vụ sau bán hàng; và châu Á dẫn dắt một giải pháp để xác định và truyền đạt các mức chiết khấu nhất quán cho khách hàng.</w:t>
      </w:r>
    </w:p>
    <w:p>
      <w:pPr>
        <w:spacing w:after="80"/>
      </w:pPr>
      <w:r>
        <w:rPr>
          <w:b w:val="0"/>
          <w:i w:val="0"/>
        </w:rPr>
        <w:t>Giai đoạn “chứng minh” đầu tiên này đã thành công ở nhiều ngọn hải đăng: công cụ tạo R&amp;D SpecBook xác định được mức tiết kiệm thời gian khoảng 35% khi chỉnh sửa sách đặc tả; công cụ tạo khách hàng tiềm năng cho bán hàng giúp tăng tới 20% thời gian tiếp xúc khách hàng; và trợ lý trung tâm cuộc gọi dịch vụ sau bán hàng mang lại mức tăng hiệu quả khoảng 15–30%.</w:t>
      </w:r>
    </w:p>
    <w:p>
      <w:pPr>
        <w:spacing w:after="80"/>
      </w:pPr>
      <w:r>
        <w:rPr>
          <w:b w:val="0"/>
          <w:i w:val="0"/>
        </w:rPr>
        <w:t>Việc mở rộng quy mô những giải pháp này và các giải pháp khác trên toàn công ty không hề đơn giản. Ngay từ đầu quy trình, Daimler đã bắt buộc rằng các thành phần của mỗi giải pháp phải được tài sản hóa (nghĩa là chúng được tạo ra theo cách có thể dễ dàng tái sử dụng) và được cung cấp qua nền tảng (ví dụ, với ca sử dụng tài chính, các thành phần được tài sản hóa bao gồm trích xuất và xác minh dữ liệu tài chính).</w:t>
      </w:r>
    </w:p>
    <w:p>
      <w:pPr>
        <w:jc w:val="center"/>
      </w:pPr>
      <w:r>
        <w:drawing>
          <wp:inline xmlns:a="http://schemas.openxmlformats.org/drawingml/2006/main" xmlns:pic="http://schemas.openxmlformats.org/drawingml/2006/picture">
            <wp:extent cx="5486400" cy="6712527"/>
            <wp:docPr id="182" name="Picture 182"/>
            <wp:cNvGraphicFramePr>
              <a:graphicFrameLocks noChangeAspect="1"/>
            </wp:cNvGraphicFramePr>
            <a:graphic>
              <a:graphicData uri="http://schemas.openxmlformats.org/drawingml/2006/picture">
                <pic:pic>
                  <pic:nvPicPr>
                    <pic:cNvPr id="0" name="c31ex001.png"/>
                    <pic:cNvPicPr/>
                  </pic:nvPicPr>
                  <pic:blipFill>
                    <a:blip r:embed="rId138"/>
                    <a:stretch>
                      <a:fillRect/>
                    </a:stretch>
                  </pic:blipFill>
                  <pic:spPr>
                    <a:xfrm>
                      <a:off x="0" y="0"/>
                      <a:ext cx="5486400" cy="6712527"/>
                    </a:xfrm>
                    <a:prstGeom prst="rect"/>
                  </pic:spPr>
                </pic:pic>
              </a:graphicData>
            </a:graphic>
          </wp:inline>
        </w:drawing>
      </w:r>
    </w:p>
    <w:p>
      <w:pPr>
        <w:spacing w:after="160"/>
        <w:jc w:val="center"/>
      </w:pPr>
      <w:r>
        <w:rPr>
          <w:rFonts w:ascii="Calibri" w:hAnsi="Calibri"/>
          <w:b w:val="0"/>
          <w:i/>
          <w:sz w:val="19"/>
        </w:rPr>
        <w:t>HÌNH 31.1</w:t>
      </w:r>
    </w:p>
    <w:p>
      <w:pPr>
        <w:spacing w:after="80"/>
      </w:pPr>
      <w:r>
        <w:rPr>
          <w:b w:val="0"/>
          <w:i w:val="0"/>
        </w:rPr>
        <w:t>Sự tập trung vào tài sản hóa này làm nổi bật giai đoạn hai của chương trình: dẫn dắt Daimler thiết lập một trung tâm xuất sắc (center of excellence - COE) để giám sát quản trị kiến trúc, đặt ra các tiêu chuẩn về khả năng tái sử dụng, và phát triển một nền tảng GenAI nơi các thành phần giải pháp có thể dễ dàng được tìm thấy và tái sử dụng. Nhóm này hệ thống hóa các thực hành tốt nhất (như cách tiếp cận thiết kế lấy người dùng làm trung tâm và tích hợp không phụ thuộc nhà cung cấp) thành một cẩm nang thay đổi (change playbook) mà mỗi nhóm giải pháp mới có thể nhanh chóng sử dụng.</w:t>
      </w:r>
    </w:p>
    <w:p>
      <w:pPr>
        <w:spacing w:after="80"/>
      </w:pPr>
      <w:r>
        <w:rPr>
          <w:b w:val="0"/>
          <w:i w:val="0"/>
        </w:rPr>
        <w:t>Phát triển năng lực khuyến khích và hỗ trợ việc tái sử dụng chính là trọng tâm cốt lõi của giai đoạn thứ ba trong chiến lược mở rộng quy mô của Daimler. Khi các giải pháp được triển khai, chẳng hạn, các nhóm đã thêm công nghệ và dịch vụ vào các thư viện có thể tái sử dụng (như giao diện chat và các bộ phân tích cú pháp), đưa chúng lên một nền tảng duy nhất có thể truy cập thông qua một cổng kết nối (gateway). Các thành phần cốt lõi cho giải pháp (như giao diện chat, và các bộ phân tích cú pháp PDF và hình ảnh) nằm trên nền tảng chia sẻ này, trong khi các đường ống dữ liệu (data pipeline) chặng cuối và tích hợp hệ thống cục bộ có thể được tùy chỉnh theo đơn vị kinh doanh và khu vực địa lý.</w:t>
      </w:r>
    </w:p>
    <w:p>
      <w:pPr>
        <w:spacing w:after="80"/>
      </w:pPr>
      <w:r>
        <w:rPr>
          <w:b w:val="0"/>
          <w:i w:val="0"/>
        </w:rPr>
        <w:t>Việc tập trung vào khả năng tái sử dụng kiểu "giặt rồi lặp lại" (rinse-and-repeat) này đã giúp Daimler tăng tốc việc triển khai và áp dụng các giải pháp của họ. Ví dụ, khi các nhóm ở thị trường châu Âu xây dựng giải pháp tạo khách hàng tiềm năng (lead generation), họ tập trung vào các bước đầu của quy trình đầu-cuối, bao gồm xây dựng thuật toán tìm khách hàng tiềm năng và tạo hồ sơ khách hàng, những thứ có thể dễ dàng tái sử dụng ở các thị trường khác như Nhật Bản.</w:t>
      </w:r>
    </w:p>
    <w:p>
      <w:pPr>
        <w:spacing w:after="80"/>
      </w:pPr>
      <w:r>
        <w:rPr>
          <w:b w:val="0"/>
          <w:i w:val="0"/>
        </w:rPr>
        <w:t>Khi thị trường Nhật Bản áp dụng năng lực này, họ không phải xây dựng lại mà thay vào đó dồn phần lớn sức lực vào việc phát triển các giải pháp mới cho những bước sau trong quy trình, như hướng dẫn giảm giá và đề xuất cấu hình cần thiết cho một công cụ cấu hình bán hàng (sales configurator). Công việc về công cụ cấu hình bán hàng do Nhật Bản phát triển lại tiếp tục được tái sử dụng ở Bắc Mỹ.</w:t>
      </w:r>
    </w:p>
    <w:p>
      <w:pPr>
        <w:spacing w:after="80"/>
      </w:pPr>
      <w:r>
        <w:rPr>
          <w:b w:val="0"/>
          <w:i w:val="0"/>
        </w:rPr>
        <w:t>Bằng cách này, năng lực tạo khách hàng tiềm năng tổng thể của họ đã được triển khai qua ba giai đoạn quy trình chính trong cùng khoảng thời gian mà lẽ ra chỉ đủ để hoàn thành một giai đoạn của năng lực đó.</w:t>
      </w:r>
    </w:p>
    <w:p>
      <w:pPr>
        <w:spacing w:after="80"/>
      </w:pPr>
      <w:r>
        <w:rPr>
          <w:b w:val="0"/>
          <w:i w:val="0"/>
        </w:rPr>
        <w:t>Trong tương lai, những giải pháp đã mở rộng quy mô này đang trở thành một yếu tố cốt lõi trong tầm nhìn của Daimler nhằm tái định hình căn bản các lĩnh vực của mình. Tham vọng là thiết kế các quy trình công việc và giải pháp dạng tác tử (agentic) được tái định hình hoàn toàn (ví dụ: từ khách hàng tiềm năng đến đơn hàng - lead-to-order) với "con người dẫn dắt" tại các điểm kiểm soát quan trọng. Một ví dụ là phát triển phần mềm xe (như định nghĩa yêu cầu, viết mã, kiểm thử và tài liệu hóa) sẽ tiến hóa thành một hệ thống tác tử tự động, tự cải thiện trong trung hạn. Trong khi công nghệ là cốt lõi trong nỗ lực tái định hình các lĩnh vực của công ty, quá trình chuyển đổi vẫn do kinh doanh dẫn dắt với mục tiêu chính là tạo ra giá trị kinh doanh.</w:t>
      </w:r>
    </w:p>
    <w:p>
      <w:pPr>
        <w:pStyle w:val="Heading2"/>
      </w:pPr>
      <w:r>
        <w:rPr>
          <w:rFonts w:ascii="Calibri" w:hAnsi="Calibri"/>
          <w:b/>
          <w:i w:val="0"/>
          <w:sz w:val="32"/>
        </w:rPr>
        <w:t>Tài sản hóa (Assetization): Phương pháp tái sử dụng giải pháp của bạn</w:t>
      </w:r>
    </w:p>
    <w:p>
      <w:pPr>
        <w:spacing w:after="80"/>
      </w:pPr>
      <w:r>
        <w:rPr>
          <w:b w:val="0"/>
          <w:i w:val="0"/>
        </w:rPr>
        <w:t>Điều gì sẽ xảy ra nếu một công ty xây dựng từng thành phần của sản phẩm từ đầu với mỗi đơn hàng? Rất có thể bất kỳ giám đốc điều hành nào cũng sẽ coi cách làm đó là một dấu hiệu cảnh báo lớn, cản trở lợi thế kinh tế theo quy mô và tạo ra mức rủi ro không thể chấp nhận được.</w:t>
      </w:r>
    </w:p>
    <w:p>
      <w:pPr>
        <w:spacing w:after="80"/>
      </w:pPr>
      <w:r>
        <w:rPr>
          <w:b w:val="0"/>
          <w:i w:val="0"/>
        </w:rPr>
        <w:t>Đáng tiếc thay, khi nói đến việc mở rộng quy mô các giải pháp Tech &amp; AI, các công ty thường thấy mình phải làm lại rất nhiều việc. Đây là kẻ giết chết việc mở rộng quy mô. Mở rộng quy mô hiệu quả phụ thuộc vào khả năng tái sử dụng càng nhiều phần của giải pháp càng tốt khi triển khai nó trong toàn doanh nghiệp.</w:t>
      </w:r>
    </w:p>
    <w:p>
      <w:pPr>
        <w:spacing w:after="80"/>
      </w:pPr>
      <w:r>
        <w:rPr>
          <w:b w:val="0"/>
          <w:i w:val="0"/>
        </w:rPr>
        <w:t>Để nắm bắt lợi ích đó, giải pháp Tech &amp; AI phải được đóng gói thành một tập hợp các mô-đun hoặc tài sản có thể dễ dàng tái sử dụng, nghĩa là chúng được tài sản hóa (một số người thích thuật ngữ "sản phẩm hóa" - productized). Tài sản hóa giúp việc điều chỉnh giải pháp theo những khác biệt không thể tránh khỏi trong điều kiện của từng đơn vị trở nên dễ dàng hơn.</w:t>
      </w:r>
    </w:p>
    <w:p>
      <w:pPr>
        <w:spacing w:after="80"/>
      </w:pPr>
      <w:r>
        <w:rPr>
          <w:b w:val="0"/>
          <w:i w:val="0"/>
        </w:rPr>
        <w:t>Việc đầu tiên cần làm khi phát triển phương pháp tái sử dụng giải pháp là nhận ra rằng các giải pháp có mức độ tái sử dụng khác nhau. Một số giải pháp rất đặc thù và được tùy chỉnh nên hầu như không thể tái sử dụng. Những giải pháp khác hoàn toàn được chuẩn hóa và có thể được đóng gói thành các ứng dụng phần mềm.</w:t>
      </w:r>
    </w:p>
    <w:p>
      <w:pPr>
        <w:jc w:val="center"/>
      </w:pPr>
      <w:r>
        <w:drawing>
          <wp:inline xmlns:a="http://schemas.openxmlformats.org/drawingml/2006/main" xmlns:pic="http://schemas.openxmlformats.org/drawingml/2006/picture">
            <wp:extent cx="457200" cy="447675"/>
            <wp:docPr id="183" name="Picture 183"/>
            <wp:cNvGraphicFramePr>
              <a:graphicFrameLocks noChangeAspect="1"/>
            </wp:cNvGraphicFramePr>
            <a:graphic>
              <a:graphicData uri="http://schemas.openxmlformats.org/drawingml/2006/picture">
                <pic:pic>
                  <pic:nvPicPr>
                    <pic:cNvPr id="0" name="RULE_OF_THUMB_blue.png"/>
                    <pic:cNvPicPr/>
                  </pic:nvPicPr>
                  <pic:blipFill>
                    <a:blip r:embed="rId139"/>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KINH NGHIỆM</w:t>
      </w:r>
    </w:p>
    <w:p>
      <w:pPr>
        <w:pStyle w:val="Heading3"/>
      </w:pPr>
      <w:r>
        <w:rPr>
          <w:rFonts w:ascii="Calibri" w:hAnsi="Calibri"/>
          <w:b/>
          <w:i w:val="0"/>
          <w:sz w:val="26"/>
        </w:rPr>
        <w:t>Phạm vi khả năng tái sử dụng</w:t>
      </w:r>
    </w:p>
    <w:p>
      <w:pPr>
        <w:spacing w:after="80"/>
      </w:pPr>
      <w:r>
        <w:rPr>
          <w:b w:val="0"/>
          <w:i w:val="0"/>
        </w:rPr>
        <w:t>Khi phát triển các giải pháp Tech &amp; AI, mục tiêu nên là có 60–90% của mỗi giải pháp có thể tái sử dụng, phần còn lại cần được tùy chỉnh theo điều kiện địa phương.</w:t>
      </w:r>
    </w:p>
    <w:p>
      <w:pPr>
        <w:spacing w:after="80"/>
      </w:pPr>
      <w:r>
        <w:rPr>
          <w:b w:val="0"/>
          <w:i w:val="0"/>
        </w:rPr>
        <w:t>Đối với các giải pháp GenAI, những năng lực như lớp truy cập mô hình (một cổng kết nối LLM - LLM gateway), ngăn xếp truy xuất (retrieval stack) (như các bộ phân tích cú pháp tài liệu và embeddings/vector store), và các công cụ đánh giá và rào chắn (guardrail) thường có thể tái sử dụng qua nhiều trường hợp sử dụng.</w:t>
      </w:r>
    </w:p>
    <w:p>
      <w:pPr>
        <w:spacing w:after="80"/>
      </w:pPr>
      <w:r>
        <w:rPr>
          <w:b w:val="0"/>
          <w:i w:val="0"/>
        </w:rPr>
        <w:t>Những thứ có xu hướng thay đổi theo đơn vị kinh doanh hoặc khu vực là các chính sách địa phương, lược đồ dữ liệu (data schema) chi tiết, và cả tích hợp đường ống dữ liệu lẫn quy trình công việc với các hệ thống lõi cục bộ (như CRM cho bán hàng hoặc MES cho sản xuất).</w:t>
      </w:r>
    </w:p>
    <w:p>
      <w:pPr>
        <w:spacing w:after="80"/>
      </w:pPr>
      <w:r>
        <w:rPr>
          <w:b w:val="0"/>
          <w:i w:val="0"/>
        </w:rPr>
        <w:t>Tài sản hóa hiệu quả đòi hỏi các yếu tố sau:</w:t>
      </w:r>
    </w:p>
    <w:p>
      <w:pPr>
        <w:spacing w:after="80"/>
        <w:ind w:left="360"/>
      </w:pPr>
      <w:r>
        <w:t xml:space="preserve">1. </w:t>
      </w:r>
      <w:r>
        <w:rPr>
          <w:b/>
          <w:i w:val="0"/>
        </w:rPr>
        <w:t>Một mô hình vận hành rõ ràng.</w:t>
      </w:r>
      <w:r>
        <w:rPr>
          <w:b w:val="0"/>
          <w:i w:val="0"/>
        </w:rPr>
        <w:t xml:space="preserve"> Phát triển các tài sản có thể tái sử dụng đòi hỏi phải có một đội ngũ trung tâm chịu trách nhiệm sở hữu, duy trì và phát triển 70% giải pháp có thể tái sử dụng. Một đội triển khai tại hiện trường quản lý 30% giải pháp cần được tùy chỉnh và thúc đẩy việc áp dụng ở cấp đơn vị. Sự phân chia lao động và trách nhiệm này cần phải rõ ràng và được cấp nguồn lực đầy đủ. Đối với cả hai đội, chủ sở hữu sản phẩm (product owner) và các chuyên gia chủ đề (SME) nên đến từ phía kinh doanh của tổ chức và có kinh nghiệm kinh doanh sâu sắc.</w:t>
      </w:r>
    </w:p>
    <w:p>
      <w:pPr>
        <w:spacing w:after="80"/>
        <w:ind w:left="360"/>
      </w:pPr>
      <w:r>
        <w:t xml:space="preserve">2. </w:t>
      </w:r>
      <w:r>
        <w:rPr>
          <w:b/>
          <w:i w:val="0"/>
        </w:rPr>
        <w:t>Các bước của quy trình triển khai.</w:t>
      </w:r>
      <w:r>
        <w:rPr>
          <w:b w:val="0"/>
          <w:i w:val="0"/>
        </w:rPr>
        <w:t xml:space="preserve"> Đây là những hướng dẫn từng bước về triển khai và vận hành cần thiết để các đội có thể sử dụng giải pháp. Về cơ bản, đây là một cách chuẩn hóa để đào tạo mọi người cách xây dựng, sử dụng và quản lý giải pháp, bao gồm làm rõ những khu vực cụ thể sẽ cần được tùy chỉnh cho nhu cầu riêng của từng đơn vị.</w:t>
      </w:r>
    </w:p>
    <w:p>
      <w:pPr>
        <w:spacing w:after="80"/>
        <w:ind w:left="360"/>
      </w:pPr>
      <w:r>
        <w:t xml:space="preserve">3. </w:t>
      </w:r>
      <w:r>
        <w:rPr>
          <w:b/>
          <w:i w:val="0"/>
        </w:rPr>
        <w:t>Các thành phần công nghệ dạng mô-đun.</w:t>
      </w:r>
      <w:r>
        <w:rPr>
          <w:b w:val="0"/>
          <w:i w:val="0"/>
        </w:rPr>
        <w:t xml:space="preserve"> Điều này nói về việc sử dụng các khối mã (code) có thể được tiêu thụ qua API và dễ dàng thay thế mà không ảnh hưởng đến phần còn lại của giải pháp. Điều này giúp tăng tốc việc tùy chỉnh cho một tình huống cụ thể khi mở rộng quy mô. Trong ví dụ được nêu ở Hình 31.2, một công ty khai khoáng đã sử dụng kiến trúc mô-đun được chia thành nhiều lớp để tối đa hóa việc tái sử dụng mã tại các mỏ khai khoáng khác, ngay cả khi môi trường công nghệ và dữ liệu của các mỏ này khác nhau. Khả năng tái sử dụng áp dụng cho mọi lớp của ngăn xếp công nghệ (tech stack).</w:t>
      </w:r>
    </w:p>
    <w:p>
      <w:pPr>
        <w:jc w:val="center"/>
      </w:pPr>
      <w:r>
        <w:drawing>
          <wp:inline xmlns:a="http://schemas.openxmlformats.org/drawingml/2006/main" xmlns:pic="http://schemas.openxmlformats.org/drawingml/2006/picture">
            <wp:extent cx="5486400" cy="5389695"/>
            <wp:docPr id="184" name="Picture 184"/>
            <wp:cNvGraphicFramePr>
              <a:graphicFrameLocks noChangeAspect="1"/>
            </wp:cNvGraphicFramePr>
            <a:graphic>
              <a:graphicData uri="http://schemas.openxmlformats.org/drawingml/2006/picture">
                <pic:pic>
                  <pic:nvPicPr>
                    <pic:cNvPr id="0" name="c31ex002.png"/>
                    <pic:cNvPicPr/>
                  </pic:nvPicPr>
                  <pic:blipFill>
                    <a:blip r:embed="rId140"/>
                    <a:stretch>
                      <a:fillRect/>
                    </a:stretch>
                  </pic:blipFill>
                  <pic:spPr>
                    <a:xfrm>
                      <a:off x="0" y="0"/>
                      <a:ext cx="5486400" cy="5389695"/>
                    </a:xfrm>
                    <a:prstGeom prst="rect"/>
                  </pic:spPr>
                </pic:pic>
              </a:graphicData>
            </a:graphic>
          </wp:inline>
        </w:drawing>
      </w:r>
    </w:p>
    <w:p>
      <w:pPr>
        <w:spacing w:after="160"/>
        <w:jc w:val="center"/>
      </w:pPr>
      <w:r>
        <w:rPr>
          <w:rFonts w:ascii="Calibri" w:hAnsi="Calibri"/>
          <w:b w:val="0"/>
          <w:i/>
          <w:sz w:val="19"/>
        </w:rPr>
        <w:t>HÌNH 31.2</w:t>
      </w:r>
    </w:p>
    <w:p>
      <w:pPr>
        <w:spacing w:after="80"/>
      </w:pPr>
      <w:r>
        <w:rPr>
          <w:b w:val="0"/>
          <w:i w:val="0"/>
        </w:rPr>
        <w:t>Cơ hội tái sử dụng giải pháp sẽ trở nên thú vị và phức tạp hơn trong kỷ nguyên AI tác tử (agentic AI). Về bản chất, các luồng công việc tác tử (agentic workflow) là tập hợp các tác vụ tác tử riêng lẻ, được điều hành bởi các tác tử điều phối (orchestrator agent) nhận diện ý định và gọi các tác vụ này vào hành động, cùng các tác tử tuân thủ (compliance agent) kiểm tra tính chính xác và việc tuân thủ các rào chắn chính sách (policy guardrail).</w:t>
      </w:r>
    </w:p>
    <w:p>
      <w:pPr>
        <w:spacing w:after="80"/>
      </w:pPr>
      <w:r>
        <w:rPr>
          <w:b w:val="0"/>
          <w:i w:val="0"/>
        </w:rPr>
        <w:t>Nếu được thiết kế một cách kỹ lưỡng, những tác tử này có thể được tái sử dụng across các luồng công việc khác nhau, từ trung tâm liên hệ khách hàng đến bộ phận hỗ trợ IT, hay từ việc xem xét yêu cầu bồi thường đến hợp đồng.</w:t>
      </w:r>
    </w:p>
    <w:p>
      <w:pPr>
        <w:spacing w:after="80"/>
      </w:pPr>
      <w:r>
        <w:rPr>
          <w:b w:val="0"/>
          <w:i w:val="0"/>
        </w:rPr>
        <w:t>Một cách tiếp cận tài sản hóa (assetization) thông minh có thể mang lại những lợi ích đáng kể về tốc độ và hiệu quả triển khai. Hình 31.3 cho thấy việc triển khai các bộ tối ưu điểm đặt (set-point optimizer) trong hai môi trường công nghiệp khác nhau, và những lợi ích về tốc độ triển khai nhờ việc tài sản hóa hiệu quả.</w:t>
      </w:r>
    </w:p>
    <w:p>
      <w:pPr>
        <w:spacing w:after="80"/>
      </w:pPr>
      <w:r>
        <w:rPr>
          <w:b w:val="0"/>
          <w:i w:val="0"/>
        </w:rPr>
        <w:t>Các đơn vị càng được chuẩn hóa thì lợi ích càng lớn, một điểm được phản ánh trong hình minh họa, nơi một đội máy phát điện đạt được nhiều lợi ích hơn từ việc tài sản hóa vì phần lớn giải pháp là chung cho các nhà máy (khác với các hoạt động chế biến khoáng sản, vốn thường gắn với địa điểm và loại quặng cụ thể hơn).</w:t>
      </w:r>
    </w:p>
    <w:p>
      <w:pPr>
        <w:jc w:val="center"/>
      </w:pPr>
      <w:r>
        <w:drawing>
          <wp:inline xmlns:a="http://schemas.openxmlformats.org/drawingml/2006/main" xmlns:pic="http://schemas.openxmlformats.org/drawingml/2006/picture">
            <wp:extent cx="5486400" cy="4466348"/>
            <wp:docPr id="185" name="Picture 185"/>
            <wp:cNvGraphicFramePr>
              <a:graphicFrameLocks noChangeAspect="1"/>
            </wp:cNvGraphicFramePr>
            <a:graphic>
              <a:graphicData uri="http://schemas.openxmlformats.org/drawingml/2006/picture">
                <pic:pic>
                  <pic:nvPicPr>
                    <pic:cNvPr id="0" name="c31ex003.png"/>
                    <pic:cNvPicPr/>
                  </pic:nvPicPr>
                  <pic:blipFill>
                    <a:blip r:embed="rId141"/>
                    <a:stretch>
                      <a:fillRect/>
                    </a:stretch>
                  </pic:blipFill>
                  <pic:spPr>
                    <a:xfrm>
                      <a:off x="0" y="0"/>
                      <a:ext cx="5486400" cy="4466348"/>
                    </a:xfrm>
                    <a:prstGeom prst="rect"/>
                  </pic:spPr>
                </pic:pic>
              </a:graphicData>
            </a:graphic>
          </wp:inline>
        </w:drawing>
      </w:r>
    </w:p>
    <w:p>
      <w:pPr>
        <w:spacing w:after="160"/>
        <w:jc w:val="center"/>
      </w:pPr>
      <w:r>
        <w:rPr>
          <w:rFonts w:ascii="Calibri" w:hAnsi="Calibri"/>
          <w:b w:val="0"/>
          <w:i/>
          <w:sz w:val="19"/>
        </w:rPr>
        <w:t>HÌNH 31.3</w:t>
      </w:r>
    </w:p>
    <w:p>
      <w:pPr>
        <w:spacing w:after="80"/>
      </w:pPr>
      <w:r>
        <w:rPr>
          <w:b w:val="0"/>
          <w:i w:val="0"/>
        </w:rPr>
        <w:t>Để đảm bảo rằng việc tái sử dụng giải pháp trở thành một phần trong cách tiếp cận tổng thể của doanh nghiệp đối với việc mở rộng quy mô, hãy cân nhắc tạo ra một mô hình tài trợ và một cơ cấu khuyến khích nhằm thúc đẩy việc tái sử dụng. Điều này thường có nghĩa là: a) lập ngân sách cho các khoản đầu tư rõ ràng để tài sản hóa giải pháp sau khi nó đã vượt qua giai đoạn MVP; b) thiết lập nguồn tài trợ và nguồn lực trung tâm để hỗ trợ triển khai; và c) đo lường việc áp dụng ở cấp đơn vị và khuyến khích các nhà lãnh đạo đơn vị một cách tương ứng.</w:t>
      </w:r>
    </w:p>
    <w:p>
      <w:pPr>
        <w:jc w:val="center"/>
      </w:pPr>
      <w:r>
        <w:drawing>
          <wp:inline xmlns:a="http://schemas.openxmlformats.org/drawingml/2006/main" xmlns:pic="http://schemas.openxmlformats.org/drawingml/2006/picture">
            <wp:extent cx="457200" cy="447675"/>
            <wp:docPr id="186" name="Picture 186"/>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Tận dụng sức mạnh chuyển đổi mạnh mẽ và tư duy ‘một đội máy’ để thúc đẩy việc áp dụng và mở rộng quy mô các mô hình AI trên hàng chục nhà máy điện</w:t>
      </w:r>
    </w:p>
    <w:p>
      <w:pPr>
        <w:spacing w:after="80"/>
      </w:pPr>
      <w:r>
        <w:rPr>
          <w:b w:val="0"/>
          <w:i w:val="0"/>
        </w:rPr>
        <w:t>Vistra, một công ty bán lẻ điện và phát điện hàng đầu tại Mỹ, hoạt động trong các thị trường điện cạnh tranh và luôn tìm cách thúc đẩy cải tiến liên tục. Công ty đã chứng kiến sự tăng trưởng vượt bậc trong những năm gần đây, mở rộng lên một đội máy hơn 60 nhà máy điện trên khắp cả nước. Vistra tin rằng việc vận hành như “một đội máy” là điều then chốt để cung cấp điện an toàn, đáng tin cậy và giá cả phải chăng cho hàng triệu khách hàng. Hai đặc điểm đó – sức mạnh chuyển đổi mạnh mẽ và tư duy ‘một đội máy’ – đã tỏ ra then chốt đối với cách Vistra áp dụng và mở rộng quy mô AI trên hàng chục nhà máy điện.</w:t>
      </w:r>
    </w:p>
    <w:p>
      <w:pPr>
        <w:spacing w:after="80"/>
      </w:pPr>
      <w:r>
        <w:rPr>
          <w:b w:val="0"/>
          <w:i w:val="0"/>
        </w:rPr>
        <w:t>Ví dụ, một trong những mô hình AI đầu tiên mà Vistra triển khai và mở rộng quy mô tại các nhà máy điện là bộ tối ưu suất tiêu hao nhiệt (heat rate optimizer). Suất tiêu hao nhiệt của một nhà máy điện phản ánh mức độ hiệu quả mà nó sản xuất điện. Các nhà lãnh đạo vận hành của Vistra biết rằng việc tập trung nỗ lực AI vào suất tiêu hao nhiệt có thể mang lại tác động đo lường được và củng cố thêm độ tin cậy. Các nhà lãnh đạo vận hành cũng đang tìm kiếm công nghệ có thể mở rộng quy mô trên một đội máy phát điện đa dạng, nâng cao hiệu suất tại mọi địa điểm bất kể loại nhiên liệu hay vị trí địa lý.</w:t>
      </w:r>
    </w:p>
    <w:p>
      <w:pPr>
        <w:spacing w:after="80"/>
      </w:pPr>
      <w:r>
        <w:rPr>
          <w:b w:val="0"/>
          <w:i w:val="0"/>
        </w:rPr>
        <w:t>Một quyết định quan trọng được đưa ra từ sớm là lựa chọn cẩn thận một vài quản lý nhà máy được kính trọng để phụ trách mỗi thử nghiệm AI ban đầu. Vào cuối mỗi thử nghiệm, những quản lý nhà máy đó sẽ chia sẻ kết quả với đồng nghiệp của họ, xây dựng niềm tin vào sức mạnh của các giải pháp. Các nhà lãnh đạo vận hành sau đó sẽ cùng nhau đồng ý mở rộng quy mô một giải pháp AI trên toàn bộ đội máy và đưa nó vào mô hình vận hành của họ. Tư duy ‘một đội máy’ này cho phép họ biến việc áp dụng và mở rộng quy mô thành một lợi thế cạnh tranh.</w:t>
      </w:r>
    </w:p>
    <w:p>
      <w:pPr>
        <w:spacing w:after="80"/>
      </w:pPr>
      <w:r>
        <w:rPr>
          <w:b w:val="0"/>
          <w:i w:val="0"/>
        </w:rPr>
        <w:t>Để đảm bảo các giải pháp AI có thể được mở rộng quy mô trên toàn đội máy, một đội gồm các kỹ sư phần mềm và ML sau đó đã tiếp quản các mô hình AI để tái cấu trúc, mô-đun hóa và đóng gói container mã nguồn. Bằng cách đó, có một “gói lõi” phần mềm duy nhất cho mỗi lần triển khai, có thể được cập nhật và cải tiến. Một số tùy chỉnh luôn là cần thiết như một phần của việc triển khai mô hình đến từng nhà máy vì mỗi nhà máy có những đặc điểm và dữ liệu riêng. Đội ngũ đã có thể mở rộng quy mô các mô hình đến một nhà máy mới cứ mỗi 2–3 tuần.</w:t>
      </w:r>
    </w:p>
    <w:p>
      <w:pPr>
        <w:spacing w:after="80"/>
      </w:pPr>
      <w:r>
        <w:rPr>
          <w:b w:val="0"/>
          <w:i w:val="0"/>
        </w:rPr>
        <w:t>Các nhóm tùy chỉnh chuyên trách gồm các nhà khoa học dữ liệu, kỹ sư, chuyên viên vận hành và chuyên gia phát điện đã làm việc với từng nhà máy để điều chỉnh giải pháp cho phù hợp với điều kiện riêng của nhà máy đó. Nhóm đã xây dựng hạ tầng MLOps để đưa dữ liệu trực tiếp từ từng tổ máy phát điện của Vistra vào một cơ sở dữ liệu duy nhất. Họ dùng phần mềm GitLab để quản lý kiểm soát phiên bản và đóng gói mã thành container để có thể dễ dàng triển khai tới bất kỳ môi trường nào. Nhóm cũng tạo các bảng điều khiển để theo dõi hiệu suất và mức độ sử dụng của mô hình, cũng như quản lý việc cải tiến liên tục từng mô hình.</w:t>
      </w:r>
    </w:p>
    <w:p>
      <w:pPr>
        <w:spacing w:after="80"/>
      </w:pPr>
      <w:r>
        <w:rPr>
          <w:b w:val="0"/>
          <w:i w:val="0"/>
        </w:rPr>
        <w:t>Điều quan trọng là nỗ lực này bao gồm việc xây dựng năng lực AI trên ba nhóm liên quan khác nhau: đội ngũ vận hành tuyến đầu (để học cách sử dụng các mô hình), đội ngũ công nghệ (để học cách phát triển và duy trì các mô hình AI), và đội ngũ lãnh đạo (để hiểu cách sử dụng các mô hình AI và chuyển đổi cách doanh nghiệp vận hành).</w:t>
      </w:r>
    </w:p>
    <w:p>
      <w:pPr>
        <w:jc w:val="center"/>
      </w:pPr>
      <w:r>
        <w:drawing>
          <wp:inline xmlns:a="http://schemas.openxmlformats.org/drawingml/2006/main" xmlns:pic="http://schemas.openxmlformats.org/drawingml/2006/picture">
            <wp:extent cx="1905000" cy="95250"/>
            <wp:docPr id="187" name="Picture 187"/>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Một trong những sai lầm nghiêm trọng nhất mà một nhà lãnh đạo có thể mắc phải là coi việc mở rộng quy mô như một việc làm vào cuối quá trình phát triển giải pháp. Mở rộng quy mô là điều bạn cần suy nghĩ thấu đáo, tính đến và phân bổ nguồn lực đầy đủ ngay từ đầu quá trình.</w:t>
      </w:r>
    </w:p>
    <w:p>
      <w:pPr>
        <w:spacing w:after="80"/>
      </w:pPr>
      <w:r>
        <w:rPr>
          <w:b w:val="0"/>
          <w:i w:val="0"/>
        </w:rPr>
        <w:t>Điều này không có nghĩa là bạn phải coi mọi MVP như một sản phẩm ở quy mô lớn. Rõ ràng việc thử nghiệm và học hỏi một cách rẻ và nhanh là rất quan trọng. Nhưng một khi bạn đã sẵn sàng cam kết, đừng trì hoãn việc đưa giải pháp của mình lên con đường mở rộng quy mô.</w:t>
      </w:r>
    </w:p>
    <w:p>
      <w:pPr>
        <w:pStyle w:val="Heading2"/>
      </w:pPr>
      <w:r>
        <w:rPr>
          <w:rFonts w:ascii="Calibri" w:hAnsi="Calibri"/>
          <w:b/>
          <w:i/>
          <w:sz w:val="32"/>
        </w:rPr>
        <w:t>“Nếu bạn không đặt ra mục tiêu và đo lường tiến độ, tất cả những gì bạn có chỉ là những ý định tốt đẹp.”</w:t>
      </w:r>
    </w:p>
    <w:p>
      <w:pPr>
        <w:spacing w:after="80"/>
      </w:pPr>
      <w:r>
        <w:rPr>
          <w:b/>
          <w:i w:val="0"/>
        </w:rPr>
        <w:t>— Melinda Gates</w:t>
      </w:r>
    </w:p>
    <w:p>
      <w:pPr>
        <w:pStyle w:val="Heading1"/>
      </w:pPr>
      <w:r>
        <w:rPr>
          <w:rFonts w:ascii="Calibri" w:hAnsi="Calibri"/>
          <w:b/>
          <w:i w:val="0"/>
          <w:sz w:val="40"/>
        </w:rPr>
        <w:t>CHƯƠNG 32</w:t>
      </w:r>
      <w:r>
        <w:rPr>
          <w:rFonts w:ascii="Calibri" w:hAnsi="Calibri"/>
          <w:b/>
          <w:i w:val="0"/>
          <w:sz w:val="40"/>
        </w:rPr>
      </w:r>
      <w:r>
        <w:rPr>
          <w:rFonts w:ascii="Calibri" w:hAnsi="Calibri"/>
          <w:b/>
          <w:i w:val="0"/>
          <w:sz w:val="40"/>
        </w:rPr>
        <w:t>Đảm bảo tác động bằng cách theo dõi những gì quan trọng</w:t>
      </w:r>
    </w:p>
    <w:p>
      <w:pPr>
        <w:spacing w:after="80"/>
      </w:pPr>
      <w:r>
        <w:rPr>
          <w:b w:val="0"/>
          <w:i w:val="0"/>
        </w:rPr>
        <w:t>Một số lượng đáng ngạc nhiên các công ty không có cái nhìn rõ ràng về việc quá trình chuyển đổi Công nghệ &amp; AI của họ đang diễn ra như thế nào. Họ không thể trả lời những câu hỏi cơ bản: Người dùng của chúng ta có đang tiếp nhận các giải pháp một cách đầy đủ và đúng như dự định không? Điều này có mang lại kết quả xứng đáng về trải nghiệm khách hàng và tác động đến lợi nhuận cuối cùng không? Chúng ta có đang xây dựng các năng lực nền tảng như chúng ta đã nói là cần thiết không? Chúng ta có đang tiến bộ hướng tới một mô hình kinh doanh cạnh tranh hơn không?</w:t>
      </w:r>
    </w:p>
    <w:p>
      <w:pPr>
        <w:spacing w:after="80"/>
      </w:pPr>
      <w:r>
        <w:rPr>
          <w:b w:val="0"/>
          <w:i w:val="0"/>
        </w:rPr>
        <w:t>Trong khảo sát State of AI của chúng tôi, có tới 39% công ty báo cáo rằng họ không biết tác động EBIT từ các nỗ lực của mình, vì họ chưa xác định được cách theo dõi nó, cùng với 22% khác báo cáo không thu được giá trị nào. Điều đó một phần là hệ quả của cách tiếp cận “thử nghiệm” mà nhiều công ty theo đuổi trong vài năm đầu của GenAI, với trọng tâm là các trường hợp sử dụng theo chiều ngang (được áp dụng rộng rãi trong toàn tổ chức) thay vì chuyển đổi quy trình công việc theo chiều dọc.</w:t>
      </w:r>
    </w:p>
    <w:p>
      <w:pPr>
        <w:spacing w:after="80"/>
      </w:pPr>
      <w:r>
        <w:rPr>
          <w:b w:val="0"/>
          <w:i w:val="0"/>
        </w:rPr>
        <w:t>Không ai sẽ tranh cãi về sự cần thiết của việc đo lường tiến độ chuyển đổi. Nhưng câu hỏi đặt ra là đo lường cái gì và đo như thế nào. Đó là trọng tâm của chương này.</w:t>
      </w:r>
    </w:p>
    <w:p>
      <w:pPr>
        <w:pStyle w:val="Heading2"/>
      </w:pPr>
      <w:r>
        <w:rPr>
          <w:rFonts w:ascii="Calibri" w:hAnsi="Calibri"/>
          <w:b/>
          <w:i w:val="0"/>
          <w:sz w:val="32"/>
        </w:rPr>
        <w:t>Sự khác biệt là gì: KPI so với OKR</w:t>
      </w:r>
    </w:p>
    <w:p>
      <w:pPr>
        <w:spacing w:after="80"/>
        <w:ind w:left="360"/>
      </w:pPr>
      <w:r>
        <w:t xml:space="preserve">• </w:t>
      </w:r>
      <w:r>
        <w:rPr>
          <w:b/>
          <w:i w:val="0"/>
        </w:rPr>
        <w:t>KPI (chỉ số hiệu suất chính)</w:t>
      </w:r>
      <w:r>
        <w:rPr>
          <w:b w:val="0"/>
          <w:i w:val="0"/>
        </w:rPr>
        <w:t xml:space="preserve"> là các chỉ số theo dõi mức độ hoạt động tốt của một thứ gì đó—chúng đo lường tiến độ đối với các hoạt động hoặc kết quả cụ thể.</w:t>
      </w:r>
    </w:p>
    <w:p>
      <w:pPr>
        <w:spacing w:after="80"/>
        <w:ind w:left="360"/>
      </w:pPr>
      <w:r>
        <w:t xml:space="preserve">• </w:t>
      </w:r>
      <w:r>
        <w:rPr>
          <w:b/>
          <w:i w:val="0"/>
        </w:rPr>
        <w:t>OKR (mục tiêu và kết quả then chốt)</w:t>
      </w:r>
      <w:r>
        <w:rPr>
          <w:b w:val="0"/>
          <w:i w:val="0"/>
        </w:rPr>
        <w:t xml:space="preserve"> là một khuôn khổ đặt mục tiêu. Mục tiêu là một đích đến rõ ràng, mang tính định tính; các kết quả then chốt là những mục tiêu đo lường được cho thấy liệu mục tiêu có đang đạt được hay không.</w:t>
      </w:r>
    </w:p>
    <w:p>
      <w:pPr>
        <w:spacing w:after="80"/>
      </w:pPr>
      <w:r>
        <w:rPr>
          <w:b w:val="0"/>
          <w:i w:val="0"/>
        </w:rPr>
        <w:t>OKR đặt ra các mục tiêu và đích đến cho một đội ngũ; KPI đo lường chất lượng của một quy trình kinh doanh hoặc trải nghiệm khách hàng.</w:t>
      </w:r>
    </w:p>
    <w:p>
      <w:pPr>
        <w:pStyle w:val="Heading2"/>
      </w:pPr>
      <w:r>
        <w:rPr>
          <w:rFonts w:ascii="Calibri" w:hAnsi="Calibri"/>
          <w:b/>
          <w:i w:val="0"/>
          <w:sz w:val="32"/>
        </w:rPr>
        <w:t>Đảm bảo nắm bắt giá trị bằng các KPI hiệu suất</w:t>
      </w:r>
    </w:p>
    <w:p>
      <w:pPr>
        <w:spacing w:after="80"/>
      </w:pPr>
      <w:r>
        <w:rPr>
          <w:b w:val="0"/>
          <w:i w:val="0"/>
        </w:rPr>
        <w:t>Việc rõ ràng về những chỉ số hiệu suất cần đo lường—và ai chịu trách nhiệm về chúng—đã là một nửa trận chiến. Có nhiều thứ để đo lường, nhưng những thứ then chốt trong các quá trình chuyển đổi Công nghệ &amp; AI thường rơi vào ba nhóm:</w:t>
      </w:r>
    </w:p>
    <w:p>
      <w:pPr>
        <w:spacing w:after="80"/>
        <w:ind w:left="360"/>
      </w:pPr>
      <w:r>
        <w:t xml:space="preserve">1. </w:t>
      </w:r>
      <w:r>
        <w:rPr>
          <w:b/>
          <w:i w:val="0"/>
        </w:rPr>
        <w:t>Các chỉ số tạo giá trị:</w:t>
      </w:r>
      <w:r>
        <w:rPr>
          <w:b w:val="0"/>
          <w:i w:val="0"/>
        </w:rPr>
        <w:t xml:space="preserve"> Các giải pháp công nghệ &amp; AI thường nhắm đến một hoặc một vài KPI kinh doanh và/hoặc vận hành, những chỉ số này thường có thể chuyển hóa thành lợi ích tài chính hoặc lợi ích cho khách hàng. Đây là những chỉ số quan trọng đối với các nhà lãnh đạo chuyên môn và ban điều hành cấp cao. Chúng cũng cung cấp những bằng chứng thuyết phục cho nhà đầu tư về tiến độ của quá trình chuyển đổi.</w:t>
        <w:br/>
        <w:br/>
      </w:r>
      <w:r>
        <w:rPr>
          <w:b/>
          <w:i/>
        </w:rPr>
        <w:t>Hãy nhớ rằng mục tiêu ở đây không chỉ là theo dõi tiến độ. Mục tiêu là mang lại cho các nhà lãnh đạo đủ sự minh bạch để họ có thể can thiệp và hỗ trợ</w:t>
      </w:r>
      <w:r>
        <w:rPr>
          <w:b/>
          <w:i w:val="0"/>
        </w:rPr>
        <w:t>.</w:t>
      </w:r>
      <w:r>
        <w:rPr>
          <w:b w:val="0"/>
          <w:i w:val="0"/>
        </w:rPr>
        <w:t xml:space="preserve"> </w:t>
        <w:br/>
        <w:t>Cây tạo giá trị (value driver tree) là một công cụ hữu ích để xác định nơi các giải pháp số và AI được kỳ vọng sẽ cải thiện các KPI vận hành cốt lõi, và cách liên kết chúng với OKR của các nhóm làm việc trên giải pháp đó (Hình 32.1). Cách tiếp cận này tạo ra một biểu diễn thống nhất về cách các cải thiện sẽ đạt được.</w:t>
        <w:br/>
        <w:t>Khi bạn phân rã các KPI đã xác định, bạn nên xác định các KPI vận hành sẽ tác động trực tiếp đến hiệu quả kinh doanh, chẳng hạn như số lượng đề xuất gửi đến khách hàng tiềm năng, và tỷ lệ thắng.</w:t>
        <w:br/>
        <w:t>Hãy cùng xem cách cây tạo giá trị này hình thành cho lãnh đạo mảng thương mại tại một công ty bảo hiểm hưu trí. Chủ sở hữu mảng đã quyết định phát triển ba giải pháp số, một trong số đó tập trung vào việc giúp người tham gia đăng ký dễ dàng hơn. Hai nhóm sẽ làm việc trên giải pháp này. Nhóm thứ nhất sẽ làm việc để tinh gọn đơn đăng ký, trong khi nhóm thứ hai sẽ phát triển một API để điền sẵn thông tin nhân viên.</w:t>
        <w:br/>
        <w:br/>
        <w:br/>
        <w:t>Lãnh đạo mảng thương mại nên theo dõi tiến độ ở cấp độ KPI vận hành. Đối với Giải pháp 2, "Thúc đẩy đăng ký", trong ví dụ của chúng ta, đó sẽ là tỷ lệ phần trăm đơn đăng ký hoàn thành và mức độ hài lòng của người dùng (không hiển thị trong cây tạo giá trị). Ngược lại, các chủ sở hữu nhóm nên theo dõi các OKR mà nhóm có thể kiểm soát trực tiếp và tiến độ có thể đạt được trong vài tuần hoặc tối đa vài tháng. Một ví dụ điển hình trong trường hợp này là việc giảm số bước để hoàn thành đơn đăng ký, điều thường có thể đạt được trong vài tháng.</w:t>
        <w:br/>
        <w:t>Hình 32.2 cho thấy cách các OKR được tổ chức cho từng nhóm, cùng với lộ trình phân kỳ của các kết quả then chốt dự kiến và các mục tiêu cải thiện ở trạng thái cuối. Nó cũng cho thấy giả định cơ bản về cách giải pháp sẽ giảm tỷ lệ bỏ dở đơn đăng ký và thúc đẩy nhiều đăng ký hơn.</w:t>
        <w:br/>
        <w:br/>
        <w:t>Hãy đảm bảo bạn thiết lập một đường cơ sở (baseline) để theo dõi mức độ các nhóm của bạn đang cải thiện kết quả. Hình 32.3 cho thấy một ví dụ về AI tác tử (agentic AI) cho một công ty bảo hiểm sức khỏe. Họ muốn cải thiện năng suất và độ chính xác trong việc xem xét các yêu cầu bồi thường bảo hiểm cũng như năng suất và mức độ hài lòng trong các tương tác tại trung tâm liên lạc với các thành viên kế hoạch sức khỏe và bác sĩ.</w:t>
        <w:br/>
        <w:t>Để giúp đạt được những mục tiêu đó, công ty tập trung vào các chỉ số như thời gian để nhân viên thẩm định xử lý các yêu cầu bồi thường phức tạp và năng suất của nhân viên tổng đài trong việc giải quyết các thắc mắc cùng điểm số xuất sắc trong dịch vụ từ phía các thành viên. Hãy lưu ý trong hình minh họa cả mức độ cụ thể, phạm vi các bên liên quan mà các chỉ số tính đến, và khát vọng dựa trên trạng thái hiện tại. Góc nhìn này giúp mang lại cho các nhóm giải pháp những mục tiêu cụ thể gắn trực tiếp với ROI của luận chứng kinh doanh.</w:t>
        <w:br/>
        <w:br/>
        <w:br/>
        <w:br/>
        <w:br/>
        <w:br/>
        <w:br/>
        <w:t>Tại sao đo lường thời gian thực lại quan trọng</w:t>
        <w:br/>
        <w:br/>
        <w:t>Các KPI và OKR lý tưởng nên được đo lường để báo cáo gần như theo thời gian thực.</w:t>
        <w:br/>
        <w:t xml:space="preserve">Trong </w:t>
      </w:r>
      <w:r>
        <w:rPr>
          <w:b w:val="0"/>
          <w:i/>
        </w:rPr>
        <w:t>The Geek Way,</w:t>
      </w:r>
      <w:r>
        <w:rPr>
          <w:b w:val="0"/>
          <w:i w:val="0"/>
        </w:rPr>
        <w:t xml:space="preserve"> Andy McAfee lập luận rằng năng lực này là nền tảng cho tốc độ, khả năng mở rộng và hiệu suất bền vững. Đo lường không phải là một nâng cấp công nghệ; đó là một công cụ chuyển đổi cho quản lý bởi vì:</w:t>
        <w:br/>
      </w:r>
      <w:r>
        <w:rPr>
          <w:b/>
          <w:i w:val="0"/>
        </w:rPr>
        <w:t>Phản hồi nhanh cho phép học hỏi nhanh.</w:t>
      </w:r>
      <w:r>
        <w:rPr>
          <w:b w:val="0"/>
          <w:i w:val="0"/>
        </w:rPr>
        <w:t xml:space="preserve"> Lợi thế đặc trưng của các tổ chức được đo lường là tốc độ học hỏi. Khi các nhóm có thể quan sát tác động của một thay đổi một cách nhanh chóng, họ có thể lặp lại nhanh chóng. Điều này rút ngắn chu kỳ cải thiện từ hàng tháng xuống hàng ngày—hoặc thậm chí vài phút.</w:t>
        <w:br/>
      </w:r>
      <w:r>
        <w:rPr>
          <w:b/>
          <w:i w:val="0"/>
        </w:rPr>
        <w:t>Dữ liệu thay thế ý kiến và thứ bậc.</w:t>
      </w:r>
      <w:r>
        <w:rPr>
          <w:b w:val="0"/>
          <w:i w:val="0"/>
        </w:rPr>
        <w:t xml:space="preserve"> Khi các tổ chức trở nên phức tạp hơn, các nhà lãnh đạo cấp cao không thể quan sát thực tế được nữa. Đo lường cho phép ban lãnh đạo dựa vào sự thật thay vì những ý kiến thường không có cơ sở và "thâm niên" để biết điều gì đang diễn ra.</w:t>
        <w:br/>
      </w:r>
      <w:r>
        <w:rPr>
          <w:b/>
          <w:i w:val="0"/>
        </w:rPr>
        <w:t>Cải tiến liên tục đòi hỏi đo lường liên tục.</w:t>
      </w:r>
      <w:r>
        <w:rPr>
          <w:b w:val="0"/>
          <w:i w:val="0"/>
        </w:rPr>
        <w:t xml:space="preserve"> Các tổ chức đẳng cấp thế giới không quản lý bằng các KPI tĩnh được xem xét hàng tháng. Họ quản lý với sự hỗ trợ của các luồng dữ liệu vận hành trực tiếp, giúp phát hiện các bất thường, điểm nghẽn và cơ hội ngay khi chúng xuất hiện.</w:t>
        <w:br/>
      </w:r>
      <w:r>
        <w:rPr>
          <w:b/>
          <w:i w:val="0"/>
        </w:rPr>
        <w:t>Đo lường giúp tự chủ trở nên an toàn.</w:t>
      </w:r>
      <w:r>
        <w:rPr>
          <w:b w:val="0"/>
          <w:i w:val="0"/>
        </w:rPr>
        <w:t xml:space="preserve"> Phân quyền là yếu tố then chốt cho tốc độ. Đo lường cho phép ban lãnh đạo trao cho các nhóm đủ tự do để vận hành mà không mất kiểm soát.</w:t>
        <w:br/>
        <w:t>Việc đo lường các KPI vận hành tốn kém nhưng lợi ích về mặt tập trung và hiệu quả là hoàn toàn xứng đáng.</w:t>
      </w:r>
    </w:p>
    <w:p>
      <w:pPr>
        <w:jc w:val="center"/>
      </w:pPr>
      <w:r>
        <w:drawing>
          <wp:inline xmlns:a="http://schemas.openxmlformats.org/drawingml/2006/main" xmlns:pic="http://schemas.openxmlformats.org/drawingml/2006/picture">
            <wp:extent cx="5486400" cy="6727288"/>
            <wp:docPr id="188" name="Picture 188"/>
            <wp:cNvGraphicFramePr>
              <a:graphicFrameLocks noChangeAspect="1"/>
            </wp:cNvGraphicFramePr>
            <a:graphic>
              <a:graphicData uri="http://schemas.openxmlformats.org/drawingml/2006/picture">
                <pic:pic>
                  <pic:nvPicPr>
                    <pic:cNvPr id="0" name="c32ex001.png"/>
                    <pic:cNvPicPr/>
                  </pic:nvPicPr>
                  <pic:blipFill>
                    <a:blip r:embed="rId142"/>
                    <a:stretch>
                      <a:fillRect/>
                    </a:stretch>
                  </pic:blipFill>
                  <pic:spPr>
                    <a:xfrm>
                      <a:off x="0" y="0"/>
                      <a:ext cx="5486400" cy="6727288"/>
                    </a:xfrm>
                    <a:prstGeom prst="rect"/>
                  </pic:spPr>
                </pic:pic>
              </a:graphicData>
            </a:graphic>
          </wp:inline>
        </w:drawing>
      </w:r>
    </w:p>
    <w:p>
      <w:pPr>
        <w:spacing w:after="160"/>
        <w:jc w:val="center"/>
      </w:pPr>
      <w:r>
        <w:rPr>
          <w:rFonts w:ascii="Calibri" w:hAnsi="Calibri"/>
          <w:b w:val="0"/>
          <w:i/>
          <w:sz w:val="19"/>
        </w:rPr>
        <w:t>HÌNH 32.1</w:t>
      </w:r>
    </w:p>
    <w:p>
      <w:pPr>
        <w:jc w:val="center"/>
      </w:pPr>
      <w:r>
        <w:drawing>
          <wp:inline xmlns:a="http://schemas.openxmlformats.org/drawingml/2006/main" xmlns:pic="http://schemas.openxmlformats.org/drawingml/2006/picture">
            <wp:extent cx="5486400" cy="4709414"/>
            <wp:docPr id="189" name="Picture 189"/>
            <wp:cNvGraphicFramePr>
              <a:graphicFrameLocks noChangeAspect="1"/>
            </wp:cNvGraphicFramePr>
            <a:graphic>
              <a:graphicData uri="http://schemas.openxmlformats.org/drawingml/2006/picture">
                <pic:pic>
                  <pic:nvPicPr>
                    <pic:cNvPr id="0" name="c32ex002.png"/>
                    <pic:cNvPicPr/>
                  </pic:nvPicPr>
                  <pic:blipFill>
                    <a:blip r:embed="rId143"/>
                    <a:stretch>
                      <a:fillRect/>
                    </a:stretch>
                  </pic:blipFill>
                  <pic:spPr>
                    <a:xfrm>
                      <a:off x="0" y="0"/>
                      <a:ext cx="5486400" cy="4709414"/>
                    </a:xfrm>
                    <a:prstGeom prst="rect"/>
                  </pic:spPr>
                </pic:pic>
              </a:graphicData>
            </a:graphic>
          </wp:inline>
        </w:drawing>
      </w:r>
    </w:p>
    <w:p>
      <w:pPr>
        <w:spacing w:after="160"/>
        <w:jc w:val="center"/>
      </w:pPr>
      <w:r>
        <w:rPr>
          <w:rFonts w:ascii="Calibri" w:hAnsi="Calibri"/>
          <w:b w:val="0"/>
          <w:i/>
          <w:sz w:val="19"/>
        </w:rPr>
        <w:t>HÌNH 32.2</w:t>
      </w:r>
    </w:p>
    <w:p>
      <w:pPr>
        <w:jc w:val="center"/>
      </w:pPr>
      <w:r>
        <w:drawing>
          <wp:inline xmlns:a="http://schemas.openxmlformats.org/drawingml/2006/main" xmlns:pic="http://schemas.openxmlformats.org/drawingml/2006/picture">
            <wp:extent cx="5486400" cy="3252513"/>
            <wp:docPr id="190" name="Picture 190"/>
            <wp:cNvGraphicFramePr>
              <a:graphicFrameLocks noChangeAspect="1"/>
            </wp:cNvGraphicFramePr>
            <a:graphic>
              <a:graphicData uri="http://schemas.openxmlformats.org/drawingml/2006/picture">
                <pic:pic>
                  <pic:nvPicPr>
                    <pic:cNvPr id="0" name="c32ex003.png"/>
                    <pic:cNvPicPr/>
                  </pic:nvPicPr>
                  <pic:blipFill>
                    <a:blip r:embed="rId144"/>
                    <a:stretch>
                      <a:fillRect/>
                    </a:stretch>
                  </pic:blipFill>
                  <pic:spPr>
                    <a:xfrm>
                      <a:off x="0" y="0"/>
                      <a:ext cx="5486400" cy="3252513"/>
                    </a:xfrm>
                    <a:prstGeom prst="rect"/>
                  </pic:spPr>
                </pic:pic>
              </a:graphicData>
            </a:graphic>
          </wp:inline>
        </w:drawing>
      </w:r>
    </w:p>
    <w:p>
      <w:pPr>
        <w:spacing w:after="160"/>
        <w:jc w:val="center"/>
      </w:pPr>
      <w:r>
        <w:rPr>
          <w:rFonts w:ascii="Calibri" w:hAnsi="Calibri"/>
          <w:b w:val="0"/>
          <w:i/>
          <w:sz w:val="19"/>
        </w:rPr>
        <w:t>HÌNH 32.3</w:t>
      </w:r>
    </w:p>
    <w:p>
      <w:pPr>
        <w:spacing w:after="80"/>
        <w:ind w:left="360"/>
      </w:pPr>
      <w:r>
        <w:t xml:space="preserve">2. </w:t>
      </w:r>
      <w:r>
        <w:rPr>
          <w:b/>
          <w:i w:val="0"/>
        </w:rPr>
        <w:t>Các chỉ số sức khỏe của nhóm:</w:t>
      </w:r>
      <w:r>
        <w:rPr>
          <w:b w:val="0"/>
          <w:i w:val="0"/>
        </w:rPr>
        <w:t xml:space="preserve"> Nhiều quá trình chuyển đổi công nghệ &amp; AI tiến triển chậm hơn kế hoạch ban đầu vì các nhóm được cấu hình kém (ví dụ, vì các thành viên nhóm không được phân công toàn thời gian, hoặc thiếu kỹ năng phù hợp), không áp dụng các cách làm việc hiện đại (chẳng hạn bằng cách sử dụng cách làm việc linh hoạt (agile) hoặc DevOps), hoặc thiếu các năng lực quan trọng (như quản lý sản phẩm hoặc thiết kế trải nghiệm người dùng).</w:t>
        <w:br/>
        <w:t>Theo kinh nghiệm của chúng tôi, sự khác biệt về năng suất giữa một nhóm hiệu suất thấp và một nhóm hiệu suất cao có thể là 5 lần hoặc hơn. Đó là lý do tại sao việc đo lường và quản lý sức khỏe của nhóm thực sự quan trọng.</w:t>
        <w:br/>
        <w:t>Việc đánh giá sức khỏe của các nhóm giải pháp được thực hiện qua ba lăng kính:</w:t>
        <w:br/>
        <w:br/>
        <w:t>Lý tưởng nhất là các chỉ số khác nhau này được tự động hóa trong quy trình làm việc của nhóm, nhưng việc này cần một chút thời gian để triển khai, và chỉ hợp lý khi đạt đến một quy mô nhất định (hơn 20 nhóm).</w:t>
      </w:r>
    </w:p>
    <w:p>
      <w:pPr>
        <w:jc w:val="center"/>
      </w:pPr>
      <w:r>
        <w:drawing>
          <wp:inline xmlns:a="http://schemas.openxmlformats.org/drawingml/2006/main" xmlns:pic="http://schemas.openxmlformats.org/drawingml/2006/picture">
            <wp:extent cx="5486400" cy="6690153"/>
            <wp:docPr id="191" name="Picture 191"/>
            <wp:cNvGraphicFramePr>
              <a:graphicFrameLocks noChangeAspect="1"/>
            </wp:cNvGraphicFramePr>
            <a:graphic>
              <a:graphicData uri="http://schemas.openxmlformats.org/drawingml/2006/picture">
                <pic:pic>
                  <pic:nvPicPr>
                    <pic:cNvPr id="0" name="c32ex004.png"/>
                    <pic:cNvPicPr/>
                  </pic:nvPicPr>
                  <pic:blipFill>
                    <a:blip r:embed="rId145"/>
                    <a:stretch>
                      <a:fillRect/>
                    </a:stretch>
                  </pic:blipFill>
                  <pic:spPr>
                    <a:xfrm>
                      <a:off x="0" y="0"/>
                      <a:ext cx="5486400" cy="6690153"/>
                    </a:xfrm>
                    <a:prstGeom prst="rect"/>
                  </pic:spPr>
                </pic:pic>
              </a:graphicData>
            </a:graphic>
          </wp:inline>
        </w:drawing>
      </w:r>
    </w:p>
    <w:p>
      <w:pPr>
        <w:spacing w:after="160"/>
        <w:jc w:val="center"/>
      </w:pPr>
      <w:r>
        <w:rPr>
          <w:rFonts w:ascii="Calibri" w:hAnsi="Calibri"/>
          <w:b w:val="0"/>
          <w:i/>
          <w:sz w:val="19"/>
        </w:rPr>
        <w:t>HÌNH 32.4</w:t>
      </w:r>
    </w:p>
    <w:p>
      <w:pPr>
        <w:spacing w:after="80"/>
        <w:ind w:left="720"/>
      </w:pPr>
      <w:r>
        <w:t xml:space="preserve">• </w:t>
      </w:r>
      <w:r>
        <w:rPr>
          <w:b/>
          <w:i w:val="0"/>
        </w:rPr>
        <w:t>Các chỉ số cấu hình.</w:t>
      </w:r>
      <w:r>
        <w:rPr>
          <w:b w:val="0"/>
          <w:i w:val="0"/>
        </w:rPr>
        <w:t xml:space="preserve"> Điều này giải quyết một câu hỏi đơn giản: Nhóm có được bố trí nhân sự đúng mức không? Đó có vẻ là một câu hỏi hiển nhiên, nhưng mọi công ty đều có hạn chế về nguồn lực, và các nhóm có thể hoạt động trong thời gian dài mà không có đủ nguồn lực phù hợp. Bạn thực sự muốn đi đến hai câu hỏi cốt lõi: Nguồn lực của nhóm có được dành riêng không? Và mỗi vai trò có được lấp đầy bởi một cá nhân có kỹ năng phù hợp để đóng góp không? Việc đánh giá này tốt nhất nên do chủ sở hữu nhóm và lãnh đạo mảng thực hiện.</w:t>
      </w:r>
    </w:p>
    <w:p>
      <w:pPr>
        <w:spacing w:after="80"/>
        <w:ind w:left="720"/>
      </w:pPr>
      <w:r>
        <w:t xml:space="preserve">• </w:t>
      </w:r>
      <w:r>
        <w:rPr>
          <w:b/>
          <w:i w:val="0"/>
        </w:rPr>
        <w:t>Các chỉ số hiệu suất.</w:t>
      </w:r>
      <w:r>
        <w:rPr>
          <w:b w:val="0"/>
          <w:i w:val="0"/>
        </w:rPr>
        <w:t xml:space="preserve"> Điều này liên quan đến cách vận hành của một nhóm. Các chỉ số này thường được trích xuất từ các công cụ quản lý backlog, nhấn mạnh tầm quan trọng của việc đào tạo các nhóm sử dụng các công cụ này một cách nhất quán. Trong phát triển phần mềm, các chỉ số DORA là một tiêu chuẩn quan trọng để đo lường hiệu suất của nhóm. (Đọc thêm về chúng trong Chương 19.)</w:t>
      </w:r>
    </w:p>
    <w:p>
      <w:pPr>
        <w:spacing w:after="80"/>
        <w:ind w:left="720"/>
      </w:pPr>
      <w:r>
        <w:t xml:space="preserve">• </w:t>
      </w:r>
      <w:r>
        <w:rPr>
          <w:b/>
          <w:i w:val="0"/>
        </w:rPr>
        <w:t>Các chỉ số độ trưởng thành:</w:t>
      </w:r>
      <w:r>
        <w:rPr>
          <w:b w:val="0"/>
          <w:i w:val="0"/>
        </w:rPr>
        <w:t xml:space="preserve"> Điều này liên quan đến các thực hành nền tảng thúc đẩy hiệu suất của nhóm và hiệu quả tổng thể. Có nhiều công cụ khảo sát khác nhau để đo lường độ trưởng thành của nhóm. Khảo sát được điền bởi các thành viên nhóm và/hoặc huấn luyện viên agile của nhóm, người sau thường cung cấp góc nhìn độc lập hơn và hiệu chuẩn tốt hơn.</w:t>
        <w:br/>
        <w:t>Hình 32.4 cho thấy một ví dụ về đánh giá độ trưởng thành của nhóm đối với một nhóm các nhóm giải pháp. Loại đánh giá này có thể được kích hoạt mỗi ba tháng, và nó giúp định hướng các can thiệp.</w:t>
      </w:r>
    </w:p>
    <w:p>
      <w:pPr>
        <w:spacing w:after="80"/>
        <w:ind w:left="360"/>
      </w:pPr>
      <w:r>
        <w:t xml:space="preserve">3. </w:t>
      </w:r>
      <w:r>
        <w:rPr>
          <w:b/>
          <w:i w:val="0"/>
        </w:rPr>
        <w:t>Các chỉ số quản lý thay đổi:</w:t>
      </w:r>
      <w:r>
        <w:rPr>
          <w:b w:val="0"/>
          <w:i w:val="0"/>
        </w:rPr>
        <w:t xml:space="preserve"> Các chỉ số này đo lường tiến độ trong việc xây dựng các năng lực mới và sức khỏe của chính quá trình chuyển đổi. Theo kinh nghiệm của chúng tôi, sự hoàn hảo là kẻ thù của cái tốt khi xây dựng đo lường quản lý thay đổi. Hãy triển khai những điều cơ bản rồi xây dựng từ đó. Chúng tôi coi những điều cơ bản là:</w:t>
      </w:r>
    </w:p>
    <w:p>
      <w:pPr>
        <w:spacing w:after="80"/>
        <w:ind w:left="720"/>
      </w:pPr>
      <w:r>
        <w:t xml:space="preserve">• </w:t>
      </w:r>
      <w:r>
        <w:rPr>
          <w:b/>
          <w:i w:val="0"/>
        </w:rPr>
        <w:t>Huy động ban lãnh đạo.</w:t>
      </w:r>
      <w:r>
        <w:rPr>
          <w:b w:val="0"/>
          <w:i w:val="0"/>
        </w:rPr>
        <w:t xml:space="preserve"> Thực hiện các khảo sát định kỳ với 200–300 giám đốc điều hành hàng đầu trong công ty để hiểu tầm quan trọng của công nghệ &amp; AI đối với chương trình nghị sự quản lý của họ, cảm nhận của họ về tiến độ, và đánh giá của họ về hiệu quả của chính mình trong việc dẫn dắt thay đổi. Bổ sung điều này bằng các cuộc phỏng vấn.</w:t>
      </w:r>
    </w:p>
    <w:p>
      <w:pPr>
        <w:spacing w:after="80"/>
        <w:ind w:left="720"/>
      </w:pPr>
      <w:r>
        <w:t xml:space="preserve">• </w:t>
      </w:r>
      <w:r>
        <w:rPr>
          <w:b/>
          <w:i w:val="0"/>
        </w:rPr>
        <w:t>Tiến độ xây dựng năng lực.</w:t>
      </w:r>
      <w:r>
        <w:rPr>
          <w:b w:val="0"/>
          <w:i w:val="0"/>
        </w:rPr>
        <w:t xml:space="preserve"> Có một số câu hỏi quan trọng cần trả lời để xem doanh nghiệp của bạn đang tiến triển thế nào trong việc tái cấu trúc năng lực của mình, bao gồm: Bạn có đang đạt tiến độ đủ trong việc xây dựng đội ngũ AI của mình (ví dụ tuyển dụng hoặc nâng cao kỹ năng) và bạn có đang giữ chân những chuyên gia công nghệ giỏi nhất không? Nền tảng dữ liệu và các sản phẩm dữ liệu của bạn có đang giúp các nhóm dễ dàng sử dụng dữ liệu không? Những công ty tốt nhất đo lường tiến độ trong các nỗ lực xây dựng năng lực của họ thông qua các đánh giá độ trưởng thành được thực hiện qua nhiều năm (Hình 32.5).</w:t>
      </w:r>
    </w:p>
    <w:p>
      <w:pPr>
        <w:spacing w:after="80"/>
        <w:ind w:left="720"/>
      </w:pPr>
      <w:r>
        <w:t xml:space="preserve">• </w:t>
      </w:r>
      <w:r>
        <w:rPr>
          <w:b/>
          <w:i w:val="0"/>
        </w:rPr>
        <w:t>Sự gắn kết của nhân viên.</w:t>
      </w:r>
      <w:r>
        <w:rPr>
          <w:b w:val="0"/>
          <w:i w:val="0"/>
        </w:rPr>
        <w:t xml:space="preserve"> Khảo sát gắn kết nhân viên hàng năm là một cơ hội tốt để đo lường sự hào hứng tổng thể, phát triển kỹ năng và phát triển cá nhân. Cũng có thể là một ý hay khi phân tách khảo sát cho những người bị ảnh hưởng trực tiếp hơn bởi quá trình chuyển đổi—ví dụ, những người làm việc trong các nhóm hoặc người dùng được hưởng lợi từ các giải pháp mới đang được phát triển.</w:t>
      </w:r>
    </w:p>
    <w:p>
      <w:pPr>
        <w:jc w:val="center"/>
      </w:pPr>
      <w:r>
        <w:drawing>
          <wp:inline xmlns:a="http://schemas.openxmlformats.org/drawingml/2006/main" xmlns:pic="http://schemas.openxmlformats.org/drawingml/2006/picture">
            <wp:extent cx="5486400" cy="4694683"/>
            <wp:docPr id="192" name="Picture 192"/>
            <wp:cNvGraphicFramePr>
              <a:graphicFrameLocks noChangeAspect="1"/>
            </wp:cNvGraphicFramePr>
            <a:graphic>
              <a:graphicData uri="http://schemas.openxmlformats.org/drawingml/2006/picture">
                <pic:pic>
                  <pic:nvPicPr>
                    <pic:cNvPr id="0" name="c32ex005.png"/>
                    <pic:cNvPicPr/>
                  </pic:nvPicPr>
                  <pic:blipFill>
                    <a:blip r:embed="rId146"/>
                    <a:stretch>
                      <a:fillRect/>
                    </a:stretch>
                  </pic:blipFill>
                  <pic:spPr>
                    <a:xfrm>
                      <a:off x="0" y="0"/>
                      <a:ext cx="5486400" cy="4694683"/>
                    </a:xfrm>
                    <a:prstGeom prst="rect"/>
                  </pic:spPr>
                </pic:pic>
              </a:graphicData>
            </a:graphic>
          </wp:inline>
        </w:drawing>
      </w:r>
    </w:p>
    <w:p>
      <w:pPr>
        <w:spacing w:after="160"/>
        <w:jc w:val="center"/>
      </w:pPr>
      <w:r>
        <w:rPr>
          <w:rFonts w:ascii="Calibri" w:hAnsi="Calibri"/>
          <w:b w:val="0"/>
          <w:i/>
          <w:sz w:val="19"/>
        </w:rPr>
        <w:t>HÌNH 32.5</w:t>
      </w:r>
    </w:p>
    <w:p>
      <w:pPr>
        <w:pStyle w:val="Heading2"/>
      </w:pPr>
      <w:r>
        <w:rPr>
          <w:rFonts w:ascii="Calibri" w:hAnsi="Calibri"/>
          <w:b/>
          <w:i w:val="0"/>
          <w:sz w:val="32"/>
        </w:rPr>
        <w:t>Theo dõi tiến độ</w:t>
      </w:r>
    </w:p>
    <w:p>
      <w:pPr>
        <w:spacing w:after="80"/>
      </w:pPr>
      <w:r>
        <w:rPr>
          <w:b w:val="0"/>
          <w:i w:val="0"/>
        </w:rPr>
        <w:t>Phát triển sản phẩm AI phải mang tính lặp lại—các yêu cầu thay đổi, dữ liệu dịch chuyển, và phản hồi của người dùng định hình điều gì hiệu quả. Đồng thời, các giám đốc điều hành cần sự minh bạch có thể dự đoán được về chi phí, giá trị được tạo ra, mức độ áp dụng, sức khỏe của nhóm và các rủi ro mới nổi. Đây không phải là những triết lý đối chọi nhau. Agile chi phối cách các nhóm xây dựng. Một hệ thống hiệu suất chi phối cách các nhà lãnh đạo điều hướng.</w:t>
      </w:r>
    </w:p>
    <w:p>
      <w:pPr>
        <w:spacing w:after="80"/>
      </w:pPr>
      <w:r>
        <w:rPr>
          <w:b w:val="0"/>
          <w:i w:val="0"/>
        </w:rPr>
        <w:t>Ở cấp độ đội nhóm, quản lý hiệu suất trông giống như việc tinh chỉnh danh sách công việc tồn đọng (backlog refinement), thử nghiệm nhanh, lặp lại giải pháp liên tục, và kiểm thử cùng cải tiến người dùng không ngừng nghỉ. Ở cấp độ danh mục đầu tư hoặc toàn doanh nghiệp, quản lý hiệu suất diễn ra hàng tháng hoặc hàng quý để xem xét tốc độ chi tiêu, hiện thực hóa giá trị, các chỉ số đo lường mức độ chấp nhận, sức khỏe đội nhóm, và tốc độ phát triển.</w:t>
      </w:r>
    </w:p>
    <w:p>
      <w:pPr>
        <w:spacing w:after="80"/>
      </w:pPr>
      <w:r>
        <w:rPr>
          <w:b/>
          <w:i/>
        </w:rPr>
        <w:t>Mục đích không phải là để "làm chậm" các kỹ sư mà là để có được sự minh bạch. Đây là quản trị, không phải quản lý vi mô</w:t>
      </w:r>
      <w:r>
        <w:rPr>
          <w:b/>
          <w:i w:val="0"/>
        </w:rPr>
        <w:t>.</w:t>
      </w:r>
    </w:p>
    <w:p>
      <w:pPr>
        <w:spacing w:after="80"/>
      </w:pPr>
      <w:r>
        <w:rPr>
          <w:b w:val="0"/>
          <w:i w:val="0"/>
        </w:rPr>
        <w:t>Các chương trình chuyển đổi mạnh mẽ đảm bảo rằng các giải pháp phải đi qua các cổng giai đoạn chính thức. Theo vòng đời phân phối từ lĩnh vực đến giá trị được trình bày trong Chương 4 (xem Triển lãm 4.1), chúng tôi nhận thấy việc theo dõi từng giải pháp qua quy trình năm cổng là hữu ích (Triển lãm 32.6). Đây cũng chính là năm cổng mà công ty chúng tôi đã sử dụng thành công trong nhiều chương trình chuyển đổi.</w:t>
      </w:r>
    </w:p>
    <w:p>
      <w:pPr>
        <w:spacing w:after="80"/>
      </w:pPr>
      <w:r>
        <w:rPr>
          <w:b w:val="0"/>
          <w:i w:val="0"/>
        </w:rPr>
        <w:t>Các cổng từ L0 đến L1 nói về việc tái tưởng tượng lĩnh vực, trong khi bước chuyển từ L1 sang L3 là về việc đưa một giải pháp từ ý tưởng đến giai đoạn MVP. Khi giải pháp tiến triển qua các buổi đánh giá cổng chính thức, luận cứ kinh doanh và các yêu cầu phân phối trở nên chính xác hơn. Cổng L3 là cổng quyết định tiến/hay dừng (go/no-go). Nếu giải pháp được tiến hành, các nguồn lực phát triển đáng kể hơn sẽ được huy động.</w:t>
      </w:r>
    </w:p>
    <w:p>
      <w:pPr>
        <w:spacing w:after="80"/>
      </w:pPr>
      <w:r>
        <w:rPr>
          <w:b w:val="0"/>
          <w:i w:val="0"/>
        </w:rPr>
        <w:t>Cổng L4 là nơi các nhà lãnh đạo xem xét phiên bản sản xuất đầu tiên của giải pháp để đánh giá mức độ chấp nhận và mở rộng quy mô. Ở giai đoạn L5, bạn nên bắt đầu thấy được giá trị có ý nghĩa từ giải pháp.</w:t>
      </w:r>
    </w:p>
    <w:p>
      <w:pPr>
        <w:jc w:val="center"/>
      </w:pPr>
      <w:r>
        <w:drawing>
          <wp:inline xmlns:a="http://schemas.openxmlformats.org/drawingml/2006/main" xmlns:pic="http://schemas.openxmlformats.org/drawingml/2006/picture">
            <wp:extent cx="5486400" cy="2402779"/>
            <wp:docPr id="193" name="Picture 193"/>
            <wp:cNvGraphicFramePr>
              <a:graphicFrameLocks noChangeAspect="1"/>
            </wp:cNvGraphicFramePr>
            <a:graphic>
              <a:graphicData uri="http://schemas.openxmlformats.org/drawingml/2006/picture">
                <pic:pic>
                  <pic:nvPicPr>
                    <pic:cNvPr id="0" name="c32ex006.png"/>
                    <pic:cNvPicPr/>
                  </pic:nvPicPr>
                  <pic:blipFill>
                    <a:blip r:embed="rId147"/>
                    <a:stretch>
                      <a:fillRect/>
                    </a:stretch>
                  </pic:blipFill>
                  <pic:spPr>
                    <a:xfrm>
                      <a:off x="0" y="0"/>
                      <a:ext cx="5486400" cy="2402779"/>
                    </a:xfrm>
                    <a:prstGeom prst="rect"/>
                  </pic:spPr>
                </pic:pic>
              </a:graphicData>
            </a:graphic>
          </wp:inline>
        </w:drawing>
      </w:r>
    </w:p>
    <w:p>
      <w:pPr>
        <w:spacing w:after="160"/>
        <w:jc w:val="center"/>
      </w:pPr>
      <w:r>
        <w:rPr>
          <w:rFonts w:ascii="Calibri" w:hAnsi="Calibri"/>
          <w:b w:val="0"/>
          <w:i/>
          <w:sz w:val="19"/>
        </w:rPr>
        <w:t>TRIỂN LÃM 32.6</w:t>
      </w:r>
    </w:p>
    <w:p>
      <w:pPr>
        <w:spacing w:after="80"/>
      </w:pPr>
      <w:r>
        <w:rPr>
          <w:b w:val="0"/>
          <w:i w:val="0"/>
        </w:rPr>
        <w:t>Trong buổi QBR, ban lãnh đạo xem xét phản hồi của người dùng và các OKR, đồng thời tài trợ cho các cải tiến tính năng đủ điều kiện quan trọng. Giải pháp tiếp tục phát triển, cải thiện, và mang lại nhiều giá trị hơn. Những giải pháp không đáp ứng kỳ vọng có thể bị chuyển hướng đáng kể, hoặc bị cắt tài trợ. Khi giải pháp đạt đến độ chín muồi, đội phát triển được thu gọn lại và chỉ còn một đội hỗ trợ nòng cốt ở lại.</w:t>
      </w:r>
    </w:p>
    <w:p>
      <w:pPr>
        <w:spacing w:after="80"/>
      </w:pPr>
      <w:r>
        <w:rPr>
          <w:b w:val="0"/>
          <w:i w:val="0"/>
        </w:rPr>
        <w:t>Khi chuyển đổi Công nghệ &amp; AI mở rộng sang nhiều lĩnh vực hơn, quy trình cổng này mang lại một ngôn ngữ nhất quán và kỷ luật đầu tư có thể được quản lý thông qua các buổi QBR và chu kỳ lập kế hoạch hàng năm. Để theo dõi hiệu suất của hàng trăm đội giải pháp, cũng như mức độ chấp nhận và tạo giá trị từ công việc của họ trong các chương trình chuyển đổi Công nghệ &amp; AI quy mô lớn, cần phải có công cụ.</w:t>
      </w:r>
    </w:p>
    <w:p>
      <w:pPr>
        <w:spacing w:after="80"/>
      </w:pPr>
      <w:r>
        <w:rPr>
          <w:b w:val="0"/>
          <w:i w:val="0"/>
        </w:rPr>
        <w:t>Trong công việc của chính mình, chúng tôi thường sử dụng nhiều gói phần mềm khác nhau, bao gồm Orchestro, phần mềm này tích hợp các cập nhật về tiến độ trên các KPI, OKR, và tác động tài chính với sức khỏe đội nhóm và các phụ thuộc giữa các đội để hỗ trợ các buổi đánh giá sprint, hàng tháng, và QBR (Triển lãm 32.7). Công cụ này cũng sử dụng các agent để hỗ trợ các đội phát triển danh sách công việc tồn đọng và quản lý phụ thuộc. Trên thị trường cũng có những công cụ khác.</w:t>
      </w:r>
    </w:p>
    <w:p>
      <w:pPr>
        <w:jc w:val="center"/>
      </w:pPr>
      <w:r>
        <w:drawing>
          <wp:inline xmlns:a="http://schemas.openxmlformats.org/drawingml/2006/main" xmlns:pic="http://schemas.openxmlformats.org/drawingml/2006/picture">
            <wp:extent cx="5486400" cy="5903739"/>
            <wp:docPr id="194" name="Picture 194"/>
            <wp:cNvGraphicFramePr>
              <a:graphicFrameLocks noChangeAspect="1"/>
            </wp:cNvGraphicFramePr>
            <a:graphic>
              <a:graphicData uri="http://schemas.openxmlformats.org/drawingml/2006/picture">
                <pic:pic>
                  <pic:nvPicPr>
                    <pic:cNvPr id="0" name="c32ex007.png"/>
                    <pic:cNvPicPr/>
                  </pic:nvPicPr>
                  <pic:blipFill>
                    <a:blip r:embed="rId148"/>
                    <a:stretch>
                      <a:fillRect/>
                    </a:stretch>
                  </pic:blipFill>
                  <pic:spPr>
                    <a:xfrm>
                      <a:off x="0" y="0"/>
                      <a:ext cx="5486400" cy="5903739"/>
                    </a:xfrm>
                    <a:prstGeom prst="rect"/>
                  </pic:spPr>
                </pic:pic>
              </a:graphicData>
            </a:graphic>
          </wp:inline>
        </w:drawing>
      </w:r>
    </w:p>
    <w:p>
      <w:pPr>
        <w:spacing w:after="160"/>
        <w:jc w:val="center"/>
      </w:pPr>
      <w:r>
        <w:rPr>
          <w:rFonts w:ascii="Calibri" w:hAnsi="Calibri"/>
          <w:b w:val="0"/>
          <w:i/>
          <w:sz w:val="19"/>
        </w:rPr>
        <w:t>TRIỂN LÃM 32.7</w:t>
      </w:r>
    </w:p>
    <w:p>
      <w:pPr>
        <w:pStyle w:val="Heading2"/>
      </w:pPr>
      <w:r>
        <w:rPr>
          <w:rFonts w:ascii="Calibri" w:hAnsi="Calibri"/>
          <w:b/>
          <w:i w:val="0"/>
          <w:sz w:val="32"/>
        </w:rPr>
        <w:t>Quản trị chương trình chuyển đổi</w:t>
      </w:r>
    </w:p>
    <w:p>
      <w:pPr>
        <w:spacing w:after="80"/>
      </w:pPr>
      <w:r>
        <w:rPr>
          <w:b w:val="0"/>
          <w:i w:val="0"/>
        </w:rPr>
        <w:t>Để giúp quản lý tất cả các sáng kiến Công nghệ &amp; AI một cách liên tục, thường cần có một văn phòng chuyển đổi (transformation office - TO). Trong khi văn phòng quản lý chương trình (program management office - PMO) thường tập trung vào việc báo cáo cho ban lãnh đạo cấp cao, thì trọng tâm chính của TO là giúp các chủ sở hữu lĩnh vực gỡ bỏ rào cản, giải phóng nguồn lực, giải quyết vấn đề để cải tiến, v.v.</w:t>
      </w:r>
    </w:p>
    <w:p>
      <w:pPr>
        <w:spacing w:after="80"/>
      </w:pPr>
      <w:r>
        <w:rPr>
          <w:b w:val="0"/>
          <w:i w:val="0"/>
        </w:rPr>
        <w:t>TO là đội nhóm bao trùm giám sát tất cả các yếu tố của chương trình chuyển đổi Công nghệ &amp; AI rộng lớn hơn trên toàn doanh nghiệp, từ việc đảm bảo các tầm nhìn lĩnh vực và luận cứ kinh doanh chất lượng cho đến việc báo cáo về hiệu suất và sức khỏe của chương trình chuyển đổi.</w:t>
      </w:r>
    </w:p>
    <w:p>
      <w:pPr>
        <w:spacing w:after="80"/>
      </w:pPr>
      <w:r>
        <w:rPr>
          <w:b/>
          <w:i/>
        </w:rPr>
        <w:t>Sự tồn tại của một TO không có nghĩa là ban lãnh đạo cấp cao từ bỏ trách nhiệm của mình đối với chương trình chuyển đổi. Với vai trò là cánh tay thực thi của chương trình chuyển đổi, TO cung cấp cho ban lãnh đạo cấp cao sự minh bạch cần thiết để các nhà lãnh đạo cấp cao đưa ra quyết định tốt hơn và giúp thúc đẩy chương trình chuyển đổi</w:t>
      </w:r>
      <w:r>
        <w:rPr>
          <w:b/>
          <w:i w:val="0"/>
        </w:rPr>
        <w:t>.</w:t>
      </w:r>
    </w:p>
    <w:p>
      <w:pPr>
        <w:spacing w:after="80"/>
      </w:pPr>
      <w:r>
        <w:rPr>
          <w:b w:val="0"/>
          <w:i w:val="0"/>
        </w:rPr>
        <w:t>Tùy thuộc vào quy mô của chương trình chuyển đổi, TO thường bao gồm các chuyên gia từ IT, tài chính, nhân sự, truyền thông, và các chuyên gia về lĩnh vực cụ thể (chẳng hạn như từ pháp lý và mua sắm).</w:t>
      </w:r>
    </w:p>
    <w:p>
      <w:pPr>
        <w:spacing w:after="80"/>
      </w:pPr>
      <w:r>
        <w:rPr>
          <w:b w:val="0"/>
          <w:i w:val="0"/>
        </w:rPr>
        <w:t>Các trách nhiệm chính của nó bao gồm: khởi động chương trình chuyển đổi; theo dõi để xem liệu giá trị mục tiêu có thực sự được nắm bắt hay không; phát hiện sớm các dấu hiệu tiềm ẩn của việc rò rỉ giá trị; gỡ bỏ rào cản; xem xét và làm mới lộ trình dựa trên tiến độ; đảm bảo sự tiến bộ trong việc xây dựng năng lực; và quản lý sự thay đổi ở cấp độ doanh nghiệp xuyên suốt.</w:t>
      </w:r>
    </w:p>
    <w:p>
      <w:pPr>
        <w:spacing w:after="80"/>
      </w:pPr>
      <w:r>
        <w:rPr>
          <w:b w:val="0"/>
          <w:i w:val="0"/>
        </w:rPr>
        <w:t>Người đứng đầu TO được trao quyền đưa ra những quyết định quan trọng (như phê duyệt qua các cổng giai đoạn, hay phân bổ đội ngũ và ngân sách) và thúc đẩy tổ chức bằng cách đặt ra những câu hỏi hóc búa và buộc mọi người phải chịu trách nhiệm.</w:t>
      </w:r>
    </w:p>
    <w:p>
      <w:pPr>
        <w:spacing w:after="80"/>
      </w:pPr>
      <w:r>
        <w:rPr>
          <w:b w:val="0"/>
          <w:i w:val="0"/>
        </w:rPr>
        <w:t>TO có tầm nhìn xa hơn nhiều so với một PMO truyền thống. Nó lường trước các điểm nghẽn và chủ động giải quyết chúng. Trọng tâm của nó là giải quyết vấn đề, trách nhiệm giải trình và duy trì nhịp độ.</w:t>
      </w:r>
    </w:p>
    <w:p>
      <w:pPr>
        <w:spacing w:after="80"/>
      </w:pPr>
      <w:r>
        <w:rPr>
          <w:b w:val="0"/>
          <w:i w:val="0"/>
        </w:rPr>
        <w:t>Người đứng đầu TO—thường là giám đốc chuyển đổi số hoặc CFO—cần hiểu rõ hoạt động kinh doanh, được mọi người kính trọng, và sẵn sàng thúc đẩy mọi người cũng như "chi tiêu" vốn quan hệ của mình để dẫn dắt quá trình chuyển đổi. Vì lý do này, người đứng đầu TO thường là một lãnh đạo nội bộ.</w:t>
      </w:r>
    </w:p>
    <w:p>
      <w:pPr>
        <w:spacing w:after="80"/>
      </w:pPr>
      <w:r>
        <w:rPr>
          <w:b w:val="0"/>
          <w:i w:val="0"/>
        </w:rPr>
        <w:t>Khi quá trình chuyển đổi Tech &amp; AI trưởng thành và trở thành công việc thường ngày, nhu cầu về TO sẽ giảm đi và cuối cùng nó sẽ được giải thể. Các nỗ lực AI vào thời điểm này được tích hợp như một phần của mô hình vận hành mới (xem Phần Ba để biết chi tiết về các mô hình vận hành).</w:t>
      </w:r>
    </w:p>
    <w:p>
      <w:pPr>
        <w:jc w:val="center"/>
      </w:pPr>
      <w:r>
        <w:drawing>
          <wp:inline xmlns:a="http://schemas.openxmlformats.org/drawingml/2006/main" xmlns:pic="http://schemas.openxmlformats.org/drawingml/2006/picture">
            <wp:extent cx="1905000" cy="95250"/>
            <wp:docPr id="195" name="Picture 195"/>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Thật là một câu sáo ngữ trong kinh doanh khi nói rằng bạn không thể quản lý những gì bạn không thể đo lường, nhưng điều đó không kém phần đúng đắn và còn quan trọng hơn nhiều khi nói đến các quá trình chuyển đổi Tech &amp; AI. Tốc độ thay đổi cũng như tốc độ phát triển ngày càng nhanh khi cỗ máy chuyển đổi của bạn khởi động đồng nghĩa với việc bạn cần theo dõi sát sao tiến độ và sẵn sàng can thiệp nhanh chóng.</w:t>
      </w:r>
    </w:p>
    <w:p>
      <w:pPr>
        <w:pStyle w:val="Heading2"/>
      </w:pPr>
      <w:r>
        <w:rPr>
          <w:rFonts w:ascii="Calibri" w:hAnsi="Calibri"/>
          <w:b/>
          <w:i w:val="0"/>
          <w:sz w:val="32"/>
        </w:rPr>
        <w:t>Ghi chú</w:t>
      </w:r>
    </w:p>
    <w:p>
      <w:pPr>
        <w:spacing w:after="80"/>
        <w:ind w:left="360"/>
      </w:pPr>
      <w:r>
        <w:t xml:space="preserve">1. </w:t>
      </w:r>
      <w:r>
        <w:rPr>
          <w:b w:val="0"/>
          <w:i w:val="0"/>
        </w:rPr>
        <w:t>1   Alex Singla, Alexander Sukharevsky, Bryce Hall, Lareina Yee, Michael Chui, và Tara Balakrishnan, "The state of AI in 2025: Agents, innovation, and transformation," McKinsey, ngày 5 tháng 11 năm 2025.</w:t>
      </w:r>
    </w:p>
    <w:p>
      <w:pPr>
        <w:spacing w:after="80"/>
        <w:ind w:left="360"/>
      </w:pPr>
      <w:r>
        <w:t xml:space="preserve">2. </w:t>
      </w:r>
      <w:r>
        <w:rPr>
          <w:b w:val="0"/>
          <w:i w:val="0"/>
        </w:rPr>
        <w:t xml:space="preserve">2   Andrew McAfee, </w:t>
      </w:r>
      <w:r>
        <w:rPr>
          <w:b w:val="0"/>
          <w:i/>
        </w:rPr>
        <w:t>The Geek Way: The Radical Mindset That Drives Extraordinary Results,</w:t>
      </w:r>
      <w:r>
        <w:rPr>
          <w:b w:val="0"/>
          <w:i w:val="0"/>
        </w:rPr>
        <w:t xml:space="preserve"> Little, Brown and Company, ngày 14 tháng 11 năm 2023.</w:t>
      </w:r>
    </w:p>
    <w:p>
      <w:pPr>
        <w:spacing w:after="80"/>
        <w:ind w:left="360"/>
      </w:pPr>
      <w:r>
        <w:t xml:space="preserve">3. </w:t>
      </w:r>
      <w:r>
        <w:rPr>
          <w:b w:val="0"/>
          <w:i w:val="0"/>
        </w:rPr>
        <w:t>3   DORA là viết tắt của DevOps Research and Assessment.</w:t>
      </w:r>
    </w:p>
    <w:p>
      <w:pPr>
        <w:pStyle w:val="Heading2"/>
      </w:pPr>
      <w:r>
        <w:rPr>
          <w:rFonts w:ascii="Calibri" w:hAnsi="Calibri"/>
          <w:b/>
          <w:i/>
          <w:sz w:val="32"/>
        </w:rPr>
        <w:t>"Thay đổi là công việc khó nhọc."</w:t>
      </w:r>
    </w:p>
    <w:p>
      <w:pPr>
        <w:spacing w:after="80"/>
      </w:pPr>
      <w:r>
        <w:rPr>
          <w:b/>
          <w:i w:val="0"/>
        </w:rPr>
        <w:t>— Billy Crystal</w:t>
      </w:r>
    </w:p>
    <w:p>
      <w:pPr>
        <w:pStyle w:val="Heading1"/>
      </w:pPr>
      <w:r>
        <w:rPr>
          <w:rFonts w:ascii="Calibri" w:hAnsi="Calibri"/>
          <w:b/>
          <w:i w:val="0"/>
          <w:sz w:val="40"/>
        </w:rPr>
        <w:t>CHƯƠNG 33</w:t>
      </w:r>
      <w:r>
        <w:rPr>
          <w:rFonts w:ascii="Calibri" w:hAnsi="Calibri"/>
          <w:b/>
          <w:i w:val="0"/>
          <w:sz w:val="40"/>
        </w:rPr>
      </w:r>
      <w:r>
        <w:rPr>
          <w:rFonts w:ascii="Calibri" w:hAnsi="Calibri"/>
          <w:b/>
          <w:i w:val="0"/>
          <w:sz w:val="40"/>
        </w:rPr>
        <w:t>Lập kế hoạch cho những điều chỉnh giữa chừng</w:t>
      </w:r>
    </w:p>
    <w:p>
      <w:pPr>
        <w:spacing w:after="80"/>
      </w:pPr>
      <w:r>
        <w:rPr>
          <w:b w:val="0"/>
          <w:i w:val="0"/>
        </w:rPr>
        <w:t>Khi chúng tôi ra mắt phiên bản đầu tiên của Lilli, công cụ tri thức GenAI nội bộ của McKinsey, nó đã gây ra một làn sóng hào hứng. Chúng tôi đang dùng một năng lực mang tính cách mạng để tạo ra một thứ gì đó đặc biệt. Sự quan tâm ngày càng tăng, và mọi người trong công ty lao vào sử dụng nó.</w:t>
      </w:r>
    </w:p>
    <w:p>
      <w:pPr>
        <w:spacing w:after="80"/>
      </w:pPr>
      <w:r>
        <w:rPr>
          <w:b w:val="0"/>
          <w:i w:val="0"/>
        </w:rPr>
        <w:t>Khi hàng chục trường hợp sử dụng mới được thử nghiệm trên nền tảng, đội ngũ nhận ra rằng nền tảng này đang bị quá tải. Lilli được xây dựng trên một số LLM từ một nhà cung cấp duy nhất, và chi phí tăng nhanh khi ngày càng nhiều người dùng nhiều ứng dụng hơn. Đội ngũ đã phân tích thêm dựa trên các mô hình sử dụng thực tế, và có thể thấy các LLM khác nhau thể hiện khác nhau trong sự đánh đổi giữa tốc độ, độ chính xác và chi phí.</w:t>
      </w:r>
    </w:p>
    <w:p>
      <w:pPr>
        <w:spacing w:after="80"/>
      </w:pPr>
      <w:r>
        <w:rPr>
          <w:b w:val="0"/>
          <w:i w:val="0"/>
        </w:rPr>
        <w:t>Phân tích đó đã xác nhận một hiểu biết quan trọng: cách tiếp cận "một cỡ vừa cho tất cả" đang tạo ra một điểm nghẽn về giá trị. Việc phụ thuộc vào một nhà cung cấp duy nhất khiến đội ngũ phát triển Lilli không thể tối ưu hóa cho nhu cầu cụ thể của từng trường hợp sử dụng. Một số ứng dụng đòi hỏi độ chính xác tối đa, trong khi những ứng dụng khác ưu tiên tốc độ và hiệu quả chi phí. Chúng tôi đã đụng phải bức tường mở rộng quy mô, không chỉ về chi phí, mà còn về khả năng cung cấp đúng năng lực cho đúng công việc.</w:t>
      </w:r>
    </w:p>
    <w:p>
      <w:pPr>
        <w:spacing w:after="80"/>
      </w:pPr>
      <w:r>
        <w:rPr>
          <w:b w:val="0"/>
          <w:i w:val="0"/>
        </w:rPr>
        <w:t>Vì vậy, quyết định được đưa ra là chuyển hướng và tái kiến trúc Lilli xoay quanh một nền tảng mã nguồn mở có thể kết hợp (composable) và không phụ thuộc vào LLM cụ thể nào. Quyết định đó mang tính then chốt trong việc cho phép nền tảng mở rộng quy mô một cách tiết kiệm.</w:t>
      </w:r>
    </w:p>
    <w:p>
      <w:pPr>
        <w:spacing w:after="80"/>
      </w:pPr>
      <w:r>
        <w:rPr>
          <w:b w:val="0"/>
          <w:i w:val="0"/>
        </w:rPr>
        <w:t>Mỗi công ty sẽ gặp phải những vấn đề riêng trong hành trình chuyển đổi Công nghệ &amp; AI của mình. Điều đó là bình thường, nhưng bạn cần sẵn sàng thích ứng. Theo kinh nghiệm của chúng tôi, có một nhóm vấn đề chung mà các công ty thường vật lộn. Dưới đây là một số vấn đề quan trọng nhất, cùng cách giải quyết chúng.</w:t>
      </w:r>
    </w:p>
    <w:p>
      <w:pPr>
        <w:pStyle w:val="Heading2"/>
      </w:pPr>
      <w:r>
        <w:rPr>
          <w:rFonts w:ascii="Calibri" w:hAnsi="Calibri"/>
          <w:b/>
          <w:i w:val="0"/>
          <w:sz w:val="32"/>
        </w:rPr>
        <w:t>Những thách thức về lộ trình và giá trị</w:t>
      </w:r>
    </w:p>
    <w:p>
      <w:pPr>
        <w:spacing w:after="80"/>
      </w:pPr>
      <w:r>
        <w:rPr>
          <w:b/>
          <w:i w:val="0"/>
        </w:rPr>
        <w:t>Vấn đề: Làm sao để các lãnh đạo mảng cam kết tham gia.</w:t>
      </w:r>
    </w:p>
    <w:p>
      <w:pPr>
        <w:spacing w:after="80"/>
      </w:pPr>
      <w:r>
        <w:rPr>
          <w:b w:val="0"/>
          <w:i w:val="0"/>
        </w:rPr>
        <w:t>Các lãnh đạo mảng thường ngần ngại cam kết với một chương trình chuyển đổi của mảng mình vì nó bị áp đặt lên họ, lại kèm theo các mục tiêu tăng năng suất hoặc tăng trưởng tăng thêm ngoài những cam kết hiện có của họ. Điều này đặc biệt đúng khi chi phí triển khai được phân bổ vào P&amp;L của chính họ. Nếu tổ chức vốn đã gặp khó khăn trong việc thực thi các dự án do công nghệ dẫn dắt một cách tốt và đúng hạn, thì sự ngần ngại càng tăng.</w:t>
      </w:r>
    </w:p>
    <w:p>
      <w:pPr>
        <w:spacing w:after="80"/>
      </w:pPr>
      <w:r>
        <w:rPr>
          <w:b/>
          <w:i w:val="0"/>
        </w:rPr>
        <w:t>Giải pháp: Trao cho họ quyền làm chủ và dọn phẳng đường băng.</w:t>
      </w:r>
    </w:p>
    <w:p>
      <w:pPr>
        <w:spacing w:after="80"/>
      </w:pPr>
      <w:r>
        <w:rPr>
          <w:b w:val="0"/>
          <w:i w:val="0"/>
        </w:rPr>
        <w:t>Việc ưu tiên các mảng và đặt đúng người làm chủ mảng — những người thực sự xắn tay áo để xây dựng lộ trình và làm việc — sẽ giảm đi rất nhiều vấn đề cam kết của lãnh đạo. Hãy tìm cách giảm thiểu rủi ro cho mảng đó.</w:t>
      </w:r>
    </w:p>
    <w:p>
      <w:pPr>
        <w:spacing w:after="80"/>
      </w:pPr>
      <w:r>
        <w:rPr>
          <w:b w:val="0"/>
          <w:i w:val="0"/>
        </w:rPr>
        <w:t>Ví dụ, một công ty đồ uống đã chi trả tập trung cho vài quý đầu tiên của chi phí triển khai chuyển đổi cho một mảng mục tiêu. Dù tổ chức theo dõi OKR rất nghiêm ngặt, ban đầu họ không tăng mục tiêu tăng trưởng doanh thu kết quả cho năm đầu tiên.</w:t>
      </w:r>
    </w:p>
    <w:p>
      <w:pPr>
        <w:spacing w:after="80"/>
      </w:pPr>
      <w:r>
        <w:rPr>
          <w:b/>
          <w:i w:val="0"/>
        </w:rPr>
        <w:t>Vấn đề: Chi phí mở rộng quy mô bắt đầu tăng vọt.</w:t>
      </w:r>
    </w:p>
    <w:p>
      <w:pPr>
        <w:spacing w:after="80"/>
      </w:pPr>
      <w:r>
        <w:rPr>
          <w:b w:val="0"/>
          <w:i w:val="0"/>
        </w:rPr>
        <w:t>Ở giai đoạn đầu của quá trình chuyển đổi, các ước tính chi phí còn thô. Điều đó nhìn chung vẫn ổn vì chúng đủ chính xác để mang lại chút khả năng dự đoán cho các bên liên quan nội bộ và bên ngoài. Nhưng có rất nhiều điều bạn chưa biết cho đến khi thực sự bắt tay vào xây dựng và triển khai giải pháp, đặc biệt là khi hệ sinh thái giải pháp AI và giá cả đang tiến hóa nhanh chóng.</w:t>
      </w:r>
    </w:p>
    <w:p>
      <w:pPr>
        <w:spacing w:after="80"/>
      </w:pPr>
      <w:r>
        <w:rPr>
          <w:b/>
          <w:i w:val="0"/>
        </w:rPr>
        <w:t>Giải pháp: Đi sâu vào kinh tế đơn vị của việc mở rộng quy mô.</w:t>
      </w:r>
      <w:r>
        <w:rPr>
          <w:b w:val="0"/>
          <w:i w:val="0"/>
        </w:rPr>
        <w:t xml:space="preserve"> Điều quan trọng là phải xem lại các ước tính chi phí ban đầu, nhưng mấu chốt thực sự là nắm được kinh tế đơn vị của việc mở rộng quy mô (nghĩa là những yếu tố tác động cụ thể đến chi phí liên quan đến việc mở rộng quy mô).</w:t>
      </w:r>
    </w:p>
    <w:p>
      <w:pPr>
        <w:spacing w:after="80"/>
      </w:pPr>
      <w:r>
        <w:rPr>
          <w:b w:val="0"/>
          <w:i w:val="0"/>
        </w:rPr>
        <w:t>Dưới đây là một vài yếu tố quan trọng cần tập trung:</w:t>
      </w:r>
    </w:p>
    <w:p>
      <w:pPr>
        <w:spacing w:after="80"/>
        <w:ind w:left="360"/>
      </w:pPr>
      <w:r>
        <w:t xml:space="preserve">• </w:t>
      </w:r>
      <w:r>
        <w:rPr>
          <w:b/>
          <w:i w:val="0"/>
        </w:rPr>
        <w:t>Nhân bản.</w:t>
      </w:r>
      <w:r>
        <w:rPr>
          <w:b w:val="0"/>
          <w:i w:val="0"/>
        </w:rPr>
        <w:t xml:space="preserve"> Sự kém hiệu quả xuất hiện khi mỗi đơn vị kinh doanh hay thị trường mới đều đòi hỏi phải làm lại nhiều. Những khác biệt về lược đồ dữ liệu, luồng quy trình, quy định địa phương và giao diện người dùng thường đòi hỏi phải làm lại nhiều.</w:t>
      </w:r>
    </w:p>
    <w:p>
      <w:pPr>
        <w:spacing w:after="80"/>
        <w:ind w:left="360"/>
      </w:pPr>
      <w:r>
        <w:t xml:space="preserve">• </w:t>
      </w:r>
      <w:r>
        <w:rPr>
          <w:b/>
          <w:i w:val="0"/>
        </w:rPr>
        <w:t>Chi phí vận hành.</w:t>
      </w:r>
      <w:r>
        <w:rPr>
          <w:b w:val="0"/>
          <w:i w:val="0"/>
        </w:rPr>
        <w:t xml:space="preserve"> Những chi phí AI không lường trước thường xuất hiện, đặc biệt là khi các giải pháp chuyển từ mô hình đơn giản kiểu prompt-response sang các kiến trúc mang tính tác tử (agentic) hơn. Khi các agent thực hiện nhiều lần gọi mô hình, kích hoạt các công cụ bên ngoài và chạy các bước truy xuất (retrieval), phí dựa trên mức sử dụng có thể tăng vọt vượt xa dự báo ban đầu — chưa kể đến một số chi phí ẩn khác như di chuyển dữ liệu và lưu trữ vector.</w:t>
        <w:br/>
        <w:t>Các đội nên dự báo và theo dõi chi phí ở cấp đơn vị (ví dụ chi phí cho mỗi workflow, hay mỗi tác vụ của agent) và ở cấp giá trị (ví dụ chi phí trung bình cho mỗi ticket khách hàng được xử lý xong hoặc mỗi đề xuất bán hàng được tạo ra), chứ không phải theo token hay theo tổng chi tiêu gộp. Đồng thời, hãy cân nhắc kỹ kiến trúc của giải pháp, vì nó có thể tạo ra hiệu ứng giảm chi phí gấp 10x–100x.</w:t>
      </w:r>
    </w:p>
    <w:p>
      <w:pPr>
        <w:spacing w:after="80"/>
        <w:ind w:left="360"/>
      </w:pPr>
      <w:r>
        <w:t xml:space="preserve">• </w:t>
      </w:r>
      <w:r>
        <w:rPr>
          <w:b/>
          <w:i w:val="0"/>
        </w:rPr>
        <w:t>Bảo trì và trôi dạt.</w:t>
      </w:r>
      <w:r>
        <w:rPr>
          <w:b w:val="0"/>
          <w:i w:val="0"/>
        </w:rPr>
        <w:t xml:space="preserve"> Khi các hệ thống AI mở rộng quy mô, việc duy trì tính nhất quán về hiệu năng trở thành một yếu tố thúc đẩy chi phí âm thầm nhưng đáng kể. Các mô hình suy giảm theo thời gian khi phân phối dữ liệu nền thay đổi — thứ hiệu quả trong một quý hay một đơn vị kinh doanh có thể kém hiệu quả ở một quý hay đơn vị khác. Để chống lại “sự trôi dạt mô hình” (model drift) này, các đội phải huấn luyện lại, kiểm định lại và triển khai lại thường xuyên, đòi hỏi hạ tầng MLOps và nhân sự chuyên trách.</w:t>
      </w:r>
    </w:p>
    <w:p>
      <w:pPr>
        <w:spacing w:after="80"/>
      </w:pPr>
      <w:r>
        <w:rPr>
          <w:b w:val="0"/>
          <w:i w:val="0"/>
        </w:rPr>
        <w:t>Khi bạn dần nắm bắt được kinh tế đơn vị của việc mở rộng quy mô, hãy suy nghĩ thấu đáo về cách mở rộng quy mô mà không cần thêm nhân lực, đặc biệt là thông qua tự động hóa và các giải pháp tác tử, đồng thời phải rõ ràng về vai trò then chốt mà con người sẽ tiếp tục đảm nhận.</w:t>
      </w:r>
    </w:p>
    <w:p>
      <w:pPr>
        <w:spacing w:after="80"/>
      </w:pPr>
      <w:r>
        <w:rPr>
          <w:b/>
          <w:i w:val="0"/>
        </w:rPr>
        <w:t>Vấn đề: Lãnh đạo không có khả năng tái tưởng tượng.</w:t>
      </w:r>
      <w:r>
        <w:rPr>
          <w:b w:val="0"/>
          <w:i w:val="0"/>
        </w:rPr>
        <w:t xml:space="preserve"> Các lãnh đạo kinh doanh cấp cao bị cuốn vào công việc hằng ngày, hoặc đã phát triển thành những nhà quản lý con người xuất sắc, nhưng kỹ năng “tái tưởng tượng” kinh doanh đầy sáng tạo của họ có thể đã mai một, hoặc có lẽ ngay từ đầu đã chưa bao giờ là thế mạnh của họ.</w:t>
      </w:r>
    </w:p>
    <w:p>
      <w:pPr>
        <w:spacing w:after="80"/>
      </w:pPr>
      <w:r>
        <w:rPr>
          <w:b/>
          <w:i w:val="0"/>
        </w:rPr>
        <w:t>Giải pháp: Tìm những chủ sở hữu lĩnh vực (domain owner) có tinh thần khởi nghiệp.</w:t>
      </w:r>
      <w:r>
        <w:rPr>
          <w:b w:val="0"/>
          <w:i w:val="0"/>
        </w:rPr>
        <w:t xml:space="preserve"> Câu trả lời ở đây là tìm những chủ sở hữu lĩnh vực và chủ sở hữu sản phẩm có tố chất khởi nghiệp mạnh mẽ (chứ không chỉ là một người quản lý được thăng chức cho oai) và cung cấp cho họ đủ sự hỗ trợ để họ phát huy tố chất đó. Chúng tôi nhận thấy rằng việc xây dựng một chương quản lý sản phẩm (product management chapter) mà tất cả các chủ sở hữu sản phẩm kinh doanh trên mọi lĩnh vực đều tham gia có thể là một cách quan trọng để giữ cho "cơ bắp" khởi nghiệp đó luôn sống động. Toyota và Freeport-McMoRan đặc biệt coi tố chất khởi nghiệp này là trọng tâm trong việc xây dựng đội ngũ cho các chương trình chuyển đổi AI của họ.</w:t>
      </w:r>
    </w:p>
    <w:p>
      <w:pPr>
        <w:pStyle w:val="Heading2"/>
      </w:pPr>
      <w:r>
        <w:rPr>
          <w:rFonts w:ascii="Calibri" w:hAnsi="Calibri"/>
          <w:b/>
          <w:i w:val="0"/>
          <w:sz w:val="32"/>
        </w:rPr>
        <w:t>Những thách thức về nhân tài</w:t>
      </w:r>
    </w:p>
    <w:p>
      <w:pPr>
        <w:spacing w:after="80"/>
      </w:pPr>
      <w:r>
        <w:rPr>
          <w:b/>
          <w:i w:val="0"/>
        </w:rPr>
        <w:t>Vấn đề: Mô hình nhân tài "hai tầng".</w:t>
      </w:r>
      <w:r>
        <w:rPr>
          <w:b w:val="0"/>
          <w:i w:val="0"/>
        </w:rPr>
        <w:t xml:space="preserve"> Văn hóa "chúng ta vs. họ" có thể hình thành nếu bạn không cẩn thận, với các đội "chúng ta" làm những giải pháp AI hào nhoáng, nổi bật, còn các đội khác làm những công việc kém hấp dẫn hơn, như duy trì các hệ thống cốt lõi. Sự khác biệt về lương thưởng và lộ trình phát triển sẽ càng làm vấn đề này trầm trọng thêm.</w:t>
      </w:r>
    </w:p>
    <w:p>
      <w:pPr>
        <w:spacing w:after="80"/>
      </w:pPr>
      <w:r>
        <w:rPr>
          <w:b/>
          <w:i w:val="0"/>
        </w:rPr>
        <w:t>Giải pháp: Có một "kế hoạch dịch chuyển nhân tài" rõ ràng.</w:t>
      </w:r>
      <w:r>
        <w:rPr>
          <w:b w:val="0"/>
          <w:i w:val="0"/>
        </w:rPr>
        <w:t xml:space="preserve"> Sự mơ hồ với mô hình hai tầng là điều khó tránh khỏi, nhưng điểm mấu chốt là bạn không thể để nó đóng cứng lại và trở thành chuẩn mực. Hãy tạo ra sự phân định rõ ràng giữa các bản mô tả công việc, kỳ vọng về kỹ năng cho từng công việc, và các phần thưởng đi kèm. Thiết lập một chương trình nâng cao kỹ năng (upskilling) cho phép những nhân tài công nghệ truyền thống có năng lực chuyển sang làm công việc chuyển đổi Công nghệ &amp; AI.</w:t>
      </w:r>
    </w:p>
    <w:p>
      <w:pPr>
        <w:spacing w:after="80"/>
      </w:pPr>
      <w:r>
        <w:rPr>
          <w:b w:val="0"/>
          <w:i w:val="0"/>
        </w:rPr>
        <w:t>Tại một công ty tiêu dùng đã lập ra một AI factory tách biệt khỏi tổ chức IT, các ứng viên nội bộ phải trải qua đúng bài kiểm tra lập trình và quy trình phỏng vấn như ứng viên bên ngoài. Khoảng 20% trong số họ đã vượt qua và trở thành một phần của AI factory.</w:t>
      </w:r>
    </w:p>
    <w:p>
      <w:pPr>
        <w:spacing w:after="80"/>
      </w:pPr>
      <w:r>
        <w:rPr>
          <w:b w:val="0"/>
          <w:i w:val="0"/>
        </w:rPr>
        <w:t>Một điểm nữa cần nhớ: Các hệ thống cốt lõi của bạn không cần phải "miễn nhiễm" với đổi mới. Ở đây có rất nhiều dư địa để đổi mới và tạo cơ hội cho nhân tài đó luôn ở đỉnh cao tay nghề của mình.</w:t>
      </w:r>
    </w:p>
    <w:p>
      <w:pPr>
        <w:spacing w:after="80"/>
      </w:pPr>
      <w:r>
        <w:rPr>
          <w:b/>
          <w:i w:val="0"/>
        </w:rPr>
        <w:t>Vấn đề: Giữ chân những lập trình viên giỏi nhất.</w:t>
      </w:r>
      <w:r>
        <w:rPr>
          <w:b w:val="0"/>
          <w:i w:val="0"/>
        </w:rPr>
        <w:t xml:space="preserve"> Việc bảo trì là tối quan trọng để đảm bảo quy mô, nhưng nhiều người giỏi công nghệ nhất đã phát triển một giải pháp lại không hứng thú với công việc kém hào nhoáng là hỗ trợ nó. Hoặc là họ rời đi, điều này làm suy yếu sự phát triển trong tương lai, hoặc là công việc bảo trì trở thành ưu tiên thấp đối với họ.</w:t>
      </w:r>
    </w:p>
    <w:p>
      <w:pPr>
        <w:spacing w:after="80"/>
      </w:pPr>
      <w:r>
        <w:rPr>
          <w:b/>
          <w:i w:val="0"/>
        </w:rPr>
        <w:t>Giải pháp: Sống theo nguyên tắc cốt lõi của các công ty công nghệ hàng đầu: "Bạn xây nó, bạn vận hành nó" (You build it, you run it).</w:t>
      </w:r>
      <w:r>
        <w:rPr>
          <w:b w:val="0"/>
          <w:i w:val="0"/>
        </w:rPr>
        <w:t xml:space="preserve"> Bảo trì là một phần công việc của mọi lập trình viên. Nhiệm vụ này sẽ trở nên dễ dàng hơn khi các công cụ GenAI ngày càng cung cấp nhiều đòn bẩy cho các công việc bảo trì hệ thống cũ. Hãy rõ ràng về việc những hệ thống tiện ích nào nên được thuê ngoài (outsource) cùng với việc bảo trì chúng.</w:t>
      </w:r>
    </w:p>
    <w:p>
      <w:pPr>
        <w:spacing w:after="80"/>
      </w:pPr>
      <w:r>
        <w:rPr>
          <w:b/>
          <w:i w:val="0"/>
        </w:rPr>
        <w:t>Vấn đề: Không đủ chủ sở hữu đội (team owner).</w:t>
      </w:r>
      <w:r>
        <w:rPr>
          <w:b w:val="0"/>
          <w:i w:val="0"/>
        </w:rPr>
        <w:t xml:space="preserve"> Việc có đủ số lượng chủ sở hữu đội đa chức năng đủ trình độ (đôi khi được gọi là owner) hầu như luôn là một thách thức to lớn. Các công ty có thể tìm được một vài người để hỗ trợ cho vài lĩnh vực đầu tiên, nhưng rồi sau đó cạn kiệt. Việc lôi kéo các quản lý dự án đảm nhận vai trò này thường không thành công.</w:t>
      </w:r>
    </w:p>
    <w:p>
      <w:pPr>
        <w:spacing w:after="80"/>
      </w:pPr>
      <w:r>
        <w:rPr>
          <w:b/>
          <w:i w:val="0"/>
        </w:rPr>
        <w:t>Giải pháp: Biến chủ sở hữu đội thành "người quản lý của tương lai".</w:t>
      </w:r>
      <w:r>
        <w:rPr>
          <w:b w:val="0"/>
          <w:i w:val="0"/>
        </w:rPr>
        <w:t xml:space="preserve"> Hãy giữ cho họ luôn được nhìn nhận và ghi nhận ở mức cao, đồng thời củng cố tầm quan trọng của vai trò này đối với tương lai của doanh nghiệp (và đối với sự phát triển của mỗi cá nhân). Đảm bảo rằng các lãnh đạo chức năng đưa công việc của chủ sở hữu đội thành một mục thường trực trong các cuộc họp lãnh đạo và thăng chức cho những người làm tốt nhất để trở thành thành viên của đội lãnh đạo chức năng.</w:t>
      </w:r>
    </w:p>
    <w:p>
      <w:pPr>
        <w:pStyle w:val="Heading2"/>
      </w:pPr>
      <w:r>
        <w:rPr>
          <w:rFonts w:ascii="Calibri" w:hAnsi="Calibri"/>
          <w:b/>
          <w:i w:val="0"/>
          <w:sz w:val="32"/>
        </w:rPr>
        <w:t>Những thách thức về mô hình vận hành</w:t>
      </w:r>
    </w:p>
    <w:p>
      <w:pPr>
        <w:spacing w:after="80"/>
      </w:pPr>
      <w:r>
        <w:rPr>
          <w:b/>
          <w:i w:val="0"/>
        </w:rPr>
        <w:t>Vấn đề: Duy trì một AI factory tách biệt khỏi IT cốt lõi.</w:t>
      </w:r>
      <w:r>
        <w:rPr>
          <w:b w:val="0"/>
          <w:i w:val="0"/>
        </w:rPr>
        <w:t xml:space="preserve"> Theo thời gian, việc phân định trách nhiệm giữa AI factory - nơi sản xuất các giải pháp AI - và tổ chức IT truyền thống có thể trở nên khó khăn. Mọi người có thể trở nên bối rối về việc ai làm gì, và họ nên đến đâu để có được các dịch vụ công nghệ mình cần. Sự bối rối này có thể làm tắc nghẽn guồng máy và làm chậm tiến độ phát triển giải pháp.</w:t>
      </w:r>
    </w:p>
    <w:p>
      <w:pPr>
        <w:spacing w:after="80"/>
      </w:pPr>
      <w:r>
        <w:rPr>
          <w:b/>
          <w:i w:val="0"/>
        </w:rPr>
        <w:t>Giải pháp: Nêu rõ ràng vai trò và trách nhiệm.</w:t>
      </w:r>
      <w:r>
        <w:rPr>
          <w:b w:val="0"/>
          <w:i w:val="0"/>
        </w:rPr>
        <w:t xml:space="preserve"> Làm rõ trách nhiệm từ trên xuống. Ví dụ, AI factory sẽ chịu trách nhiệm cho mọi việc tái hình dung lĩnh vực mới và mọi sản phẩm số và AI phát sinh từ đó. Các lãnh đạo IT sẽ hỗ trợ về bảo mật, truy cập dữ liệu, và điện toán đám mây (cloud compute), đồng thời chịu trách nhiệm chính trong việc triển khai hiện đại hóa hệ thống cốt lõi hoặc tích hợp các gói phần mềm dựng sẵn.</w:t>
      </w:r>
    </w:p>
    <w:p>
      <w:pPr>
        <w:spacing w:after="80"/>
      </w:pPr>
      <w:r>
        <w:rPr>
          <w:b w:val="0"/>
          <w:i w:val="0"/>
        </w:rPr>
        <w:t>Thiết lập các điểm bàn giao, đầu mối liên lạc và người kết nối để các giải pháp số và AI chảy về đúng các đơn vị trong toàn doanh nghiệp. Một cấu trúc quản trị chung cho việc cấp vốn dựa trên các bài toán kinh doanh (business case) cũng có thể giúp giải quyết các vấn đề. Về bản chất, bạn cần dành thời gian với ban lãnh đạo cấp cao để làm rõ bản thiết kế mô hình vận hành (xem Chương 14).</w:t>
      </w:r>
    </w:p>
    <w:p>
      <w:pPr>
        <w:spacing w:after="80"/>
      </w:pPr>
      <w:r>
        <w:rPr>
          <w:b/>
          <w:i w:val="0"/>
        </w:rPr>
        <w:t>Vấn đề: Chỉ có mô hình vận hành dành riêng cho IT.</w:t>
      </w:r>
      <w:r>
        <w:rPr>
          <w:b w:val="0"/>
          <w:i w:val="0"/>
        </w:rPr>
        <w:t xml:space="preserve"> CIO đồng ý triển khai một mô hình vận hành mới nhưng cảm thấy quá khó để thống nhất với các lãnh đạo khác về nó. Điều này dẫn đến một thế giới "Agile trong IT", có thể giúp ích cho các dự án IT nhưng không giúp được cho các chuyển đổi Công nghệ &amp; AI.</w:t>
      </w:r>
    </w:p>
    <w:p>
      <w:pPr>
        <w:spacing w:after="80"/>
      </w:pPr>
      <w:r>
        <w:rPr>
          <w:b/>
          <w:i w:val="0"/>
        </w:rPr>
        <w:t>Giải pháp: Để CEO can thiệp.</w:t>
      </w:r>
      <w:r>
        <w:rPr>
          <w:b w:val="0"/>
          <w:i w:val="0"/>
        </w:rPr>
        <w:t xml:space="preserve"> Chúng tôi không biết có một trường hợp triển khai mô hình vận hành hiệu quả nào mà CEO lại không tham gia vào việc thống nhất đội ngũ lãnh đạo hàng đầu về bản thiết kế mục tiêu. Nếu CEO không được thuyết phục và không cam kết, cơ hội thành công của bạn về cơ bản là bằng không.</w:t>
      </w:r>
    </w:p>
    <w:p>
      <w:pPr>
        <w:pStyle w:val="Heading2"/>
      </w:pPr>
      <w:r>
        <w:rPr>
          <w:rFonts w:ascii="Calibri" w:hAnsi="Calibri"/>
          <w:b/>
          <w:i w:val="0"/>
          <w:sz w:val="32"/>
        </w:rPr>
        <w:t>Những thách thức về dữ liệu</w:t>
      </w:r>
    </w:p>
    <w:p>
      <w:pPr>
        <w:spacing w:after="80"/>
      </w:pPr>
      <w:r>
        <w:rPr>
          <w:b/>
          <w:i w:val="0"/>
        </w:rPr>
        <w:t>Vấn đề: Duy trì định hướng sản phẩm dữ liệu.</w:t>
      </w:r>
      <w:r>
        <w:rPr>
          <w:b w:val="0"/>
          <w:i w:val="0"/>
        </w:rPr>
        <w:t xml:space="preserve"> Nhiều công ty bắt đầu quá trình chuyển đổi với ý định tốt đẹp là biến dữ liệu thành đòn bẩy tăng tốc. Họ thiết lập kiến trúc sản phẩm dữ liệu và tầm nhìn rõ ràng về cách những sản phẩm này có thể hỗ trợ vô số lĩnh vực trong tương lai. Nhưng theo thời gian, các sản phẩm dữ liệu được phát triển cho những lĩnh vực ban đầu dần mai một khi ngân sách được phân bổ cho các dự án mới, còn chủ sở hữu dữ liệu và kỹ sư thì chuyển sang những ưu tiên khác.</w:t>
      </w:r>
    </w:p>
    <w:p>
      <w:pPr>
        <w:spacing w:after="80"/>
      </w:pPr>
      <w:r>
        <w:rPr>
          <w:b/>
          <w:i w:val="0"/>
        </w:rPr>
        <w:t>Giải pháp: Gắn kết các động lực khuyến khích với việc hỗ trợ lâu dài.</w:t>
      </w:r>
      <w:r>
        <w:rPr>
          <w:b w:val="0"/>
          <w:i w:val="0"/>
        </w:rPr>
        <w:t xml:space="preserve"> Hãy gắn kết các động lực khuyến khích sao cho chi phí bảo trì và mở rộng quy mô được phân chia hợp lý giữa chủ sở hữu dữ liệu và người dùng trong doanh nghiệp. Cân nhắc bổ sung các KPI, chẳng hạn như tỷ lệ tái sử dụng dữ liệu, cho các nhóm giải pháp để thưởng cho việc phát triển những năng lực cho phép mở rộng quy mô. Một số công ty đã tạo ra hệ thống tính phí nội bộ để khuyến khích các hành vi thân thiện với việc bảo trì.</w:t>
      </w:r>
    </w:p>
    <w:p>
      <w:pPr>
        <w:spacing w:after="80"/>
      </w:pPr>
      <w:r>
        <w:rPr>
          <w:b/>
          <w:i w:val="0"/>
        </w:rPr>
        <w:t>Vấn đề: Tính ghen tị với quyền sở hữu dữ liệu.</w:t>
      </w:r>
      <w:r>
        <w:rPr>
          <w:b w:val="0"/>
          <w:i w:val="0"/>
        </w:rPr>
        <w:t xml:space="preserve"> Các đơn vị kinh doanh (BU) và các chức năng kinh doanh thường muốn "sở hữu" dữ liệu của mình vì dữ liệu là quyền lực và việc kiểm soát nó giúp hạn chế sự phụ thuộc. Điều này dẫn đến sự gia tăng tràn lan các nguồn dữ liệu và nền tảng cũng như các quyền quyết định về quyền truy cập. Kết quả là những hành trình tìm kiếm và truy cập dữ liệu cần thiết để phát triển mô hình trở nên rối rắm như mê cung và tốn thời gian.</w:t>
      </w:r>
    </w:p>
    <w:p>
      <w:pPr>
        <w:spacing w:after="80"/>
      </w:pPr>
      <w:r>
        <w:rPr>
          <w:b/>
          <w:i w:val="0"/>
        </w:rPr>
        <w:t>Giải pháp: Thống nhất về các quyền quyết định rõ ràng.</w:t>
      </w:r>
      <w:r>
        <w:rPr>
          <w:b w:val="0"/>
          <w:i w:val="0"/>
        </w:rPr>
        <w:t xml:space="preserve"> Những điều này cần được thiết lập ngay từ đầu. Nếu bạn có thể thương lượng được với các nhà lãnh đạo liên quan thì càng tốt, nhưng thường thì nó đòi hỏi một mệnh lệnh từ CEO về việc chia sẻ dữ liệu.</w:t>
      </w:r>
    </w:p>
    <w:p>
      <w:pPr>
        <w:pStyle w:val="Heading2"/>
      </w:pPr>
      <w:r>
        <w:rPr>
          <w:rFonts w:ascii="Calibri" w:hAnsi="Calibri"/>
          <w:b/>
          <w:i w:val="0"/>
          <w:sz w:val="32"/>
        </w:rPr>
        <w:t>Những thách thức về công nghệ</w:t>
      </w:r>
    </w:p>
    <w:p>
      <w:pPr>
        <w:spacing w:after="80"/>
      </w:pPr>
      <w:r>
        <w:rPr>
          <w:b/>
          <w:i w:val="0"/>
        </w:rPr>
        <w:t>Vấn đề: Cân bằng giữa hiện đại hóa CNTT với chương trình nghị sự về AI.</w:t>
      </w:r>
      <w:r>
        <w:rPr>
          <w:b w:val="0"/>
          <w:i w:val="0"/>
        </w:rPr>
        <w:t xml:space="preserve"> Các dự án AI mang lại kết quả trong vài quý, trong khi việc hiện đại hóa hệ thống cốt lõi thường mất nhiều năm. Vậy mà chúng lại cạnh tranh nhau về cùng một nguồn lực, cả về tài chính lẫn con người. Điều này làm suy yếu các quyết định phân bổ thông minh.</w:t>
      </w:r>
    </w:p>
    <w:p>
      <w:pPr>
        <w:spacing w:after="80"/>
      </w:pPr>
      <w:r>
        <w:rPr>
          <w:b/>
          <w:i w:val="0"/>
        </w:rPr>
        <w:t>Giải pháp: Các khoản đầu tư vào công nghệ &amp; AI cần đứng vững bằng chính giá trị của mình.</w:t>
      </w:r>
      <w:r>
        <w:rPr>
          <w:b w:val="0"/>
          <w:i w:val="0"/>
        </w:rPr>
        <w:t xml:space="preserve"> Bất kỳ khoản đầu tư nào vào công nghệ, dù đó là một giải pháp AI mới cho quá trình chuyển đổi hay một bản nâng cấp ERP, đều cần có một luận cứ kinh doanh (business case) rõ ràng đi kèm. Sự rõ ràng này xuyên suốt các sáng kiến chuyển đổi AI và hiện đại hóa công nghệ chính là con đường duy nhất dẫn đến những quyết định phân bổ tốt hơn.</w:t>
      </w:r>
    </w:p>
    <w:p>
      <w:pPr>
        <w:spacing w:after="80"/>
      </w:pPr>
      <w:r>
        <w:rPr>
          <w:b w:val="0"/>
          <w:i w:val="0"/>
        </w:rPr>
        <w:t>Khi đã có được sự rõ ràng này, điều quan trọng là phải định nghĩa rõ ràng cách mà việc hiện đại hóa hệ thống cốt lõi và việc thúc đẩy AI củng cố lẫn nhau như thế nào trong một kế hoạch chuyển đổi kinh doanh duy nhất. Trọng tâm nên là hiện đại hóa các lớp dữ liệu và tích hợp trước tiên để nắm bắt những cơ hội "hái quả thấp" (low-hanging fruit), và áp dụng các kiến trúc mô-đun cho phép hệ thống cũ và hệ thống AI cùng tồn tại.</w:t>
      </w:r>
    </w:p>
    <w:p>
      <w:pPr>
        <w:pStyle w:val="Heading2"/>
      </w:pPr>
      <w:r>
        <w:rPr>
          <w:rFonts w:ascii="Calibri" w:hAnsi="Calibri"/>
          <w:b/>
          <w:i w:val="0"/>
          <w:sz w:val="32"/>
        </w:rPr>
        <w:t>Thách thức về quản lý thay đổi</w:t>
      </w:r>
    </w:p>
    <w:p>
      <w:pPr>
        <w:spacing w:after="80"/>
      </w:pPr>
      <w:r>
        <w:rPr>
          <w:b/>
          <w:i w:val="0"/>
        </w:rPr>
        <w:t>Vấn đề: Quá trình chuyển đổi Công nghệ &amp; AI rơi khỏi chương trình nghị sự hàng đầu.</w:t>
      </w:r>
      <w:r>
        <w:rPr>
          <w:b w:val="0"/>
          <w:i w:val="0"/>
        </w:rPr>
        <w:t xml:space="preserve"> Chúng ta thường thấy sự cám dỗ khiến một quá trình chuyển đổi Công nghệ &amp; AI bị đẩy ra khỏi "ba ưu tiên hàng đầu" của CEO. Điều này thường xảy ra khi đội ngũ lãnh đạo cấp cao không đủ niềm tin rằng lộ trình theo lĩnh vực sẽ tạo ra giá trị mang tính đột phá.</w:t>
      </w:r>
    </w:p>
    <w:p>
      <w:pPr>
        <w:spacing w:after="80"/>
      </w:pPr>
      <w:r>
        <w:rPr>
          <w:b/>
          <w:i w:val="0"/>
        </w:rPr>
        <w:t>Giải pháp: Hãy chủ động tái thống nhất mục tiêu chuyển đổi Công nghệ &amp; AI một cách đều đặn.</w:t>
      </w:r>
      <w:r>
        <w:rPr>
          <w:b w:val="0"/>
          <w:i w:val="0"/>
        </w:rPr>
        <w:t xml:space="preserve"> Trên thực tế, thật khó để duy trì đà tiến trong dài hạn, đặc biệt nếu bạn không xây dựng được niềm tin trong giai đoạn tái hình dung lĩnh vực. Nếu đúng như vậy, hãy tạm dừng lại. CEO và ban lãnh đạo cấp cao nên dành 2–3 tháng để tái thống nhất mục tiêu và xây dựng lại niềm tin dựa trên những luận cứ kinh doanh thuyết phục. Hãy quyết liệt. Nếu bạn không thể tìm ra một luận cứ thuyết phục, hãy nói thẳng và chuyển sang việc khác có tiềm năng mang lại lợi ích thực sự.</w:t>
      </w:r>
    </w:p>
    <w:p>
      <w:pPr>
        <w:spacing w:after="80"/>
      </w:pPr>
      <w:r>
        <w:rPr>
          <w:b w:val="0"/>
          <w:i w:val="0"/>
        </w:rPr>
        <w:t>Điểm mấu chốt ở đây là lộ trình chuyển đổi là một tài liệu sống, cần được xem xét và làm mới. Cam kết với một quá trình chuyển đổi Công nghệ &amp; AI thực chất là việc tái cam kết với nó một cách đều đặn.</w:t>
      </w:r>
    </w:p>
    <w:p>
      <w:pPr>
        <w:jc w:val="center"/>
      </w:pPr>
      <w:r>
        <w:drawing>
          <wp:inline xmlns:a="http://schemas.openxmlformats.org/drawingml/2006/main" xmlns:pic="http://schemas.openxmlformats.org/drawingml/2006/picture">
            <wp:extent cx="1905000" cy="95250"/>
            <wp:docPr id="196" name="Picture 196"/>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Có đủ nhiệt huyết và sự tập trung vào lúc khởi đầu một quá trình chuyển đổi Công nghệ &amp; AI hiếm khi là vấn đề. Đến năm thứ hai thì thường là vấn đề. Những vấn đề nhỏ có thể phát triển thành lớn, những thất bại không thể tránh khỏi làm cạn kiệt năng lượng, và sự thống nhất bị rạn nứt làm xói mòn đà tiến. Hầu hết các công ty mà chúng tôi đã khắc họa trong cuốn sách này đều từng đối mặt với những vấn đề kiểu này. Ban lãnh đạo của họ sau đó đã chung tay và thực hiện những điều chỉnh cần thiết giữa chừng.</w:t>
      </w:r>
    </w:p>
    <w:p>
      <w:pPr>
        <w:spacing w:after="80"/>
      </w:pPr>
      <w:r>
        <w:rPr>
          <w:b w:val="0"/>
          <w:i w:val="0"/>
        </w:rPr>
        <w:t>Khi một quá trình chuyển đổi Công nghệ &amp; AI cất cánh, nó tạo ra hiệu ứng bánh đà tích cực. Nhưng nó cần sự tập trung, niềm tin và nguồn năng lượng lãnh đạo được đầu tư liên tục—đặc biệt là từ CEO.</w:t>
      </w:r>
    </w:p>
    <w:p>
      <w:pPr>
        <w:pStyle w:val="Heading2"/>
      </w:pPr>
      <w:r>
        <w:rPr>
          <w:rFonts w:ascii="Calibri" w:hAnsi="Calibri"/>
          <w:b/>
          <w:i/>
          <w:sz w:val="32"/>
        </w:rPr>
        <w:t>"Hãy giành lấy niềm tin, giành lấy niềm tin, giành lấy niềm tin. Rồi sau đó bạn mới có thể lo đến những thứ còn lại."</w:t>
      </w:r>
    </w:p>
    <w:p>
      <w:pPr>
        <w:spacing w:after="80"/>
      </w:pPr>
      <w:r>
        <w:rPr>
          <w:b/>
          <w:i w:val="0"/>
        </w:rPr>
        <w:t>— Seth Godin</w:t>
      </w:r>
    </w:p>
    <w:p>
      <w:pPr>
        <w:pStyle w:val="Heading1"/>
      </w:pPr>
      <w:r>
        <w:rPr>
          <w:rFonts w:ascii="Calibri" w:hAnsi="Calibri"/>
          <w:b/>
          <w:i w:val="0"/>
          <w:sz w:val="40"/>
        </w:rPr>
        <w:t>CHƯƠNG 34</w:t>
      </w:r>
      <w:r>
        <w:rPr>
          <w:rFonts w:ascii="Calibri" w:hAnsi="Calibri"/>
          <w:b/>
          <w:i w:val="0"/>
          <w:sz w:val="40"/>
        </w:rPr>
      </w:r>
      <w:r>
        <w:rPr>
          <w:rFonts w:ascii="Calibri" w:hAnsi="Calibri"/>
          <w:b/>
          <w:i w:val="0"/>
          <w:sz w:val="40"/>
        </w:rPr>
        <w:t>Rủi ro, niềm tin và quyền được triển khai AI</w:t>
      </w:r>
    </w:p>
    <w:p>
      <w:pPr>
        <w:spacing w:after="80"/>
      </w:pPr>
      <w:r>
        <w:rPr>
          <w:b w:val="0"/>
          <w:i w:val="0"/>
        </w:rPr>
        <w:t>Khi các hệ thống công nghệ gặp sự cố, chúng làm gián đoạn hoạt động. Khi các hệ thống AI gặp sự cố, chúng thách thức niềm tin—niềm tin với khách hàng, cơ quan quản lý, nhân viên, đối tác và toàn xã hội.</w:t>
      </w:r>
    </w:p>
    <w:p>
      <w:pPr>
        <w:spacing w:after="80"/>
      </w:pPr>
      <w:r>
        <w:rPr>
          <w:b/>
          <w:i/>
        </w:rPr>
        <w:t>Câu hỏi mà các nhà lãnh đạo hàng đầu đang đối mặt ngày nay không còn chỉ là "Liệu chúng ta có thể mở rộng quy mô AI không?" mà là "Liệu chúng ta đã giành được quyền làm điều đó chưa?"</w:t>
      </w:r>
    </w:p>
    <w:p>
      <w:pPr>
        <w:spacing w:after="80"/>
      </w:pPr>
      <w:r>
        <w:rPr>
          <w:b w:val="0"/>
          <w:i w:val="0"/>
        </w:rPr>
        <w:t>Người tiêu dùng, cơ quan quản lý và các nhà lãnh đạo doanh nghiệp ngày càng lo ngại về các lỗ hổng trong an ninh mạng, quyền riêng tư dữ liệu và độ tin cậy của các hệ thống AI.</w:t>
      </w:r>
    </w:p>
    <w:p>
      <w:pPr>
        <w:spacing w:after="80"/>
      </w:pPr>
      <w:r>
        <w:rPr>
          <w:b w:val="0"/>
          <w:i w:val="0"/>
        </w:rPr>
        <w:t>Từ những kết quả ngoài ý muốn, như định kiến ngầm trong các thuật toán AI và rò rỉ thông tin cá nhân, đến các cuộc tấn công mạng rõ ràng hơn, không doanh nghiệp, ngành công nghiệp hay chính phủ nào an toàn trước những rủi ro này. Theo một nguồn tin, số vụ tấn công mạng trung bình mỗi tuần trên toàn cầu cho mỗi tổ chức trong quý 2 năm 2025 là 1,984. Con số này tăng 21% so với cùng kỳ năm 2024 và cao hơn 58% so với hai năm trước đó.</w:t>
      </w:r>
    </w:p>
    <w:p>
      <w:pPr>
        <w:spacing w:after="80"/>
      </w:pPr>
      <w:r>
        <w:rPr>
          <w:b w:val="0"/>
          <w:i w:val="0"/>
        </w:rPr>
        <w:t>GenAI mở rộng bề mặt tấn công an ninh mạng: các prompt, đường ống truy xuất (retrieval pipeline), tích hợp công cụ và cửa sổ ngữ cảnh giàu dữ liệu làm tăng nguy cơ rò rỉ và thao túng (Sơ đồ 34.1). Nó cũng làm dấy lên những lo ngại mới về đạo đức và quy định chưa được giải quyết đầy đủ, ví dụ, liên quan đến đạo đức được mã hóa trong các mô hình nền tảng (foundation model) hoặc việc sử dụng sở hữu trí tuệ (IP) làm dữ liệu huấn luyện.</w:t>
      </w:r>
    </w:p>
    <w:p>
      <w:pPr>
        <w:spacing w:after="80"/>
      </w:pPr>
      <w:r>
        <w:rPr>
          <w:b w:val="0"/>
          <w:i w:val="0"/>
        </w:rPr>
        <w:t>Khi các công ty ngày càng dựa vào công nghệ và GenAI trở nên phổ biến hơn, bản chất của rủi ro cũng đang tiến hóa và mở rộng. Các công ty giờ đây không chỉ cần phòng ngừa rủi ro mà còn phải xây dựng niềm tin số. Niềm tin số là sự tin tưởng hoàn toàn từ tất cả các bên liên quan rằng với tư cách là một tổ chức, bạn bảo vệ dữ liệu người tiêu dùng, thực thi an ninh mạng hiệu quả, cung cấp các sản phẩm và dịch vụ dựa trên AI đáng tin cậy, và mang lại sự minh bạch xung quanh việc sử dụng AI và dữ liệu.</w:t>
      </w:r>
    </w:p>
    <w:p>
      <w:pPr>
        <w:spacing w:after="80"/>
      </w:pPr>
      <w:r>
        <w:rPr>
          <w:b w:val="0"/>
          <w:i w:val="0"/>
        </w:rPr>
        <w:t>Những vấn đề này thường nằm đầu trong chương trình nghị sự của hội đồng quản trị nhưng không nhất thiết được hiểu rõ. Sẽ rất hữu ích khi làm rõ bản chất của những rủi ro này là gì, và cách giải quyết chúng để duy trì đà chuyển đổi.</w:t>
      </w:r>
    </w:p>
    <w:p>
      <w:pPr>
        <w:jc w:val="center"/>
      </w:pPr>
      <w:r>
        <w:drawing>
          <wp:inline xmlns:a="http://schemas.openxmlformats.org/drawingml/2006/main" xmlns:pic="http://schemas.openxmlformats.org/drawingml/2006/picture">
            <wp:extent cx="457200" cy="447675"/>
            <wp:docPr id="197" name="Picture 197"/>
            <wp:cNvGraphicFramePr>
              <a:graphicFrameLocks noChangeAspect="1"/>
            </wp:cNvGraphicFramePr>
            <a:graphic>
              <a:graphicData uri="http://schemas.openxmlformats.org/drawingml/2006/picture">
                <pic:pic>
                  <pic:nvPicPr>
                    <pic:cNvPr id="0" name="IN_THEIR_WORDS_blue.png"/>
                    <pic:cNvPicPr/>
                  </pic:nvPicPr>
                  <pic:blipFill>
                    <a:blip r:embed="rId149"/>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THEO LỜI CỦA HỌ</w:t>
      </w:r>
    </w:p>
    <w:p>
      <w:pPr>
        <w:pStyle w:val="Heading3"/>
      </w:pPr>
      <w:r>
        <w:rPr>
          <w:rFonts w:ascii="Calibri" w:hAnsi="Calibri"/>
          <w:b/>
          <w:i w:val="0"/>
          <w:sz w:val="26"/>
        </w:rPr>
        <w:t>Câu hỏi về niềm tin</w:t>
      </w:r>
    </w:p>
    <w:p>
      <w:pPr>
        <w:spacing w:after="80"/>
      </w:pPr>
      <w:r>
        <w:rPr>
          <w:b w:val="0"/>
          <w:i w:val="0"/>
        </w:rPr>
        <w:t>"Khách hàng của chúng tôi, dù họ là CIO, giám đốc doanh thu hay CMO [giám đốc marketing], đều nhận ra rằng có những rủi ro mới vốn có với các mô hình ngôn ngữ lớn. Vì vậy chúng tôi nói rất nhiều về niềm tin.</w:t>
      </w:r>
    </w:p>
    <w:p>
      <w:pPr>
        <w:spacing w:after="80"/>
      </w:pPr>
      <w:r>
        <w:rPr>
          <w:b w:val="0"/>
          <w:i w:val="0"/>
        </w:rPr>
        <w:t>… Phần lớn AI xoay quanh dữ liệu. Và vì thế những câu hỏi hàng đầu về niềm tin là: 'Dữ liệu được lưu trữ ở đâu? Nó được sử dụng như thế nào? Mô hình có học từ nó không? Có nguy cơ dữ liệu rò rỉ ra khỏi tổ chức không? Các quy tắc chia sẻ nội bộ của tổ chức có được AI tuân thủ không?' Đó đều là những câu hỏi thực sự quan trọng.</w:t>
      </w:r>
    </w:p>
    <w:p>
      <w:pPr>
        <w:spacing w:after="80"/>
      </w:pPr>
      <w:r>
        <w:rPr>
          <w:b w:val="0"/>
          <w:i w:val="0"/>
        </w:rPr>
        <w:t>Và về phía dữ liệu người tiêu dùng, chúng tôi được hỏi: 'Chúng ta đang bảo vệ dữ liệu khách hàng của mình như thế nào? Làm sao để đảm bảo có những rào chắn đạo đức, khi biết rằng các mô hình này được huấn luyện trên kho dữ liệu khổng lồ trên internet, với đầy rẫy thông tin độc hại và không chính xác?' Vì vậy chúng ta cần những rào chắn để cải thiện độ chính xác và mức độ liên quan."</w:t>
      </w:r>
    </w:p>
    <w:p>
      <w:pPr>
        <w:spacing w:after="80"/>
      </w:pPr>
      <w:r>
        <w:rPr>
          <w:b/>
          <w:i/>
        </w:rPr>
        <w:t>— Clara Shih, Trưởng bộ phận AI doanh nghiệp, Meta; cựu CEO, Salesforce AI</w:t>
      </w:r>
    </w:p>
    <w:p>
      <w:pPr>
        <w:jc w:val="center"/>
      </w:pPr>
      <w:r>
        <w:drawing>
          <wp:inline xmlns:a="http://schemas.openxmlformats.org/drawingml/2006/main" xmlns:pic="http://schemas.openxmlformats.org/drawingml/2006/picture">
            <wp:extent cx="5486400" cy="6412145"/>
            <wp:docPr id="198" name="Picture 198"/>
            <wp:cNvGraphicFramePr>
              <a:graphicFrameLocks noChangeAspect="1"/>
            </wp:cNvGraphicFramePr>
            <a:graphic>
              <a:graphicData uri="http://schemas.openxmlformats.org/drawingml/2006/picture">
                <pic:pic>
                  <pic:nvPicPr>
                    <pic:cNvPr id="0" name="c34ex001.png"/>
                    <pic:cNvPicPr/>
                  </pic:nvPicPr>
                  <pic:blipFill>
                    <a:blip r:embed="rId150"/>
                    <a:stretch>
                      <a:fillRect/>
                    </a:stretch>
                  </pic:blipFill>
                  <pic:spPr>
                    <a:xfrm>
                      <a:off x="0" y="0"/>
                      <a:ext cx="5486400" cy="6412145"/>
                    </a:xfrm>
                    <a:prstGeom prst="rect"/>
                  </pic:spPr>
                </pic:pic>
              </a:graphicData>
            </a:graphic>
          </wp:inline>
        </w:drawing>
      </w:r>
    </w:p>
    <w:p>
      <w:pPr>
        <w:spacing w:after="160"/>
        <w:jc w:val="center"/>
      </w:pPr>
      <w:r>
        <w:rPr>
          <w:rFonts w:ascii="Calibri" w:hAnsi="Calibri"/>
          <w:b w:val="0"/>
          <w:i/>
          <w:sz w:val="19"/>
        </w:rPr>
        <w:t>SƠ ĐỒ 34.1</w:t>
      </w:r>
    </w:p>
    <w:p>
      <w:pPr>
        <w:spacing w:after="80"/>
      </w:pPr>
      <w:r>
        <w:rPr>
          <w:b w:val="0"/>
          <w:i w:val="0"/>
        </w:rPr>
        <w:t xml:space="preserve">Trong khảo sát </w:t>
      </w:r>
      <w:r>
        <w:rPr>
          <w:b w:val="0"/>
          <w:i/>
        </w:rPr>
        <w:t>State of AI</w:t>
      </w:r>
      <w:r>
        <w:rPr>
          <w:b w:val="0"/>
          <w:i w:val="0"/>
        </w:rPr>
        <w:t xml:space="preserve"> của chúng tôi, những công ty báo cáo mức độ giá trị cao nhất từ các nỗ lực AI của họ có khả năng đã đầu tư vào các hoạt động cốt lõi tạo dựng niềm tin cao gấp đôi.</w:t>
      </w:r>
    </w:p>
    <w:p>
      <w:pPr>
        <w:jc w:val="center"/>
      </w:pPr>
      <w:r>
        <w:drawing>
          <wp:inline xmlns:a="http://schemas.openxmlformats.org/drawingml/2006/main" xmlns:pic="http://schemas.openxmlformats.org/drawingml/2006/picture">
            <wp:extent cx="457200" cy="447675"/>
            <wp:docPr id="199" name="Picture 199"/>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Xây dựng niềm tin vào “AI @ Morgan Stanley Assistant”</w:t>
      </w:r>
    </w:p>
    <w:p>
      <w:pPr>
        <w:spacing w:after="80"/>
      </w:pPr>
      <w:r>
        <w:rPr>
          <w:b w:val="0"/>
          <w:i w:val="0"/>
        </w:rPr>
        <w:t>Morgan Stanley đã làm việc với OpenAI để huấn luyện một trợ lý GenAI trên hơn 100.000 báo cáo nghiên cứu của ngân hàng. Nhưng ngân hàng đã không triển khai trợ lý này ra toàn công ty cho đến khi quá trình đánh giá nghiêm ngặt chứng minh được rằng các câu trả lời của AI đáp ứng tiêu chuẩn chất lượng của các cố vấn.</w:t>
      </w:r>
    </w:p>
    <w:p>
      <w:pPr>
        <w:spacing w:after="80"/>
      </w:pPr>
      <w:r>
        <w:rPr>
          <w:b w:val="0"/>
          <w:i w:val="0"/>
        </w:rPr>
        <w:t>Kết quả: sau khi được triển khai với các rào chắn (guardrails) phù hợp, “AI @ Morgan Stanley Assistant” nhanh chóng đạt mức độ chấp nhận 98% bởi các nhóm quản lý tài sản của công ty, dân chủ hóa khả năng tiếp cận chuyên môn.</w:t>
      </w:r>
    </w:p>
    <w:p>
      <w:pPr>
        <w:spacing w:after="80"/>
      </w:pPr>
      <w:r>
        <w:rPr>
          <w:b w:val="0"/>
          <w:i w:val="0"/>
        </w:rPr>
        <w:t>Niềm tin phải được gây dựng nhưng nó cũng đi kèm với một cái giá (một mục khác cho bài toán kinh doanh chuyển đổi!). Với sự nhấn mạnh vào việc kiểm thử cần thiết cho các giải pháp GenAI vốn dĩ khó dự đoán, cái giá đó đang tăng lên, ít nhất là trong ngắn hạn đến trung hạn.</w:t>
      </w:r>
    </w:p>
    <w:p>
      <w:pPr>
        <w:spacing w:after="80"/>
      </w:pPr>
      <w:r>
        <w:rPr>
          <w:b w:val="0"/>
          <w:i w:val="0"/>
        </w:rPr>
        <w:t>Với bối cảnh này, kinh nghiệm của chúng tôi đã làm nổi bật rằng bốn hành động xây dựng niềm tin số sau đây là quan trọng nhất trong việc trực tiếp hỗ trợ chuyển đổi Công nghệ &amp; AI.</w:t>
      </w:r>
    </w:p>
    <w:p>
      <w:pPr>
        <w:pStyle w:val="Heading2"/>
      </w:pPr>
      <w:r>
        <w:rPr>
          <w:rFonts w:ascii="Calibri" w:hAnsi="Calibri"/>
          <w:b/>
          <w:i w:val="0"/>
          <w:sz w:val="32"/>
        </w:rPr>
        <w:t>Phân loại rủi ro</w:t>
      </w:r>
    </w:p>
    <w:p>
      <w:pPr>
        <w:spacing w:after="80"/>
      </w:pPr>
      <w:r>
        <w:rPr>
          <w:b w:val="0"/>
          <w:i w:val="0"/>
        </w:rPr>
        <w:t>Điều này tương tự như một nỗ lực phân loại rủi ro cổ điển nhưng được tăng cường cho các giải pháp và mô hình AI cũng như các tài sản dữ liệu.</w:t>
      </w:r>
    </w:p>
    <w:p>
      <w:pPr>
        <w:spacing w:after="80"/>
      </w:pPr>
      <w:r>
        <w:rPr>
          <w:b w:val="0"/>
          <w:i w:val="0"/>
        </w:rPr>
        <w:t>Khi bạn xác định và đánh giá các rủi ro trong những lĩnh vực này, hãy xem xét bốn khía cạnh sau:</w:t>
      </w:r>
    </w:p>
    <w:p>
      <w:pPr>
        <w:spacing w:after="80"/>
        <w:ind w:left="360"/>
      </w:pPr>
      <w:r>
        <w:t xml:space="preserve">1. </w:t>
      </w:r>
      <w:r>
        <w:rPr>
          <w:b/>
          <w:i w:val="0"/>
        </w:rPr>
        <w:t>Độ tin cậy của hệ thống:</w:t>
      </w:r>
      <w:r>
        <w:rPr>
          <w:b w:val="0"/>
          <w:i w:val="0"/>
        </w:rPr>
        <w:t xml:space="preserve"> Nó có an toàn, bảo mật và chính xác không?</w:t>
      </w:r>
    </w:p>
    <w:p>
      <w:pPr>
        <w:spacing w:after="80"/>
        <w:ind w:left="360"/>
      </w:pPr>
      <w:r>
        <w:t xml:space="preserve">2. </w:t>
      </w:r>
      <w:r>
        <w:rPr>
          <w:b/>
          <w:i w:val="0"/>
        </w:rPr>
        <w:t>Trải nghiệm người dùng:</w:t>
      </w:r>
      <w:r>
        <w:rPr>
          <w:b w:val="0"/>
          <w:i w:val="0"/>
        </w:rPr>
        <w:t xml:space="preserve"> Nó có thân thiện với người dùng, trực quan và đáp ứng nhu cầu người dùng không?</w:t>
      </w:r>
    </w:p>
    <w:p>
      <w:pPr>
        <w:spacing w:after="80"/>
        <w:ind w:left="360"/>
      </w:pPr>
      <w:r>
        <w:t xml:space="preserve">3. </w:t>
      </w:r>
      <w:r>
        <w:rPr>
          <w:b/>
          <w:i w:val="0"/>
        </w:rPr>
        <w:t>Chính sách và hướng dẫn:</w:t>
      </w:r>
      <w:r>
        <w:rPr>
          <w:b w:val="0"/>
          <w:i w:val="0"/>
        </w:rPr>
        <w:t xml:space="preserve"> Các đầu ra có tuân thủ chính sách và rào chắn chất lượng không?</w:t>
      </w:r>
    </w:p>
    <w:p>
      <w:pPr>
        <w:spacing w:after="80"/>
        <w:ind w:left="360"/>
      </w:pPr>
      <w:r>
        <w:t xml:space="preserve">4. </w:t>
      </w:r>
      <w:r>
        <w:rPr>
          <w:b/>
          <w:i w:val="0"/>
        </w:rPr>
        <w:t>Giá trị kinh doanh:</w:t>
      </w:r>
      <w:r>
        <w:rPr>
          <w:b w:val="0"/>
          <w:i w:val="0"/>
        </w:rPr>
        <w:t xml:space="preserve"> Tính hữu ích của nó có phải là sự đánh đổi hợp lý cho rủi ro không?</w:t>
      </w:r>
    </w:p>
    <w:p>
      <w:pPr>
        <w:spacing w:after="80"/>
      </w:pPr>
      <w:r>
        <w:rPr>
          <w:b w:val="0"/>
          <w:i w:val="0"/>
        </w:rPr>
        <w:t>Bảng tiêu chí này giúp “chấm điểm” rủi ro. Kết quả của nỗ lực này là một bản đồ nhiệt (heat map) rủi ro dễ hiểu. Điểm số sẽ kích hoạt các câu hỏi bổ sung và báo hiệu nơi cần các chuyên gia rủi ro và pháp lý nhất. Nó sẽ giúp bạn ưu tiên nơi cần xem xét lại các chính sách.</w:t>
      </w:r>
    </w:p>
    <w:p>
      <w:pPr>
        <w:spacing w:after="80"/>
      </w:pPr>
      <w:r>
        <w:rPr>
          <w:b w:val="0"/>
          <w:i w:val="0"/>
        </w:rPr>
        <w:t>Đây không phải là một nỗ lực một lần. Điều quan trọng là phải rõ ràng về những nhóm rủi ro mới đang liên tục xuất hiện, và cách bảo vệ hệ thống của bạn.</w:t>
      </w:r>
    </w:p>
    <w:p>
      <w:pPr>
        <w:pStyle w:val="Heading2"/>
      </w:pPr>
      <w:r>
        <w:rPr>
          <w:rFonts w:ascii="Calibri" w:hAnsi="Calibri"/>
          <w:b/>
          <w:i w:val="0"/>
          <w:sz w:val="32"/>
        </w:rPr>
        <w:t>Xem xét các chính sách</w:t>
      </w:r>
    </w:p>
    <w:p>
      <w:pPr>
        <w:spacing w:after="80"/>
      </w:pPr>
      <w:r>
        <w:rPr>
          <w:b w:val="0"/>
          <w:i w:val="0"/>
        </w:rPr>
        <w:t>Các chính sách toàn diện về niềm tin số (digital trust) giờ đây cần bao quát toàn bộ vòng đời của dữ liệu, AI và các công nghệ mới nổi, đóng vai trò như ngôi sao Bắc Đẩu (North Star) dẫn đường cho đổi mới có trách nhiệm.</w:t>
      </w:r>
    </w:p>
    <w:p>
      <w:pPr>
        <w:spacing w:after="80"/>
      </w:pPr>
      <w:r>
        <w:rPr>
          <w:b w:val="0"/>
          <w:i w:val="0"/>
        </w:rPr>
        <w:t>Những chính sách này vượt xa các khuôn khổ bảo mật truyền thống—chúng phải giải quyết việc sử dụng GenAI có trách nhiệm, cách xử lý dữ liệu cá nhân và dữ liệu tổng hợp (synthetic data), các rào chắn (guardrails) cho hệ thống ra quyết định tự động, và các giao thức quản lý việc phát triển phần mềm có AI hỗ trợ, thiết bị IoT, hạ tầng đám mây (cloud) và các nguyên mẫu thiết kế số. Khi việc sử dụng GenAI gia tăng, các thực hành AI có trách nhiệm (Responsible AI - RAI) nên được xem là một phần không thể tách rời của chiến lược niềm tin AI (AI trust) rộng lớn hơn.</w:t>
      </w:r>
    </w:p>
    <w:p>
      <w:pPr>
        <w:pStyle w:val="Heading2"/>
      </w:pPr>
      <w:r>
        <w:rPr>
          <w:rFonts w:ascii="Calibri" w:hAnsi="Calibri"/>
          <w:b/>
          <w:i w:val="0"/>
          <w:sz w:val="32"/>
        </w:rPr>
        <w:t>AI có trách nhiệm</w:t>
      </w:r>
    </w:p>
    <w:p>
      <w:pPr>
        <w:spacing w:after="80"/>
      </w:pPr>
      <w:r>
        <w:rPr>
          <w:b w:val="0"/>
          <w:i w:val="0"/>
        </w:rPr>
        <w:t>Các thực hành AI có trách nhiệm được chia thành bốn mức độ cường độ, từ giai đoạn tư duy ban đầu (Cấp độ 1) đến áp dụng hoàn toàn (Cấp độ 4). Dưới đây là hình dung về điều đó đối với dữ liệu và công nghệ, cùng mô hình vận hành.</w:t>
      </w:r>
    </w:p>
    <w:p>
      <w:pPr>
        <w:pStyle w:val="Heading3"/>
      </w:pPr>
      <w:r>
        <w:rPr>
          <w:rFonts w:ascii="Calibri" w:hAnsi="Calibri"/>
          <w:b/>
          <w:i w:val="0"/>
          <w:sz w:val="26"/>
        </w:rPr>
        <w:t>Dữ liệu và công nghệ: Công cụ cho quản trị AI (AI governance) và an toàn AI (AI safety)</w:t>
      </w:r>
    </w:p>
    <w:tbl>
      <w:tblPr>
        <w:tblStyle w:val="TableGrid"/>
        <w:tblW w:type="auto" w:w="0"/>
        <w:tblLook w:firstColumn="1" w:firstRow="1" w:lastColumn="0" w:lastRow="0" w:noHBand="0" w:noVBand="1" w:val="04A0"/>
      </w:tblPr>
      <w:tblGrid>
        <w:gridCol w:w="4680"/>
        <w:gridCol w:w="4680"/>
      </w:tblGrid>
      <w:tr>
        <w:tc>
          <w:tcPr>
            <w:tcW w:type="dxa" w:w="4680"/>
          </w:tcPr>
          <w:p>
            <w:r/>
            <w:r>
              <w:rPr>
                <w:b/>
                <w:i/>
                <w:sz w:val="19"/>
              </w:rPr>
              <w:t>Cấp độ 1</w:t>
            </w:r>
          </w:p>
        </w:tc>
        <w:tc>
          <w:tcPr>
            <w:tcW w:type="dxa" w:w="4680"/>
          </w:tcPr>
          <w:p>
            <w:r/>
            <w:r>
              <w:rPr>
                <w:b w:val="0"/>
                <w:i w:val="0"/>
                <w:sz w:val="19"/>
              </w:rPr>
              <w:t>Đã có sổ đăng ký trường hợp sử dụng AI (AI use-case registry) cơ bản, nhưng mức độ áp dụng và độ tinh vi còn thấp.</w:t>
            </w:r>
          </w:p>
        </w:tc>
      </w:tr>
      <w:tr>
        <w:tc>
          <w:tcPr>
            <w:tcW w:type="dxa" w:w="4680"/>
          </w:tcPr>
          <w:p>
            <w:r/>
            <w:r>
              <w:rPr>
                <w:b/>
                <w:i/>
                <w:sz w:val="19"/>
              </w:rPr>
              <w:t>Cấp độ 2</w:t>
            </w:r>
          </w:p>
        </w:tc>
        <w:tc>
          <w:tcPr>
            <w:tcW w:type="dxa" w:w="4680"/>
          </w:tcPr>
          <w:p>
            <w:r/>
            <w:r>
              <w:rPr>
                <w:b w:val="0"/>
                <w:i w:val="0"/>
                <w:sz w:val="19"/>
              </w:rPr>
              <w:t>Các trường hợp sử dụng AI được theo dõi riêng lẻ (silos); công cụ quản trị đang được tìm hiểu, thử nghiệm.</w:t>
            </w:r>
          </w:p>
        </w:tc>
      </w:tr>
      <w:tr>
        <w:tc>
          <w:tcPr>
            <w:tcW w:type="dxa" w:w="4680"/>
          </w:tcPr>
          <w:p>
            <w:r/>
            <w:r>
              <w:rPr>
                <w:b/>
                <w:i/>
                <w:sz w:val="19"/>
              </w:rPr>
              <w:t>Cấp độ 3</w:t>
            </w:r>
          </w:p>
        </w:tc>
        <w:tc>
          <w:tcPr>
            <w:tcW w:type="dxa" w:w="4680"/>
          </w:tcPr>
          <w:p>
            <w:r/>
            <w:r>
              <w:rPr>
                <w:b w:val="0"/>
                <w:i w:val="0"/>
                <w:sz w:val="19"/>
              </w:rPr>
              <w:t>Một nền tảng quản trị AI (như một phần của nền tảng quản trị AI rộng lớn hơn) đã được thiết lập, nhưng với chức năng hạn chế và tích hợp sổ đăng ký còn giới hạn.</w:t>
            </w:r>
          </w:p>
        </w:tc>
      </w:tr>
      <w:tr>
        <w:tc>
          <w:tcPr>
            <w:tcW w:type="dxa" w:w="4680"/>
          </w:tcPr>
          <w:p>
            <w:r/>
            <w:r>
              <w:rPr>
                <w:b/>
                <w:i/>
                <w:sz w:val="19"/>
              </w:rPr>
              <w:t>Cấp độ 4</w:t>
            </w:r>
          </w:p>
        </w:tc>
        <w:tc>
          <w:tcPr>
            <w:tcW w:type="dxa" w:w="4680"/>
          </w:tcPr>
          <w:p>
            <w:r/>
            <w:r>
              <w:rPr>
                <w:b w:val="0"/>
                <w:i w:val="0"/>
                <w:sz w:val="19"/>
              </w:rPr>
              <w:t>Một nền tảng quản trị AI trên toàn doanh nghiệp đã được triển khai với mức độ áp dụng đầy đủ, bao gồm quản lý quy trình công việc (workflow management), tuân thủ (compliance) và sổ đăng ký trường hợp sử dụng AI.</w:t>
            </w:r>
          </w:p>
        </w:tc>
      </w:tr>
    </w:tbl>
    <w:p>
      <w:pPr>
        <w:spacing w:after="0"/>
      </w:pPr>
    </w:p>
    <w:p>
      <w:pPr>
        <w:pStyle w:val="Heading3"/>
      </w:pPr>
      <w:r>
        <w:rPr>
          <w:rFonts w:ascii="Calibri" w:hAnsi="Calibri"/>
          <w:b/>
          <w:i w:val="0"/>
          <w:sz w:val="26"/>
        </w:rPr>
        <w:t>Mô hình vận hành: Các quy trình để nhận diện, đánh giá và giảm thiểu rủi ro AI</w:t>
      </w:r>
    </w:p>
    <w:tbl>
      <w:tblPr>
        <w:tblStyle w:val="TableGrid"/>
        <w:tblW w:type="auto" w:w="0"/>
        <w:tblLook w:firstColumn="1" w:firstRow="1" w:lastColumn="0" w:lastRow="0" w:noHBand="0" w:noVBand="1" w:val="04A0"/>
      </w:tblPr>
      <w:tblGrid>
        <w:gridCol w:w="4680"/>
        <w:gridCol w:w="4680"/>
      </w:tblGrid>
      <w:tr>
        <w:tc>
          <w:tcPr>
            <w:tcW w:type="dxa" w:w="4680"/>
          </w:tcPr>
          <w:p>
            <w:r/>
            <w:r>
              <w:rPr>
                <w:b/>
                <w:i/>
                <w:sz w:val="19"/>
              </w:rPr>
              <w:t>Cấp độ 1</w:t>
            </w:r>
          </w:p>
        </w:tc>
        <w:tc>
          <w:tcPr>
            <w:tcW w:type="dxa" w:w="4680"/>
          </w:tcPr>
          <w:p>
            <w:r/>
            <w:r>
              <w:rPr>
                <w:b w:val="0"/>
                <w:i w:val="0"/>
                <w:sz w:val="19"/>
              </w:rPr>
              <w:t>Có những suy nghĩ ban đầu về rủi ro AI, các chỉ số rủi ro chính ban đầu đã được thiết lập và việc tích hợp khuôn khổ đang được tiến hành.</w:t>
            </w:r>
          </w:p>
        </w:tc>
      </w:tr>
      <w:tr>
        <w:tc>
          <w:tcPr>
            <w:tcW w:type="dxa" w:w="4680"/>
          </w:tcPr>
          <w:p>
            <w:r/>
            <w:r>
              <w:rPr>
                <w:b/>
                <w:i/>
                <w:sz w:val="19"/>
              </w:rPr>
              <w:t>Cấp độ 2</w:t>
            </w:r>
          </w:p>
        </w:tc>
        <w:tc>
          <w:tcPr>
            <w:tcW w:type="dxa" w:w="4680"/>
          </w:tcPr>
          <w:p>
            <w:r/>
            <w:r>
              <w:rPr>
                <w:b w:val="0"/>
                <w:i w:val="0"/>
                <w:sz w:val="19"/>
              </w:rPr>
              <w:t>Các quy trình quản lý rủi ro ban đầu đã có, còn phân loại và hồ sơ rủi ro đang dần hoàn thiện.</w:t>
            </w:r>
          </w:p>
        </w:tc>
      </w:tr>
      <w:tr>
        <w:tc>
          <w:tcPr>
            <w:tcW w:type="dxa" w:w="4680"/>
          </w:tcPr>
          <w:p>
            <w:r/>
            <w:r>
              <w:rPr>
                <w:b/>
                <w:i/>
                <w:sz w:val="19"/>
              </w:rPr>
              <w:t>Cấp độ 3</w:t>
            </w:r>
          </w:p>
        </w:tc>
        <w:tc>
          <w:tcPr>
            <w:tcW w:type="dxa" w:w="4680"/>
          </w:tcPr>
          <w:p>
            <w:r/>
            <w:r>
              <w:rPr>
                <w:b w:val="0"/>
                <w:i w:val="0"/>
                <w:sz w:val="19"/>
              </w:rPr>
              <w:t>Các quy trình quản lý rủi ro đã trưởng thành và việc ưu tiên dựa trên rủi ro đang được áp dụng.</w:t>
            </w:r>
          </w:p>
        </w:tc>
      </w:tr>
      <w:tr>
        <w:tc>
          <w:tcPr>
            <w:tcW w:type="dxa" w:w="4680"/>
          </w:tcPr>
          <w:p>
            <w:r/>
            <w:r>
              <w:rPr>
                <w:b/>
                <w:i/>
                <w:sz w:val="19"/>
              </w:rPr>
              <w:t>Cấp độ 4</w:t>
            </w:r>
          </w:p>
        </w:tc>
        <w:tc>
          <w:tcPr>
            <w:tcW w:type="dxa" w:w="4680"/>
          </w:tcPr>
          <w:p>
            <w:r/>
            <w:r>
              <w:rPr>
                <w:b w:val="0"/>
                <w:i w:val="0"/>
                <w:sz w:val="19"/>
              </w:rPr>
              <w:t>Các chuyên gia rủi ro được gắn kết vào vòng đời phát triển giải pháp và các công cụ quản lý rủi ro tự động đã được đưa vào sử dụng.</w:t>
            </w:r>
          </w:p>
        </w:tc>
      </w:tr>
    </w:tbl>
    <w:p>
      <w:pPr>
        <w:spacing w:after="0"/>
      </w:pPr>
    </w:p>
    <w:p>
      <w:pPr>
        <w:spacing w:after="80"/>
      </w:pPr>
      <w:r>
        <w:rPr>
          <w:b w:val="0"/>
          <w:i w:val="0"/>
        </w:rPr>
        <w:t>Hãy dự kiến xem xét và cập nhật chính sách của bạn ở những lĩnh vực sau:</w:t>
      </w:r>
    </w:p>
    <w:p>
      <w:pPr>
        <w:spacing w:after="80"/>
        <w:ind w:left="360"/>
      </w:pPr>
      <w:r>
        <w:t xml:space="preserve">• </w:t>
      </w:r>
      <w:r>
        <w:rPr>
          <w:b/>
          <w:i w:val="0"/>
        </w:rPr>
        <w:t>Dữ liệu và quyền riêng tư:</w:t>
      </w:r>
      <w:r>
        <w:rPr>
          <w:b w:val="0"/>
          <w:i w:val="0"/>
        </w:rPr>
        <w:t xml:space="preserve"> Soạn thảo các chính sách ngắn gọn, dễ hiểu, làm rõ dữ liệu nhạy cảm nào được thu thập và vì sao. Đưa vào việc quản trị dữ liệu tổng hợp và dữ liệu phái sinh, các quy tắc rõ ràng về lưu trữ và xóa dữ liệu, cùng việc thẩm định liên tục các nhà cung cấp AI bên thứ ba và đối tác dữ liệu. Triển khai đánh giá tác động quyền riêng tư liên tục cho các công cụ GenAI mới.</w:t>
      </w:r>
    </w:p>
    <w:p>
      <w:pPr>
        <w:spacing w:after="80"/>
        <w:ind w:left="360"/>
      </w:pPr>
      <w:r>
        <w:t xml:space="preserve">• </w:t>
      </w:r>
      <w:r>
        <w:rPr>
          <w:b/>
          <w:i w:val="0"/>
        </w:rPr>
        <w:t>Công nghệ và hạ tầng đám mây:</w:t>
      </w:r>
      <w:r>
        <w:rPr>
          <w:b w:val="0"/>
          <w:i w:val="0"/>
        </w:rPr>
        <w:t xml:space="preserve"> Xây dựng chiến lược công nghệ dựa trên rủi ro, bao quát các hệ thống hỗ trợ AI, ưu tiên tích hợp an toàn các mô hình nền tảng, và bao gồm đào tạo liên tục về an ninh mạng và an ninh AI cho toàn bộ nhân viên. Duy trì kế hoạch ứng phó sự cố liên chức năng cho cả các sự kiện liên quan đến mạng lẫn AI (như lạm dụng mô hình, rò rỉ dữ liệu, hoặc tổn hại do ảo giác gây ra).</w:t>
      </w:r>
    </w:p>
    <w:p>
      <w:pPr>
        <w:spacing w:after="80"/>
        <w:ind w:left="360"/>
      </w:pPr>
      <w:r>
        <w:t xml:space="preserve">• </w:t>
      </w:r>
      <w:r>
        <w:rPr>
          <w:b/>
          <w:i w:val="0"/>
        </w:rPr>
        <w:t>Hệ thống AI, ML và GenAI:</w:t>
      </w:r>
      <w:r>
        <w:rPr>
          <w:b w:val="0"/>
          <w:i w:val="0"/>
        </w:rPr>
        <w:t xml:space="preserve"> Xác định các nguyên tắc AI trên toàn doanh nghiệp và ngưỡng rủi ro có thể chấp nhận, bao gồm tính minh bạch, khả năng giải thích và sự giám sát của con người đối với các mô hình có tác động lớn. Thiết lập các hệ thống giám sát mô hình tự động để phát hiện trôi dạt, thiên kiến và lỗ hổng bảo mật; tạo model card và tài liệu cho mọi mô hình được triển khai; và đảm bảo tuân thủ các quy định đang hình thành (như EU AI Act, Khung Quản lý Rủi ro AI của NIST Hoa Kỳ, và các Sắc lệnh Hành pháp về AI của Nhà Trắng).</w:t>
      </w:r>
    </w:p>
    <w:p>
      <w:pPr>
        <w:spacing w:after="80"/>
      </w:pPr>
      <w:r>
        <w:rPr>
          <w:b w:val="0"/>
          <w:i w:val="0"/>
        </w:rPr>
        <w:t>Ví dụ, nếu một giải pháp GenAI cá nhân hóa hoạt động tiếp thị, định giá hoặc nội dung, tổ chức phải triển khai các giao thức bắt buộc về tính công bằng và giảm thiểu thiên kiến để ngăn chặn các kết quả mang tính phân biệt đối xử. Những yêu cầu đó nên được hệ thống hóa trong chính sách đạo đức AI và dữ liệu của bạn, đồng thời được gắn kết vào các quy trình phát triển và xem xét mô hình.</w:t>
      </w:r>
    </w:p>
    <w:p>
      <w:pPr>
        <w:spacing w:after="80"/>
      </w:pPr>
      <w:r>
        <w:rPr>
          <w:b/>
          <w:i/>
        </w:rPr>
        <w:t>Việc xem xét và căn chỉnh toàn bộ bộ chính sách tin cậy số để giải quyết những rủi ro mới thời đại AI này cần thời gian và là nỗ lực liên chức năng. Và nó cần được xem xét lại thường xuyên</w:t>
      </w:r>
      <w:r>
        <w:rPr>
          <w:b/>
          <w:i w:val="0"/>
        </w:rPr>
        <w:t>.</w:t>
      </w:r>
    </w:p>
    <w:p>
      <w:pPr>
        <w:spacing w:after="80"/>
      </w:pPr>
      <w:r>
        <w:rPr>
          <w:b w:val="0"/>
          <w:i w:val="0"/>
        </w:rPr>
        <w:t>Hãy làm việc với các lãnh đạo về rủi ro, pháp lý và công nghệ của bạn để gắn kết một chuyên gia rủi ro tuyến hai vào vòng đời phát triển giải pháp, như đã thảo luận ở Chương 12.</w:t>
      </w:r>
    </w:p>
    <w:p>
      <w:pPr>
        <w:pStyle w:val="Heading2"/>
      </w:pPr>
      <w:r>
        <w:rPr>
          <w:rFonts w:ascii="Calibri" w:hAnsi="Calibri"/>
          <w:b/>
          <w:i w:val="0"/>
          <w:sz w:val="32"/>
        </w:rPr>
        <w:t>Vận hành hóa các chính sách rủi ro của bạn</w:t>
      </w:r>
    </w:p>
    <w:p>
      <w:pPr>
        <w:spacing w:after="80"/>
      </w:pPr>
      <w:r>
        <w:rPr>
          <w:b w:val="0"/>
          <w:i w:val="0"/>
        </w:rPr>
        <w:t>Các công ty nên tập trung xây dựng bốn năng lực vận hành:</w:t>
      </w:r>
    </w:p>
    <w:p>
      <w:pPr>
        <w:spacing w:after="80"/>
        <w:ind w:left="360"/>
      </w:pPr>
      <w:r>
        <w:t xml:space="preserve">1. </w:t>
      </w:r>
      <w:r>
        <w:rPr>
          <w:b/>
          <w:i w:val="0"/>
        </w:rPr>
        <w:t>Thiết kế để có thể giải thích được.</w:t>
      </w:r>
      <w:r>
        <w:rPr>
          <w:b w:val="0"/>
          <w:i w:val="0"/>
        </w:rPr>
        <w:t xml:space="preserve"> AI có thể giải thích (Explainable AI) đã trở thành một trụ cột quan trọng giúp mọi người hiểu cách các mô hình hoạt động và nhận diện các vấn đề. Một bộ kỹ thuật giải thích đang không ngừng phát triển, bao gồm các thuật toán giúp quá trình ra quyết định của các mô hình AI trở nên minh bạch hơn.</w:t>
        <w:br/>
        <w:t>Một số công cụ được sử dụng rộng rãi gồm các thuật toán mã nguồn mở như LIME (local interpretable model-agnostic explanations), SHAP (SHapley Additive exPlanations), bộ công cụ AI Explainability 360 của IBM, What-If Tool của Google, và InterpretML của Microsoft.</w:t>
        <w:br/>
        <w:t>Như đã bàn ở phần trước, việc giải thích sẽ khó hơn rất nhiều nếu một agent đơn lẻ đảm nhận quá nhiều nhiệm vụ. Hãy thiết kế các giải pháp quy trình công việc (workflow) theo hướng chi tiết hơn (tạo nhiều agent hơn, mỗi agent làm một nhiệm vụ được định nghĩa cụ thể) để dễ giám sát hơn.</w:t>
      </w:r>
    </w:p>
    <w:p>
      <w:pPr>
        <w:spacing w:after="80"/>
        <w:ind w:left="360"/>
      </w:pPr>
      <w:r>
        <w:t xml:space="preserve">2. </w:t>
      </w:r>
      <w:r>
        <w:rPr>
          <w:b/>
          <w:i w:val="0"/>
        </w:rPr>
        <w:t>Quản trị.</w:t>
      </w:r>
      <w:r>
        <w:rPr>
          <w:b w:val="0"/>
          <w:i w:val="0"/>
        </w:rPr>
        <w:t xml:space="preserve"> Khi năng lực AI ngày càng trưởng thành và nhiều giải pháp phức tạp trở nên khả thi, quản trị cũng phải tiến hóa để theo kịp. Hãy bắt đầu bằng việc thành lập một hội đồng quản trị có thẩm quyền giải quyết các vấn đề mơ hồ một cách nhanh chóng và giữ cho các chính sách luôn cập nhật trên mọi khu vực pháp lý.</w:t>
        <w:br/>
        <w:t>Sau đó, xây dựng một danh sách kiểm tra phân loại rủi ro (risk triage checklist) để các nhóm thực hiện dưới sự hướng dẫn của một chuyên gia rủi ro, nhằm phát hiện những rủi ro cần thêm chuyên môn từ các bộ phận pháp lý, an ninh mạng, dữ liệu, quyền riêng tư, tuân thủ hoặc các chức năng kiểm soát khác mà công ty có.</w:t>
      </w:r>
    </w:p>
    <w:p>
      <w:pPr>
        <w:spacing w:after="80"/>
        <w:ind w:left="360"/>
      </w:pPr>
      <w:r>
        <w:t xml:space="preserve">3. </w:t>
      </w:r>
      <w:r>
        <w:rPr>
          <w:b/>
          <w:i w:val="0"/>
        </w:rPr>
        <w:t>Nhân tài chuyên biệt.</w:t>
      </w:r>
      <w:r>
        <w:rPr>
          <w:b w:val="0"/>
          <w:i w:val="0"/>
        </w:rPr>
        <w:t xml:space="preserve"> Hãy cân nhắc chỉ định một lãnh đạo cấp doanh nghiệp phụ trách tổng thể về niềm tin số (digital trust). Một số công ty thậm chí còn bổ nhiệm một giám đốc niềm tin (chief trust officer) làm chủ tịch hội đồng niềm tin số hoặc cơ quan quản trị AI có trách nhiệm.</w:t>
        <w:br/>
        <w:t>Thường sẽ có nhu cầu đào sâu chuyên môn về "kỹ thuật quyền riêng tư" (privacy engineering) với những người giỏi quản lý và duy trì các ứng dụng bảo vệ quyền riêng tư dữ liệu, phát triển các bài kiểm tra tự động cho bảo mật và tuân thủ, và tái cấu trúc (refactor) các ứng dụng để đưa chúng vào trạng thái tuân thủ. Các chuyên gia có những kỹ năng này rất khó tìm, nhưng hoàn toàn xứng đáng với công sức bỏ ra.</w:t>
        <w:br/>
        <w:t>Việc bố trí đủ người có kỹ năng đa ngành phù hợp để đánh giá các agent tại các điểm kiểm tra định kỳ (human-in-the-loop hoặc human-above-the-loop) là điều thiết yếu để phát hiện các ảo giác (hallucination), thiên kiến (bias), câu trả lời sai hoặc rò rỉ dữ liệu.</w:t>
      </w:r>
    </w:p>
    <w:p>
      <w:pPr>
        <w:spacing w:after="80"/>
        <w:ind w:left="360"/>
      </w:pPr>
      <w:r>
        <w:t xml:space="preserve">4. </w:t>
      </w:r>
      <w:r>
        <w:rPr>
          <w:b/>
          <w:i w:val="0"/>
        </w:rPr>
        <w:t>Tự động hóa các kiểm soát rủi ro.</w:t>
      </w:r>
      <w:r>
        <w:rPr>
          <w:b w:val="0"/>
          <w:i w:val="0"/>
        </w:rPr>
        <w:t xml:space="preserve"> Tự động hóa niềm tin là quá trình biến các chính sách niềm tin thành mã ("policy as code"), chẳng hạn như các yêu cầu tuân thủ ("compliance as code") và các tiêu chuẩn rủi ro ("security as code"). Những kiểm soát rủi ro tự động này được kích hoạt mỗi khi có ai đó gửi mã mới.</w:t>
        <w:br/>
        <w:t>Cách tiếp cận này tăng tốc đáng kể việc phát triển và triển khai, đồng thời cắt giảm rủi ro. Với sự xuất hiện của các quy trình công việc AI dạng agent (agentic AI workflow), các rào chắn (guardrail) có thể được xây dựng ở cấp độ nhiệm vụ, quy định rõ agent được phép và không được phép làm gì, hoặc khi độ chính xác không đạt một ngưỡng nhất định thì sẽ chuyển lên cho con người xem xét.</w:t>
      </w:r>
    </w:p>
    <w:p>
      <w:pPr>
        <w:jc w:val="center"/>
      </w:pPr>
      <w:r>
        <w:drawing>
          <wp:inline xmlns:a="http://schemas.openxmlformats.org/drawingml/2006/main" xmlns:pic="http://schemas.openxmlformats.org/drawingml/2006/picture">
            <wp:extent cx="457200" cy="447675"/>
            <wp:docPr id="200" name="Picture 200"/>
            <wp:cNvGraphicFramePr>
              <a:graphicFrameLocks noChangeAspect="1"/>
            </wp:cNvGraphicFramePr>
            <a:graphic>
              <a:graphicData uri="http://schemas.openxmlformats.org/drawingml/2006/picture">
                <pic:pic>
                  <pic:nvPicPr>
                    <pic:cNvPr id="0" name="RULE_OF_THUMB_blue.png"/>
                    <pic:cNvPicPr/>
                  </pic:nvPicPr>
                  <pic:blipFill>
                    <a:blip r:embed="rId139"/>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NGUYÊN TẮC CHUNG</w:t>
      </w:r>
    </w:p>
    <w:p>
      <w:pPr>
        <w:pStyle w:val="Heading3"/>
      </w:pPr>
      <w:r>
        <w:rPr>
          <w:rFonts w:ascii="Calibri" w:hAnsi="Calibri"/>
          <w:b/>
          <w:i w:val="0"/>
          <w:sz w:val="26"/>
        </w:rPr>
        <w:t>Lượng mã tập trung vào việc giảm rủi ro</w:t>
      </w:r>
    </w:p>
    <w:p>
      <w:pPr>
        <w:spacing w:after="80"/>
      </w:pPr>
      <w:r>
        <w:rPr>
          <w:b w:val="0"/>
          <w:i w:val="0"/>
        </w:rPr>
        <w:t>Khi xây dựng một giải pháp AI dạng agent, có tới 50% tổng lượng mã được viết là tập trung vào các rào chắn (guardrail) để giảm rủi ro và xây dựng niềm tin.</w:t>
      </w:r>
    </w:p>
    <w:p>
      <w:pPr>
        <w:pStyle w:val="Heading2"/>
      </w:pPr>
      <w:r>
        <w:rPr>
          <w:rFonts w:ascii="Calibri" w:hAnsi="Calibri"/>
          <w:b/>
          <w:i w:val="0"/>
          <w:sz w:val="32"/>
        </w:rPr>
        <w:t>Nâng cao nhận thức và khả năng nhận diện mô thức</w:t>
      </w:r>
    </w:p>
    <w:p>
      <w:pPr>
        <w:spacing w:after="80"/>
      </w:pPr>
      <w:r>
        <w:rPr>
          <w:b w:val="0"/>
          <w:i w:val="0"/>
        </w:rPr>
        <w:t>Mọi người trong doanh nghiệp đều có trách nhiệm với niềm tin số. Điều đó đã trở thành một niềm tin cốt lõi ở các công ty hàng đầu. Để xây dựng văn hóa trách nhiệm, thông điệp về niềm tin phải đến từ cấp cao nhất. Điều đó có nghĩa là chính bạn.</w:t>
      </w:r>
    </w:p>
    <w:p>
      <w:pPr>
        <w:spacing w:after="80"/>
      </w:pPr>
      <w:r>
        <w:rPr>
          <w:b w:val="0"/>
          <w:i w:val="0"/>
        </w:rPr>
        <w:t>Các nhà lãnh đạo có trách nhiệm bảo trợ, tạo điều kiện và làm gương cho các thực hành niềm tin số trong toàn tổ chức, bao gồm triển khai các chương trình đào tạo tập trung vào niềm tin số; công bố rõ ràng các thực hành và hướng dẫn về việc sử dụng dữ liệu và AI; thu thập phản hồi để định hướng các biện pháp tiếp theo; và đưa các chỉ số niềm tin số vào đánh giá hiệu suất.</w:t>
      </w:r>
    </w:p>
    <w:p>
      <w:pPr>
        <w:spacing w:after="80"/>
      </w:pPr>
      <w:r>
        <w:rPr>
          <w:b w:val="0"/>
          <w:i w:val="0"/>
        </w:rPr>
        <w:t>Các nhà lãnh đạo trong lĩnh vực AI thường xuyên trao đổi về công việc của họ và chia sẻ các nỗ lực quản lý niềm tin số với các cơ quan quản lý liên quan để giúp họ hiểu những cách làm việc mới và các lợi ích đi kèm. Đừng chờ họ tìm đến bạn. Hãy chủ động đưa ra sự rõ ràng, cụ thể và đảm bảo để các cơ quan quản lý hiểu những bước đi tích cực đã được thực hiện nhằm đảm bảo tuân thủ.</w:t>
      </w:r>
    </w:p>
    <w:p>
      <w:pPr>
        <w:spacing w:after="80"/>
      </w:pPr>
      <w:r>
        <w:rPr>
          <w:b w:val="0"/>
          <w:i w:val="0"/>
        </w:rPr>
        <w:t>Apple đã biến niềm tin số thành một khía cạnh cốt lõi trong đề xuất thương hiệu của mình, nhấn mạnh việc họ hạn chế thu thập dữ liệu và thực hiện phần lớn việc cá nhân hóa ngay trên thiết bị (ví dụ với các gợi ý của Siri và phân loại ảnh). Họ sử dụng các kỹ thuật như quyền riêng tư vi phân (differential privacy) và học liên kết (federated learning), cho phép các mô hình cải thiện chung mà không cần kéo dữ liệu có thể nhận dạng về máy chủ trung tâm.</w:t>
      </w:r>
    </w:p>
    <w:p>
      <w:pPr>
        <w:jc w:val="center"/>
      </w:pPr>
      <w:r>
        <w:drawing>
          <wp:inline xmlns:a="http://schemas.openxmlformats.org/drawingml/2006/main" xmlns:pic="http://schemas.openxmlformats.org/drawingml/2006/picture">
            <wp:extent cx="1905000" cy="95250"/>
            <wp:docPr id="201" name="Picture 201"/>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Sẽ hữu ích khi nghĩ về rủi ro và niềm tin như hai mặt của cùng một đồng xu. Giải quyết mặt này có thể giúp giải quyết mặt kia. Dù chúng luôn quan trọng, GenAI và agentic đang nâng cao tiêu chuẩn cho cả hai.</w:t>
      </w:r>
    </w:p>
    <w:p>
      <w:pPr>
        <w:spacing w:after="80"/>
      </w:pPr>
      <w:r>
        <w:rPr>
          <w:b w:val="0"/>
          <w:i w:val="0"/>
        </w:rPr>
        <w:t>Khi ranh giới của rủi ro mở rộng, những thách thức đối với niềm tin cũng mở rộng theo. Các khung chính sách về rủi ro và niềm tin rất quan trọng, nhưng tự chúng vẫn chưa đủ. Bạn cần một văn hóa mà ở đó mọi người đều thấy mình có trách nhiệm giảm rủi ro và xây dựng niềm tin.</w:t>
      </w:r>
    </w:p>
    <w:p>
      <w:pPr>
        <w:pStyle w:val="Heading2"/>
      </w:pPr>
      <w:r>
        <w:rPr>
          <w:rFonts w:ascii="Calibri" w:hAnsi="Calibri"/>
          <w:b/>
          <w:i w:val="0"/>
          <w:sz w:val="32"/>
        </w:rPr>
        <w:t>Ghi chú</w:t>
      </w:r>
    </w:p>
    <w:p>
      <w:pPr>
        <w:spacing w:after="80"/>
        <w:ind w:left="360"/>
      </w:pPr>
      <w:r>
        <w:t xml:space="preserve">1. </w:t>
      </w:r>
      <w:r>
        <w:rPr>
          <w:b w:val="0"/>
          <w:i w:val="0"/>
        </w:rPr>
        <w:t>1   "Global cyber attacks surge 21% in Q2 2025 — Europe experiences the highest increase of all regions," Check Point, July 17, 2025.</w:t>
      </w:r>
    </w:p>
    <w:p>
      <w:pPr>
        <w:spacing w:after="80"/>
        <w:ind w:left="360"/>
      </w:pPr>
      <w:r>
        <w:t xml:space="preserve">2. </w:t>
      </w:r>
      <w:r>
        <w:rPr>
          <w:b w:val="0"/>
          <w:i w:val="0"/>
        </w:rPr>
        <w:t>2   Erik Roth, “Reconfiguring work: Change management in the age of GenAI,” McKinsey, 13 tháng 8, 2025.</w:t>
      </w:r>
    </w:p>
    <w:p>
      <w:pPr>
        <w:spacing w:after="80"/>
        <w:ind w:left="360"/>
      </w:pPr>
      <w:r>
        <w:t xml:space="preserve">3. </w:t>
      </w:r>
      <w:r>
        <w:rPr>
          <w:b w:val="0"/>
          <w:i w:val="0"/>
        </w:rPr>
        <w:t>3   “Morgan Stanley Wealth Management announces latest game-changing addition to suite of GenAI tools,” Morgan Stanley, 26 tháng 6, 2024.</w:t>
      </w:r>
    </w:p>
    <w:p>
      <w:pPr>
        <w:pStyle w:val="Heading2"/>
      </w:pPr>
      <w:r>
        <w:rPr>
          <w:rFonts w:ascii="Calibri" w:hAnsi="Calibri"/>
          <w:b/>
          <w:i/>
          <w:sz w:val="32"/>
        </w:rPr>
        <w:t>“Văn hóa không tạo ra con người. Con người tạo ra văn hóa.”</w:t>
      </w:r>
    </w:p>
    <w:p>
      <w:pPr>
        <w:spacing w:after="80"/>
      </w:pPr>
      <w:r>
        <w:rPr>
          <w:b w:val="0"/>
          <w:i w:val="0"/>
        </w:rPr>
        <w:t xml:space="preserve">— </w:t>
      </w:r>
      <w:r>
        <w:rPr>
          <w:b/>
          <w:i w:val="0"/>
        </w:rPr>
        <w:t>Chimamanda Ngozi Adichie</w:t>
      </w:r>
    </w:p>
    <w:p>
      <w:pPr>
        <w:pStyle w:val="Heading1"/>
      </w:pPr>
      <w:r>
        <w:rPr>
          <w:rFonts w:ascii="Calibri" w:hAnsi="Calibri"/>
          <w:b/>
          <w:i w:val="0"/>
          <w:sz w:val="40"/>
        </w:rPr>
        <w:t>CHƯƠNG 35</w:t>
      </w:r>
      <w:r>
        <w:rPr>
          <w:rFonts w:ascii="Calibri" w:hAnsi="Calibri"/>
          <w:b/>
          <w:i w:val="0"/>
          <w:sz w:val="40"/>
        </w:rPr>
      </w:r>
      <w:r>
        <w:rPr>
          <w:rFonts w:ascii="Calibri" w:hAnsi="Calibri"/>
          <w:b/>
          <w:i w:val="0"/>
          <w:sz w:val="40"/>
        </w:rPr>
        <w:t>Vậy còn văn hóa thì sao?</w:t>
      </w:r>
    </w:p>
    <w:p>
      <w:pPr>
        <w:spacing w:after="80"/>
      </w:pPr>
      <w:r>
        <w:rPr>
          <w:b w:val="0"/>
          <w:i w:val="0"/>
        </w:rPr>
        <w:t>Trong gần như mọi cuộc trò chuyện của chúng tôi với các nhà lãnh đạo hàng đầu về chuyển đổi Công nghệ &amp; AI, chủ đề văn hóa luôn được nhắc đến. Và nó thường là nguồn gốc của sự bực bội, bởi ở một mức độ nào đó nó khá cơ bản, nhưng ở một mức độ khác nó lại mơ hồ đến phát điên khi nói về cách xây dựng nó (hoặc tái thiết lập nó trong bối cảnh trở thành một doanh nghiệp am hiểu công nghệ hơn).</w:t>
      </w:r>
    </w:p>
    <w:p>
      <w:pPr>
        <w:spacing w:after="80"/>
      </w:pPr>
      <w:r>
        <w:rPr>
          <w:b w:val="0"/>
          <w:i w:val="0"/>
        </w:rPr>
        <w:t>Hãy bắt đầu từ những điều cơ bản. Ở đây chúng ta tập trung vào văn hóa tại các nhà đổi mới công nghệ, những công ty đã dẫn dắt nhịp độ trong khoảng 20 năm trở lại đây. Và không chỉ các công ty công nghệ mà còn cả những công ty đang đảo lộn các ngành truyền thống bằng những mô hình kinh doanh thâm dụng công nghệ, như Amazon, Netflix, Tesla và SpaceX.</w:t>
      </w:r>
    </w:p>
    <w:p>
      <w:pPr>
        <w:spacing w:after="80"/>
      </w:pPr>
      <w:r>
        <w:rPr>
          <w:b w:val="0"/>
          <w:i w:val="0"/>
        </w:rPr>
        <w:t>Vậy văn hóa của họ như thế nào? Andy McAfee đã nghiên cứu những công ty này và xác định bốn chuẩn mực văn hóa của các nhà đổi mới công nghệ:</w:t>
      </w:r>
    </w:p>
    <w:p>
      <w:pPr>
        <w:spacing w:after="80"/>
        <w:ind w:left="360"/>
      </w:pPr>
      <w:r>
        <w:t xml:space="preserve">• </w:t>
      </w:r>
      <w:r>
        <w:rPr>
          <w:b/>
          <w:i w:val="0"/>
        </w:rPr>
        <w:t>Tốc độ.</w:t>
      </w:r>
      <w:r>
        <w:rPr>
          <w:b w:val="0"/>
          <w:i w:val="0"/>
        </w:rPr>
        <w:t xml:space="preserve"> Xu hướng thiên về hành động và học hỏi nhanh—tung ra sớm, thử nghiệm trong thế giới thực và lặp lại nhanh thay vì hoàn thiện trước khi ra mắt.</w:t>
      </w:r>
    </w:p>
    <w:p>
      <w:pPr>
        <w:spacing w:after="80"/>
        <w:ind w:left="360"/>
      </w:pPr>
      <w:r>
        <w:t xml:space="preserve">• </w:t>
      </w:r>
      <w:r>
        <w:rPr>
          <w:b/>
          <w:i w:val="0"/>
        </w:rPr>
        <w:t>Quyền làm chủ.</w:t>
      </w:r>
      <w:r>
        <w:rPr>
          <w:b w:val="0"/>
          <w:i w:val="0"/>
        </w:rPr>
        <w:t xml:space="preserve"> Đẩy quyền quyết định và trách nhiệm giải trình xuống cho các cá nhân và nhóm nhỏ gần với công việc nhất, giảm thiểu chi phí phối hợp và quan liêu.</w:t>
      </w:r>
    </w:p>
    <w:p>
      <w:pPr>
        <w:spacing w:after="80"/>
        <w:ind w:left="360"/>
      </w:pPr>
      <w:r>
        <w:t xml:space="preserve">• </w:t>
      </w:r>
      <w:r>
        <w:rPr>
          <w:b/>
          <w:i w:val="0"/>
        </w:rPr>
        <w:t>Khoa học.</w:t>
      </w:r>
      <w:r>
        <w:rPr>
          <w:b w:val="0"/>
          <w:i w:val="0"/>
        </w:rPr>
        <w:t xml:space="preserve"> Cam kết ra quyết định dựa trên bằng chứng bằng dữ liệu, thử nghiệm và chỉ số thay vì chỉ dựa vào ý kiến, thâm niên hay trực giác.</w:t>
      </w:r>
    </w:p>
    <w:p>
      <w:pPr>
        <w:spacing w:after="80"/>
        <w:ind w:left="360"/>
      </w:pPr>
      <w:r>
        <w:t xml:space="preserve">• </w:t>
      </w:r>
      <w:r>
        <w:rPr>
          <w:b/>
          <w:i w:val="0"/>
        </w:rPr>
        <w:t>Cởi mở.</w:t>
      </w:r>
      <w:r>
        <w:rPr>
          <w:b w:val="0"/>
          <w:i w:val="0"/>
        </w:rPr>
        <w:t xml:space="preserve"> Kỳ vọng rằng ý tưởng có thể bị bất kỳ ai phản biện, các cuộc tranh luận được giải quyết dựa trên giá trị thực chất, và việc học hỏi liên tục cùng sự minh bạch được chủ động khuyến khích.</w:t>
      </w:r>
    </w:p>
    <w:p>
      <w:pPr>
        <w:spacing w:after="80"/>
      </w:pPr>
      <w:r>
        <w:rPr>
          <w:b w:val="0"/>
          <w:i w:val="0"/>
        </w:rPr>
        <w:t>Đây là những chuẩn mực văn hóa có thể hấp thụ bất kỳ công nghệ nào—kỹ thuật số của ngày hôm qua, AI của ngày hôm nay, máy tính lượng tử của ngày mai—và khai thác nó để thúc đẩy tăng trưởng mới và giảm chi phí.</w:t>
      </w:r>
    </w:p>
    <w:p>
      <w:pPr>
        <w:spacing w:after="80"/>
      </w:pPr>
      <w:r>
        <w:rPr>
          <w:b w:val="0"/>
          <w:i w:val="0"/>
        </w:rPr>
        <w:t xml:space="preserve">Theo nhiều cách, toàn bộ cuốn sách này là một luận thuyết về cách xây dựng những chuẩn mực đó. Hình 35.1 cho thấy sáu năng lực cốt lõi mà chúng ta khám phá trong </w:t>
      </w:r>
      <w:r>
        <w:rPr>
          <w:b w:val="0"/>
          <w:i/>
        </w:rPr>
        <w:t>Rewired</w:t>
      </w:r>
      <w:r>
        <w:rPr>
          <w:b w:val="0"/>
          <w:i w:val="0"/>
        </w:rPr>
        <w:t xml:space="preserve"> đóng góp trực tiếp như thế nào vào việc xây dựng những chuẩn mực văn hóa này. Chúng tôi không nói rằng đây là những điều duy nhất bạn cần làm. Nhưng chúng tôi khẳng định rằng nếu không có chúng, sẽ rất khó để trở thành một nhà đổi mới kinh doanh dựa trên công nghệ.</w:t>
      </w:r>
    </w:p>
    <w:p>
      <w:pPr>
        <w:jc w:val="center"/>
      </w:pPr>
      <w:r>
        <w:drawing>
          <wp:inline xmlns:a="http://schemas.openxmlformats.org/drawingml/2006/main" xmlns:pic="http://schemas.openxmlformats.org/drawingml/2006/picture">
            <wp:extent cx="5486400" cy="7019733"/>
            <wp:docPr id="202" name="Picture 202"/>
            <wp:cNvGraphicFramePr>
              <a:graphicFrameLocks noChangeAspect="1"/>
            </wp:cNvGraphicFramePr>
            <a:graphic>
              <a:graphicData uri="http://schemas.openxmlformats.org/drawingml/2006/picture">
                <pic:pic>
                  <pic:nvPicPr>
                    <pic:cNvPr id="0" name="c35ex001.png"/>
                    <pic:cNvPicPr/>
                  </pic:nvPicPr>
                  <pic:blipFill>
                    <a:blip r:embed="rId151"/>
                    <a:stretch>
                      <a:fillRect/>
                    </a:stretch>
                  </pic:blipFill>
                  <pic:spPr>
                    <a:xfrm>
                      <a:off x="0" y="0"/>
                      <a:ext cx="5486400" cy="7019733"/>
                    </a:xfrm>
                    <a:prstGeom prst="rect"/>
                  </pic:spPr>
                </pic:pic>
              </a:graphicData>
            </a:graphic>
          </wp:inline>
        </w:drawing>
      </w:r>
    </w:p>
    <w:p>
      <w:pPr>
        <w:spacing w:after="160"/>
        <w:jc w:val="center"/>
      </w:pPr>
      <w:r>
        <w:rPr>
          <w:rFonts w:ascii="Calibri" w:hAnsi="Calibri"/>
          <w:b w:val="0"/>
          <w:i/>
          <w:sz w:val="19"/>
        </w:rPr>
        <w:t>HÌNH 35.1</w:t>
      </w:r>
    </w:p>
    <w:p>
      <w:pPr>
        <w:pStyle w:val="Heading2"/>
      </w:pPr>
      <w:r>
        <w:rPr>
          <w:rFonts w:ascii="Calibri" w:hAnsi="Calibri"/>
          <w:b/>
          <w:i w:val="0"/>
          <w:sz w:val="32"/>
        </w:rPr>
        <w:t>Sự chuyển dịch văn hóa này trông như thế nào</w:t>
      </w:r>
    </w:p>
    <w:p>
      <w:pPr>
        <w:spacing w:after="80"/>
      </w:pPr>
      <w:r>
        <w:rPr>
          <w:b w:val="0"/>
          <w:i w:val="0"/>
        </w:rPr>
        <w:t>Các công ty được nhấn mạnh trong Mục Bảy và những công ty khác được mô tả ở các phần khác nhau của cuốn sách này đang thành công trong việc phát triển một văn hóa dựa trên công nghệ.</w:t>
      </w:r>
    </w:p>
    <w:p>
      <w:pPr>
        <w:spacing w:after="80"/>
      </w:pPr>
      <w:r>
        <w:rPr>
          <w:b w:val="0"/>
          <w:i w:val="0"/>
        </w:rPr>
        <w:t>Lấy ví dụ DBS Bank (Hình 35.2). Trong hơn một thập kỷ, ngân hàng này đã định nghĩa lại chính mình như một công ty công nghệ với giấy phép ngân hàng. Họ biến đổi mới sáng tạo thành một hành vi hằng ngày, chứ không chỉ là một chương trình đặc biệt. DBS đã được toàn cầu ca ngợi vì văn hóa của mình và đã đạt thành tích dẫn đầu trong ngành (điều này nhấn mạnh một điểm quan trọng: văn hóa là để thúc đẩy kết quả, chứ không chỉ đơn thuần là truyền đạt những hành vi mới).</w:t>
      </w:r>
    </w:p>
    <w:p>
      <w:pPr>
        <w:jc w:val="center"/>
      </w:pPr>
      <w:r>
        <w:drawing>
          <wp:inline xmlns:a="http://schemas.openxmlformats.org/drawingml/2006/main" xmlns:pic="http://schemas.openxmlformats.org/drawingml/2006/picture">
            <wp:extent cx="5486400" cy="3390472"/>
            <wp:docPr id="203" name="Picture 203"/>
            <wp:cNvGraphicFramePr>
              <a:graphicFrameLocks noChangeAspect="1"/>
            </wp:cNvGraphicFramePr>
            <a:graphic>
              <a:graphicData uri="http://schemas.openxmlformats.org/drawingml/2006/picture">
                <pic:pic>
                  <pic:nvPicPr>
                    <pic:cNvPr id="0" name="c35ex002.png"/>
                    <pic:cNvPicPr/>
                  </pic:nvPicPr>
                  <pic:blipFill>
                    <a:blip r:embed="rId152"/>
                    <a:stretch>
                      <a:fillRect/>
                    </a:stretch>
                  </pic:blipFill>
                  <pic:spPr>
                    <a:xfrm>
                      <a:off x="0" y="0"/>
                      <a:ext cx="5486400" cy="3390472"/>
                    </a:xfrm>
                    <a:prstGeom prst="rect"/>
                  </pic:spPr>
                </pic:pic>
              </a:graphicData>
            </a:graphic>
          </wp:inline>
        </w:drawing>
      </w:r>
    </w:p>
    <w:p>
      <w:pPr>
        <w:spacing w:after="160"/>
        <w:jc w:val="center"/>
      </w:pPr>
      <w:r>
        <w:rPr>
          <w:rFonts w:ascii="Calibri" w:hAnsi="Calibri"/>
          <w:b w:val="0"/>
          <w:i/>
          <w:sz w:val="19"/>
        </w:rPr>
        <w:t>HÌNH 35.2</w:t>
      </w:r>
    </w:p>
    <w:p>
      <w:pPr>
        <w:spacing w:after="80"/>
      </w:pPr>
      <w:r>
        <w:rPr>
          <w:b w:val="0"/>
          <w:i w:val="0"/>
        </w:rPr>
        <w:t>Chìa khóa của sự chuyển dịch này là việc CEO và ban lãnh đạo cấp cao đặt việc xây dựng một văn hóa đổi mới sáng tạo lên ưu tiên hàng đầu và duy trì sự tập trung đó theo thời gian. Điều đó bao gồm việc thực hiện những hành động thiết thực như đưa dữ liệu và AI vào các quyết định vận hành hằng ngày, trao quyền cho con người và các đội nhóm hành động, và xây dựng các mô hình vận hành cho phép sự cộng tác chặt chẽ, liên chức năng. Nâng cao kỹ năng cho đội ngũ lãnh đạo và xây dựng sự thông thạo AI là nền tảng để những năng lực được tái cấu trúc này có thể bén rễ.</w:t>
      </w:r>
    </w:p>
    <w:p>
      <w:pPr>
        <w:spacing w:after="80"/>
      </w:pPr>
      <w:r>
        <w:rPr>
          <w:b w:val="0"/>
          <w:i w:val="0"/>
        </w:rPr>
        <w:t>Dưới đây là năm thực hành mà chúng tôi đã thấy các công ty sử dụng thành công để giúp tạo ra một văn hóa đổi mới sáng tạo dựa trên công nghệ:</w:t>
      </w:r>
    </w:p>
    <w:p>
      <w:pPr>
        <w:spacing w:after="80"/>
        <w:ind w:left="360"/>
      </w:pPr>
      <w:r>
        <w:t xml:space="preserve">1. </w:t>
      </w:r>
      <w:r>
        <w:rPr>
          <w:b/>
          <w:i w:val="0"/>
        </w:rPr>
        <w:t>Đầu tư ban đầu vào đội ngũ lãnh đạo.</w:t>
      </w:r>
      <w:r>
        <w:rPr>
          <w:b w:val="0"/>
          <w:i w:val="0"/>
        </w:rPr>
        <w:t xml:space="preserve"> Những phẩm chất được phản ánh trong bốn chuẩn mực văn hóa mà chúng ta đã đề cập ở trên là nền tảng quan trọng cho khả năng lãnh đạo AI hiệu quả. Thông thường, một chương trình đào tạo lãnh đạo sẽ tập trung vào hai hoặc ba cấp cao nhất trong tổ chức (khoảng 300 nhà lãnh đạo hàng đầu). Một công ty tiêu dùng toàn cầu đã theo đuổi mục tiêu trang bị cho các nhà lãnh đạo cấp cao của mình sự tự tin để dẫn dắt một làn sóng tạo giá trị mới được hỗ trợ bởi Công nghệ &amp; AI trên toàn doanh nghiệp.</w:t>
        <w:br/>
        <w:t>Để đạt được khát vọng này, công ty biết rằng họ cần xây dựng năng lực công nghệ cho đội ngũ hàng đầu của mình, nhưng một chương trình "đào tạo" tiêu chuẩn không phải là câu trả lời. Thay vào đó, họ quyết định phát triển một trải nghiệm lãnh đạo đạt chuẩn doanh nghiệp. Điều đó trên thực tế có nghĩa là có một cách tiếp cận liên tục hơn, thực hành nhiều hơn và đắm chìm hơn để xây dựng kỹ năng.</w:t>
        <w:br/>
        <w:t>Các nhà lãnh đạo hàng đầu trong doanh nghiệp đã tham gia vào các buổi hội thảo đắm chìm, được huấn luyện 1-1 sát sao, đến thăm các công ty cùng ngành và công ty công nghệ để hiểu cách họ làm việc, và thường xuyên tham gia các mô-đun học tập theo yêu cầu được tuyển chọn kỹ lưỡng. Mỗi yếu tố của chương trình đều được neo vào các vấn đề chuyển đổi lĩnh vực thực tế và các trường hợp sử dụng AI gắn với kết quả tài chính, điều này củng cố kỳ vọng rằng các nhà lãnh đạo phải thúc đẩy giá trị, làm gương cho các thực hành thuần AI, và nuôi dưỡng sự cộng tác liên doanh nghiệp.</w:t>
        <w:br/>
        <w:t>Thông qua chương trình này, các nhà lãnh đạo đã học được những gì cần thiết để giải quyết các vấn đề kinh doanh bằng công nghệ. Chương trình đã dẫn đến sự gia tăng đáng kể và có thể đo lường được về sự tự tin, và khả năng dẫn dắt thành công quá trình chuyển đổi kinh doanh của họ bằng AI.</w:t>
        <w:br/>
        <w:t>Ngay cả với tất cả những khoản đầu tư cần thiết để nâng cao kỹ năng cho đội ngũ lãnh đạo, thực tế phũ phàng là nhiều giám đốc điều hành vẫn chưa sẵn sàng cho hành trình này. Nhìn lại các cuộc chuyển đổi Công nghệ &amp; AI đã trưởng thành trong ngành ngân hàng và bán lẻ, chẳng hạn, khoảng 30% trong số 300 nhà lãnh đạo hàng đầu thường sẽ cần một sự thay đổi nhân sự lãnh đạo theo hướng ưu tiên những giám đốc điều hành phù hợp hơn với việc tiếp nhận các năng lực được tái cấu trúc.</w:t>
        <w:br/>
        <w:t>Cuối cùng, nếu bạn không thực hiện những thay đổi rõ ràng đối với các ưu đãi quản lý và tiêu chí thăng chức cho các nhà lãnh đạo của mình, bạn sẽ liên tục phải chiến đấu trong một trận chiến gian nan. Ở nhiều công ty, việc đưa ra những loại ưu đãi đúng đắn bắt đầu bằng việc gắn kết các mục tiêu quản lý điều hành với những mục tiêu mà các nhà lãnh đạo công nghệ có, và gắn chúng với các kết quả chuyển đổi Công nghệ &amp; AI trong lĩnh vực của họ.</w:t>
        <w:br/>
        <w:br/>
      </w:r>
      <w:r>
        <w:rPr>
          <w:b/>
          <w:i/>
        </w:rPr>
        <w:t>Tư duy thay đổi nhanh nhất khi các nhà lãnh đạo thay đổi những gì họ thưởng</w:t>
      </w:r>
      <w:r>
        <w:rPr>
          <w:b/>
          <w:i w:val="0"/>
        </w:rPr>
        <w:t>.</w:t>
      </w:r>
      <w:r>
        <w:rPr>
          <w:b w:val="0"/>
          <w:i w:val="0"/>
        </w:rPr>
        <w:t xml:space="preserve"> </w:t>
        <w:br/>
        <w:t>Chúng tôi đã thấy các công ty chỉ thăng chức cho những giám đốc điều hành thể hiện sự hiểu biết sâu sắc về nhu cầu và điểm đau của khách hàng, cùng sự tập trung không ngừng vào việc đo lường và cải thiện sự hài lòng của khách hàng. Những công ty khác nhấn mạnh tầm quan trọng của sự cộng tác liên chức năng được đánh giá thông qua phản hồi đồng nghiệp 360 độ.</w:t>
      </w:r>
    </w:p>
    <w:p>
      <w:pPr>
        <w:spacing w:after="80"/>
        <w:ind w:left="360"/>
      </w:pPr>
      <w:r>
        <w:t xml:space="preserve">2. </w:t>
      </w:r>
      <w:r>
        <w:rPr>
          <w:b/>
          <w:i w:val="0"/>
        </w:rPr>
        <w:t>Tạo ra những ngọn hải đăng để mang lại giá trị và cung cấp cơ hội học hỏi.</w:t>
      </w:r>
      <w:r>
        <w:rPr>
          <w:b w:val="0"/>
          <w:i w:val="0"/>
        </w:rPr>
        <w:t xml:space="preserve"> Không gì thay đổi văn hóa nhanh hơn việc để mọi người đưa những thực hành mới vào thực tiễn, trong trường hợp này là làm việc để chuyển đổi một lĩnh vực kinh doanh bằng công nghệ. Đó là lý do tại sao việc tạo ra những ngọn hải đăng—những sáng kiến quy mô nhỏ nhưng quan trọng—lại có giá trị đến vậy. Công việc thực hành này giúp giải ảo "công nghệ" và xây dựng sự tự tin đến mức mọi người tin rằng "chúng ta có thể làm được điều này!". Chúng tôi gọi nó là ngọn hải đăng vì nó soi sáng những gì có thể làm được.</w:t>
      </w:r>
    </w:p>
    <w:p>
      <w:pPr>
        <w:spacing w:after="80"/>
        <w:ind w:left="360"/>
      </w:pPr>
      <w:r>
        <w:t xml:space="preserve">3. </w:t>
      </w:r>
      <w:r>
        <w:rPr>
          <w:b/>
          <w:i w:val="0"/>
        </w:rPr>
        <w:t>Xây dựng các chương trình học tập rộng khắp có thể mở rộng quy mô.</w:t>
      </w:r>
      <w:r>
        <w:rPr>
          <w:b w:val="0"/>
          <w:i w:val="0"/>
        </w:rPr>
        <w:t xml:space="preserve"> Để đưa phần lớn tổ chức cùng tham gia hành trình, nhiều công ty phát triển các chương trình đào tạo chuyên biệt cho nhiều cấp độ của tổ chức: đội ngũ lãnh đạo điều hành, các nhà lãnh đạo lĩnh vực, những người thực hành trong đội giải pháp, người dùng cốt lõi, và toàn bộ lực lượng lao động nói chung.</w:t>
        <w:br/>
        <w:t>Những chương trình học tập như vậy thường mang hình thức đầu tư vào một "học viện" doanh nghiệp như là động cơ để phát triển và cung cấp các chương trình giảng dạy và hành trình học tập được thiết kế riêng nhằm xây dựng nhận thức, kỹ năng và hành vi cần thiết trên toàn tổ chức.</w:t>
        <w:br/>
        <w:t>Bài học quan trọng nhất của chúng tôi từ các chương trình học tập rộng khắp là làm cho chúng phù hợp và dễ mở rộng quy mô. Chúng tôi quá thường xuyên thấy các công ty bắt đầu với những kế hoạch đầy tham vọng rồi sau đó từ bỏ chúng vì sự phức tạp trong thực thi. Tương tự như vậy, đừng dừng lại ở việc khởi động các chương trình kỹ năng. Quá nhiều công ty chỉ triển khai các chương trình, và coi đó là thành công. Những công ty tốt nhất đánh giá xem liệu những chương trình này có tạo ra sự thay đổi thực sự về kỹ năng và hành vi mong muốn theo thời gian hay không.</w:t>
        <w:br/>
        <w:br/>
        <w:br/>
        <w:br/>
        <w:br/>
        <w:t xml:space="preserve"> NGHIÊN CỨU TÌNH HUỐNG</w:t>
        <w:br/>
        <w:br/>
        <w:t>Mở rộng quy mô văn hóa thông qua học tập thể chế</w:t>
        <w:br/>
        <w:t>DBS đã có thể mở rộng quy mô giá trị mà mình tạo ra bằng các giải pháp kỹ thuật số và AI thông qua việc đầu tư vào một chương trình học tập thể chế để xây dựng một loạt kỹ năng cần thiết. Một trong số đó là một lộ trình học tập dựa trên mô-đun có tên "DigiFy," cho phép nhân viên hiểu và áp dụng các khái niệm như cách làm việc linh hoạt (agile), dữ liệu lớn, tư duy hành trình, cũng như các công nghệ kỹ thuật số.</w:t>
        <w:br/>
        <w:t>"DigiFy" đã trang bị cho toàn bộ tổ chức những kỹ năng kỹ thuật số nền tảng và giúp tổ chức bắt kịp với bối cảnh kỹ thuật số đang phát triển nhanh chóng.</w:t>
      </w:r>
    </w:p>
    <w:p>
      <w:pPr>
        <w:jc w:val="center"/>
      </w:pPr>
      <w:r>
        <w:drawing>
          <wp:inline xmlns:a="http://schemas.openxmlformats.org/drawingml/2006/main" xmlns:pic="http://schemas.openxmlformats.org/drawingml/2006/picture">
            <wp:extent cx="457200" cy="447675"/>
            <wp:docPr id="204" name="Picture 204"/>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spacing w:after="80"/>
        <w:ind w:left="360"/>
      </w:pPr>
      <w:r>
        <w:t xml:space="preserve">4. </w:t>
      </w:r>
      <w:r>
        <w:rPr>
          <w:b/>
          <w:i w:val="0"/>
        </w:rPr>
        <w:t>Đào tạo lại các vai trò kinh doanh then chốt.</w:t>
      </w:r>
      <w:r>
        <w:rPr>
          <w:b w:val="0"/>
          <w:i w:val="0"/>
        </w:rPr>
        <w:t xml:space="preserve"> Hãy tập trung vào các vai trò kinh doanh then chốt sẽ cần được chuyển đổi triệt để để nắm bắt giá trị. Những người này là những điểm đòn bẩy trong tổ chức của bạn, những người không chỉ tạo ra giá trị mà còn đóng vai trò là những đại sứ và người ủng hộ cho văn hóa thuần AI của bạn. Họ bao gồm các chủ sở hữu lĩnh vực, những người quản lý các quy trình công việc sẽ được tái hình dung với AI, các chuyên gia chủ đề (SME) sẽ giúp xây dựng giải pháp, và những người thực hành công nghệ sẽ phát triển và duy trì nó.</w:t>
        <w:br/>
        <w:t>Các chương trình đào tạo lại theo vai trò cụ thể đòi hỏi thời gian đáng kể—khoảng từ ba đến chín tháng—và chúng thường mang tính đặc thù theo ngành: các nhà buôn trong bán lẻ, các nhà bảo hiểm trong ngành bảo hiểm, các nhà tiếp thị sản phẩm trong ngân hàng, các nhà nông học trong nông nghiệp, các nhà hoạch định mạng lưới trong vận tải và logistics, v.v. Những vai trò này đang trải qua sự thay đổi to lớn với việc nhúng AI vào.</w:t>
        <w:br/>
        <w:t>Ví dụ, một công ty tạp hóa lớn của Mỹ đã phải đào tạo lại 400 nhà buôn của mình. Họ có hơn 20 năm kinh nghiệm bán hàng, mang lại cho họ khả năng nhận diện mẫu phi thường đối với các quyết định về danh mục hàng hóa, định giá và khuyến mãi. Nhưng họ cần những kỹ năng mới để làm công việc của mình trong một thế giới đậm đặc dữ liệu và AI.</w:t>
        <w:br/>
        <w:t>Trong khoảng thời gian sáu tháng, công ty đã đào tạo họ sử dụng một công cụ quy trình công việc tích hợp mới cho việc lập kế hoạch quảng cáo, tiếp nhận nhà cung cấp, tài trợ nhà cung cấp, và thực thi khuyến mãi. Quá trình chuyển đổi nâng cao kỹ năng không phải không có thách thức. Không phải nhà buôn nào cũng có thể thực hiện được sự chuyển đổi nâng cao kỹ năng này, dẫn đến tỷ lệ thay thế nhân sự 20–30% trong hai năm. Dù vậy, công ty cũng nhận thấy việc đào tạo các nhà buôn mới với những công cụ và chương trình đào tạo mới trở nên dễ dàng hơn.</w:t>
        <w:br/>
        <w:t>Trên thực tế, tự động hóa, các công cụ mới, và việc thiết kế lại quy trình (bao gồm cả dữ liệu mới) đã đưa những nhà buôn có hiệu suất kém nhất của công ty lên tứ phân vị hàng đầu về hiệu suất. Nói cách khác, công nghệ mới có thể nâng hiệu suất của bất kỳ nhà buôn nào lên mức của những người giỏi nhất với hơn 20 năm kinh nghiệm.</w:t>
      </w:r>
    </w:p>
    <w:p>
      <w:pPr>
        <w:spacing w:after="80"/>
        <w:ind w:left="360"/>
      </w:pPr>
      <w:r>
        <w:t xml:space="preserve">5. </w:t>
      </w:r>
      <w:r>
        <w:rPr>
          <w:b/>
          <w:i w:val="0"/>
        </w:rPr>
        <w:t>Xây dựng sự thông thạo AI trong toàn bộ lực lượng lao động.</w:t>
      </w:r>
      <w:r>
        <w:rPr>
          <w:b w:val="0"/>
          <w:i w:val="0"/>
        </w:rPr>
        <w:t xml:space="preserve"> Một trong những lý do GenAI đã cất cánh là vì nó đơn giản cho những người không có kiến thức kỹ thuật nào sử dụng. Sự đơn giản đó có nghĩa là gần như bất kỳ ai trong một tổ chức đều có thể sử dụng nó. Khi các công cụ GenAI và các tác nhân AI trở nên tinh vi hơn và dễ sử dụng hơn, các tổ chức sẽ cần giúp trang bị cho nhân viên của mình để sử dụng chúng một cách hiệu quả.</w:t>
        <w:br/>
        <w:t>Các tổ chức có thể nâng cao sự thông thạo nền tảng của nhân viên về các chủ đề công nghệ liên quan để giúp họ phát triển tư duy học hỏi mạnh mẽ và thích nghi nhanh chóng khi công nghệ thay đổi. Những kỹ năng công nghệ cơ bản hàng đầu mà các tổ chức thành công tập trung vào bao gồm GenAI, các phương pháp linh hoạt (agile), sự thông thạo dữ liệu, và kỹ thuật. Mục tiêu của sự thông thạo không phải là "Làm thế nào để tôi sử dụng các công cụ?"; mà là "Những công nghệ này cho phép tôi làm những gì mà trước đây tôi không thể làm?"</w:t>
        <w:br/>
        <w:t>Các công ty thành công có xu hướng hợp tác với các đối tác học tập để phát triển những kỹ năng này một cách ảo thông qua các khóa học trực tiếp hoặc theo yêu cầu. Đối với các nhu cầu đặc thù của tổ chức, họ bổ sung vào các khóa học sẵn có những nội dung tùy chỉnh được đồng sáng tạo bởi các chuyên gia học tập và phát triển bên ngoài cùng các chuyên gia chủ đề nội bộ.</w:t>
        <w:br/>
        <w:t>Những nỗ lực xây dựng kỹ năng và văn hóa này chỉ là những đầu vào. Nhiều công ty cũng đã giới thiệu các khung đo lường để đánh giá liệu họ có đang tiến bộ đều đặn trong việc xây dựng các năng lực được tái cấu trúc hay không, từ hành vi lãnh đạo đến kỹ năng đến quản lý thay đổi theo thời gian. Những năng lực này là cốt lõi để phát triển một văn hóa AI và nên được đo lường ít nhất mỗi năm một lần.</w:t>
      </w:r>
    </w:p>
    <w:p>
      <w:pPr>
        <w:jc w:val="center"/>
      </w:pPr>
      <w:r>
        <w:drawing>
          <wp:inline xmlns:a="http://schemas.openxmlformats.org/drawingml/2006/main" xmlns:pic="http://schemas.openxmlformats.org/drawingml/2006/picture">
            <wp:extent cx="457200" cy="447675"/>
            <wp:docPr id="205" name="Picture 205"/>
            <wp:cNvGraphicFramePr>
              <a:graphicFrameLocks noChangeAspect="1"/>
            </wp:cNvGraphicFramePr>
            <a:graphic>
              <a:graphicData uri="http://schemas.openxmlformats.org/drawingml/2006/picture">
                <pic:pic>
                  <pic:nvPicPr>
                    <pic:cNvPr id="0" name="CASE_STUDY_blue.png"/>
                    <pic:cNvPicPr/>
                  </pic:nvPicPr>
                  <pic:blipFill>
                    <a:blip r:embed="rId134"/>
                    <a:stretch>
                      <a:fillRect/>
                    </a:stretch>
                  </pic:blipFill>
                  <pic:spPr>
                    <a:xfrm>
                      <a:off x="0" y="0"/>
                      <a:ext cx="457200" cy="447675"/>
                    </a:xfrm>
                    <a:prstGeom prst="rect"/>
                  </pic:spPr>
                </pic:pic>
              </a:graphicData>
            </a:graphic>
          </wp:inline>
        </w:drawing>
      </w:r>
    </w:p>
    <w:p>
      <w:pPr>
        <w:pStyle w:val="Heading2"/>
      </w:pPr>
      <w:r>
        <w:rPr>
          <w:rFonts w:ascii="Calibri" w:hAnsi="Calibri"/>
          <w:b/>
          <w:i w:val="0"/>
          <w:sz w:val="32"/>
        </w:rPr>
        <w:t>NGHIÊN CỨU TÌNH HUỐNG</w:t>
      </w:r>
    </w:p>
    <w:p>
      <w:pPr>
        <w:pStyle w:val="Heading3"/>
      </w:pPr>
      <w:r>
        <w:rPr>
          <w:rFonts w:ascii="Calibri" w:hAnsi="Calibri"/>
          <w:b/>
          <w:i w:val="0"/>
          <w:sz w:val="26"/>
        </w:rPr>
        <w:t>Indosat Ooredoo Hutchison tập trung vào việc xây dựng kỹ năng AI trên toàn tổ chức</w:t>
      </w:r>
    </w:p>
    <w:p>
      <w:pPr>
        <w:spacing w:after="80"/>
      </w:pPr>
      <w:r>
        <w:rPr>
          <w:b w:val="0"/>
          <w:i w:val="0"/>
        </w:rPr>
        <w:t>Vikram Sinha, CEO của nhà khai thác viễn thông có trụ sở tại Indonesia Indosat Ooredoo Hutchison (IOH), có một tầm nhìn đầy tham vọng cho công ty là trở thành một nhà mạng thuần AI.</w:t>
      </w:r>
    </w:p>
    <w:p>
      <w:pPr>
        <w:spacing w:after="80"/>
      </w:pPr>
      <w:r>
        <w:rPr>
          <w:b w:val="0"/>
          <w:i w:val="0"/>
        </w:rPr>
        <w:t>Công ty đã khởi động một hành trình chuyển đổi kéo dài ba năm có tên ACE, viết tắt của "AI Capability Excellence" (Xuất sắc về Năng lực AI), được thúc đẩy bởi niềm tin mạnh mẽ của Vikram rằng việc xây dựng năng lực là then chốt để IOH nổi lên như một tổ chức thực sự thuần AI. Để AI tạo ra loại giá trị mà ông hình dung, nhân viên trên toàn tổ chức sẽ phải tích hợp AI vào công việc hằng ngày của họ.</w:t>
      </w:r>
    </w:p>
    <w:p>
      <w:pPr>
        <w:spacing w:after="80"/>
      </w:pPr>
      <w:r>
        <w:rPr>
          <w:b w:val="0"/>
          <w:i w:val="0"/>
        </w:rPr>
        <w:t>Niềm tin này đã thúc đẩy IOH bắt tay vào một chương trình xây dựng năng lực có tên "ACE Stars" để nhúng kỹ năng AI vào tất cả nhân viên trong tổ chức.</w:t>
      </w:r>
    </w:p>
    <w:p>
      <w:pPr>
        <w:spacing w:after="80"/>
      </w:pPr>
      <w:r>
        <w:rPr>
          <w:b w:val="0"/>
          <w:i w:val="0"/>
        </w:rPr>
        <w:t>IOH đã phát triển các hành trình học tập về AI được thiết kế riêng cho năm nhóm: ban lãnh đạo cấp cao (15 nhà lãnh đạo hàng đầu), các EVP và SVP tạo thành 100 nhà lãnh đạo hàng đầu tiếp theo, những người phiên dịch giữa kinh doanh và AI, nhân tài công nghệ AI cốt lõi, và nhân viên nói chung.</w:t>
      </w:r>
    </w:p>
    <w:p>
      <w:pPr>
        <w:spacing w:after="80"/>
      </w:pPr>
      <w:r>
        <w:rPr>
          <w:b w:val="0"/>
          <w:i w:val="0"/>
        </w:rPr>
        <w:t>Ban lãnh đạo cấp cao (C-suite) đã cam kết dành một ngày rưỡi mỗi quý để cùng nhau ngồi lại đánh giá tiến độ so với các mục tiêu tham vọng của mình, đầu tư vào việc học thực hành về cách làm việc và tích hợp các công cụ AI mạnh mẽ, hiểu rõ hơn cách họ có thể hỗ trợ đội ngũ của mình áp dụng AI, và cam kết thực hiện làn sóng thay đổi tiếp theo có thể tăng tốc giá trị từ AI. Tương tự, 100 nhà lãnh đạo hàng đầu cũng được triệu tập cho một khóa đắm mình vào AI (AI immersion) hàng quý.</w:t>
      </w:r>
    </w:p>
    <w:p>
      <w:pPr>
        <w:spacing w:after="80"/>
      </w:pPr>
      <w:r>
        <w:rPr>
          <w:b w:val="0"/>
          <w:i w:val="0"/>
        </w:rPr>
        <w:t>IOH cũng tận dụng đội ngũ giảng viên và chương trình giảng dạy của các đối tác khác nhau để thúc đẩy một chương trình đào tạo và cấp chứng chỉ cho đội ngũ nhân tài công nghệ AI cốt lõi của mình (các nhà khoa học dữ liệu và kỹ sư dữ liệu).</w:t>
      </w:r>
    </w:p>
    <w:p>
      <w:pPr>
        <w:spacing w:after="80"/>
      </w:pPr>
      <w:r>
        <w:rPr>
          <w:b w:val="0"/>
          <w:i w:val="0"/>
        </w:rPr>
        <w:t>Công ty cũng nhắm đến các quản lý đầy triển vọng trên khắp các chức năng kinh doanh để đào tạo họ thành những người phiên dịch giữa kinh doanh và AI (business–AI translators), nhằm cải thiện sự phối hợp giữa người dùng kinh doanh và nhân tài công nghệ.</w:t>
      </w:r>
    </w:p>
    <w:p>
      <w:pPr>
        <w:spacing w:after="80"/>
      </w:pPr>
      <w:r>
        <w:rPr>
          <w:b w:val="0"/>
          <w:i w:val="0"/>
        </w:rPr>
        <w:t>Là một phần của chương trình này, đội ngũ IOH đã biên soạn một chương trình học trực tuyến với 180 mô-đun có sẵn, trong đó có năm mô-đun bắt buộc đối với tất cả nhân viên để học những kiến thức AI thiết yếu. Ngoài ra, các nhà lãnh đạo còn tổ chức các buổi hội thảo "skill hacks" để tạo động lực cho nhân viên thông qua việc học thực hành về các chủ đề phổ biến như kỹ thuật gợi ý (prompt engineering).</w:t>
      </w:r>
    </w:p>
    <w:p>
      <w:pPr>
        <w:spacing w:after="80"/>
      </w:pPr>
      <w:r>
        <w:rPr>
          <w:b w:val="0"/>
          <w:i w:val="0"/>
        </w:rPr>
        <w:t>Để bổ sung cho việc xây dựng năng lực, IOH đã khởi động một loạt sáng kiến, chẳng hạn như "ACE Champions" (để ghi nhận, khen thưởng và huy động các nhân tố thay đổi trên khắp doanh nghiệp), "ACE Journal" (một bản tin hàng tháng để liên tục giao tiếp với tất cả nhân viên về các vấn đề liên quan đến AI), và "Innovation Hub" nhằm khuyến khích các ý tưởng liên quan đến AI từ dưới lên trên khắp tổ chức.</w:t>
      </w:r>
    </w:p>
    <w:p>
      <w:pPr>
        <w:spacing w:after="80"/>
      </w:pPr>
      <w:r>
        <w:rPr>
          <w:b w:val="0"/>
          <w:i w:val="0"/>
        </w:rPr>
        <w:t>Một yếu tố then chốt tạo nên hiệu quả của nỗ lực này là các nhà lãnh đạo cấp cao (C-suite) phải chịu trách nhiệm thúc đẩy các chương trình xây dựng năng lực trong lĩnh vực của mình. Điều đó bao gồm việc dành thời gian theo dõi mức độ áp dụng trên khắp các chức năng của họ và giá trị thu được. Đến cuối năm đầu tiên, IOH đã đạt tỷ lệ áp dụng AI khoảng 83% trên toàn tổ chức, và cấp chứng chỉ cho hơn 50% nhân viên.</w:t>
      </w:r>
    </w:p>
    <w:p>
      <w:pPr>
        <w:spacing w:after="80"/>
      </w:pPr>
      <w:r>
        <w:rPr>
          <w:b w:val="0"/>
          <w:i w:val="0"/>
        </w:rPr>
        <w:t>Nhờ sự tập trung toàn doanh nghiệp vào việc xây dựng năng lực, IOH đã xoay xở khởi động hơn 70 sáng kiến AI trên khắp các lĩnh vực kinh doanh (cá nhân hóa siêu cấp cho B2C, mạng lưới, phân phối siêu địa phương hóa, bán hàng B2B, và các chức năng hỗ trợ như HR, tài chính, mua sắm).</w:t>
      </w:r>
    </w:p>
    <w:p>
      <w:pPr>
        <w:spacing w:after="80"/>
      </w:pPr>
      <w:r>
        <w:rPr>
          <w:b w:val="0"/>
          <w:i w:val="0"/>
        </w:rPr>
        <w:t>IOH đã xây dựng hơn 30 mô hình AI để cho phép một loạt các tương tác được cá nhân hóa cho tệp khách hàng khoảng 100 triệu người của mình, mang lại mức tăng đáng kể về doanh thu trung bình trên mỗi người dùng.</w:t>
      </w:r>
    </w:p>
    <w:p>
      <w:pPr>
        <w:spacing w:after="80"/>
      </w:pPr>
      <w:r>
        <w:rPr>
          <w:b w:val="0"/>
          <w:i w:val="0"/>
        </w:rPr>
        <w:t>Những kết quả đáng khích lệ này đã củng cố niềm tin của Vikram và ban lãnh đạo rằng tham vọng của IOH trở thành một công ty viễn thông thuần AI (AI-native telco) là một canh bạc dài hạn đúng đắn.</w:t>
      </w:r>
    </w:p>
    <w:p>
      <w:pPr>
        <w:jc w:val="center"/>
      </w:pPr>
      <w:r>
        <w:drawing>
          <wp:inline xmlns:a="http://schemas.openxmlformats.org/drawingml/2006/main" xmlns:pic="http://schemas.openxmlformats.org/drawingml/2006/picture">
            <wp:extent cx="1905000" cy="95250"/>
            <wp:docPr id="206" name="Picture 206"/>
            <wp:cNvGraphicFramePr>
              <a:graphicFrameLocks noChangeAspect="1"/>
            </wp:cNvGraphicFramePr>
            <a:graphic>
              <a:graphicData uri="http://schemas.openxmlformats.org/drawingml/2006/picture">
                <pic:pic>
                  <pic:nvPicPr>
                    <pic:cNvPr id="0" name="CHAPTEREND_RULE_blue.png"/>
                    <pic:cNvPicPr/>
                  </pic:nvPicPr>
                  <pic:blipFill>
                    <a:blip r:embed="rId137"/>
                    <a:stretch>
                      <a:fillRect/>
                    </a:stretch>
                  </pic:blipFill>
                  <pic:spPr>
                    <a:xfrm>
                      <a:off x="0" y="0"/>
                      <a:ext cx="1905000" cy="95250"/>
                    </a:xfrm>
                    <a:prstGeom prst="rect"/>
                  </pic:spPr>
                </pic:pic>
              </a:graphicData>
            </a:graphic>
          </wp:inline>
        </w:drawing>
      </w:r>
    </w:p>
    <w:p>
      <w:pPr>
        <w:spacing w:after="80"/>
      </w:pPr>
      <w:r>
        <w:rPr>
          <w:b w:val="0"/>
          <w:i w:val="0"/>
        </w:rPr>
        <w:t>Chỉ nâng cao kỹ năng thôi thì không thể mang lại sự chuyển đổi. Nhưng nếu làm tốt, nó đặt nền móng cho một nền văn hóa đổi mới hơn, trao quyền nhiều hơn và thông thạo công nghệ hơn bén rễ.</w:t>
      </w:r>
    </w:p>
    <w:p>
      <w:pPr>
        <w:spacing w:after="80"/>
      </w:pPr>
      <w:r>
        <w:rPr>
          <w:b w:val="0"/>
          <w:i w:val="0"/>
        </w:rPr>
        <w:t>Một nền văn hóa mới xuất hiện như một sản phẩm phụ của việc xây dựng sáu năng lực được tái cấu trúc (rewired capabilities) mà chúng tôi đề cập trong cuốn sách này, ngày này qua ngày khác, quyết định này qua quyết định khác. DBS Bank, Freeport-McMoRan, LATAM Airlines, Toyota và các công ty vững mạnh khác được giới thiệu trong cuốn sách này là những bằng chứng thuyết phục cho thấy điều đó diễn ra như thế nào. Điểm chung của những công ty này là cam kết xây dựng các năng lực được tái cấu trúc này trong dài hạn và mang lại tác động thay đổi cuộc chơi.</w:t>
      </w:r>
    </w:p>
    <w:p>
      <w:pPr>
        <w:pStyle w:val="Heading2"/>
      </w:pPr>
      <w:r>
        <w:rPr>
          <w:rFonts w:ascii="Calibri" w:hAnsi="Calibri"/>
          <w:b/>
          <w:i w:val="0"/>
          <w:sz w:val="32"/>
        </w:rPr>
        <w:t>THỜI GIAN ĐỂ SUY NGẪM</w:t>
      </w:r>
    </w:p>
    <w:p>
      <w:pPr>
        <w:pStyle w:val="Heading2"/>
      </w:pPr>
      <w:r>
        <w:rPr>
          <w:rFonts w:ascii="Calibri" w:hAnsi="Calibri"/>
          <w:b/>
          <w:i w:val="0"/>
          <w:sz w:val="32"/>
        </w:rPr>
        <w:t>Những điểm nổi bật</w:t>
      </w:r>
    </w:p>
    <w:p>
      <w:pPr>
        <w:spacing w:after="80"/>
      </w:pPr>
      <w:r>
        <w:rPr>
          <w:b w:val="0"/>
          <w:i w:val="0"/>
        </w:rPr>
        <w:t>Hãy dành một chút thời gian để tự nhắc mình về những điểm quan trọng nhất của phần này, và đánh giá xem bạn đang ở đâu trên hành trình.</w:t>
      </w:r>
    </w:p>
    <w:p>
      <w:pPr>
        <w:spacing w:after="80"/>
      </w:pPr>
      <w:r>
        <w:rPr>
          <w:b/>
          <w:i w:val="0"/>
        </w:rPr>
        <w:t>Quy mô (scale) là nơi tập trung phần lớn giá trị—hãy đối xử với nó đúng như vậy.</w:t>
      </w:r>
      <w:r>
        <w:rPr>
          <w:b w:val="0"/>
          <w:i w:val="0"/>
        </w:rPr>
        <w:t xml:space="preserve"> Phần lớn áp đảo giá trị từ một cuộc chuyển đổi Công nghệ &amp; AI đến từ việc mở rộng quy mô trong nội bộ và xuyên suốt các lĩnh vực. Hãy xây dựng để mở rộng quy mô ngay từ đầu bằng cách đưa người dùng cuối vào quá trình và nói rõ các yếu tố kinh tế của việc mở rộng quy mô là gì.</w:t>
      </w:r>
    </w:p>
    <w:p>
      <w:pPr>
        <w:spacing w:after="80"/>
      </w:pPr>
      <w:r>
        <w:rPr>
          <w:b/>
          <w:i w:val="0"/>
        </w:rPr>
        <w:t>Để xây dựng các giải pháp được đón nhận, hãy xây dựng chúng cùng với người dùng cuối của bạn.</w:t>
      </w:r>
      <w:r>
        <w:rPr>
          <w:b w:val="0"/>
          <w:i w:val="0"/>
        </w:rPr>
        <w:t xml:space="preserve"> Việc xây dựng các giải pháp, đặc biệt là với GenAI và các tác nhân AI (AI agents), mà người dùng tin tưởng đòi hỏi bạn phải đưa những người dùng đó vào quá trình phát triển. Chuyên môn, kiến thức lĩnh vực và hiểu biết của họ về môi trường làm việc cần được đưa vào quá trình phát triển giải pháp ngay từ đầu.</w:t>
      </w:r>
    </w:p>
    <w:p>
      <w:pPr>
        <w:spacing w:after="80"/>
      </w:pPr>
      <w:r>
        <w:rPr>
          <w:b/>
          <w:i w:val="0"/>
        </w:rPr>
        <w:t>Chỉ giải pháp hoạt động tốt thôi là chưa đủ; toàn bộ quy trình mà nó là một phần trong đó cũng cần phải hoạt động tốt.</w:t>
      </w:r>
      <w:r>
        <w:rPr>
          <w:b w:val="0"/>
          <w:i w:val="0"/>
        </w:rPr>
        <w:t xml:space="preserve"> Hãy hiểu rõ các mối phụ thuộc lẫn nhau liên quan đến chính giải pháp đó và những ảnh hưởng của chúng đối với cách toàn bộ quy trình sẽ vận hành. Đổi mới ở cấp độ hệ thống này là việc làm việc với tất cả các chức năng thượng nguồn và hạ nguồn có liên quan trong toàn bộ doanh nghiệp.</w:t>
      </w:r>
    </w:p>
    <w:p>
      <w:pPr>
        <w:spacing w:after="80"/>
      </w:pPr>
      <w:r>
        <w:rPr>
          <w:b/>
          <w:i w:val="0"/>
        </w:rPr>
        <w:t>Mở rộng quy mô thành công dựa vào việc nhân rộng các giải pháp thành công.</w:t>
      </w:r>
      <w:r>
        <w:rPr>
          <w:b w:val="0"/>
          <w:i w:val="0"/>
        </w:rPr>
        <w:t xml:space="preserve"> Chìa khóa để mở rộng quy mô là làm cho những giải pháp bạn xây dựng có thể dễ dàng được tái sử dụng ở càng nhiều nơi càng tốt. Các giải pháp công nghệ &amp; AI phải được đóng gói thành một bộ mô-đun hoặc tài sản, giúp việc điều chỉnh giải pháp thích ứng với những khác biệt không thể tránh khỏi ở các bối cảnh địa phương khác nhau (khu vực địa lý, chức năng, nhóm, v.v.) trở nên dễ dàng hơn.</w:t>
      </w:r>
    </w:p>
    <w:p>
      <w:pPr>
        <w:spacing w:after="80"/>
      </w:pPr>
      <w:r>
        <w:rPr>
          <w:b/>
          <w:i w:val="0"/>
        </w:rPr>
        <w:t>Đo lường và theo dõi.</w:t>
      </w:r>
      <w:r>
        <w:rPr>
          <w:b w:val="0"/>
          <w:i w:val="0"/>
        </w:rPr>
        <w:t xml:space="preserve"> Bằng cách trang bị công cụ đo lường cho các quy trình của bạn để theo dõi KPI và OKR, bạn sẽ mở khóa được tốc độ đổi mới và xây dựng niềm tin vào giá trị được tạo ra.</w:t>
      </w:r>
    </w:p>
    <w:p>
      <w:pPr>
        <w:spacing w:after="80"/>
      </w:pPr>
      <w:r>
        <w:rPr>
          <w:b/>
          <w:i w:val="0"/>
        </w:rPr>
        <w:t>Hãy rõ ràng về việc điều này đang tốn của bạn bao nhiêu, và vì sao.</w:t>
      </w:r>
      <w:r>
        <w:rPr>
          <w:b w:val="0"/>
          <w:i w:val="0"/>
        </w:rPr>
        <w:t xml:space="preserve"> Việc nhân rộng giải pháp, sự trôi dạt và bảo trì mô hình, phân bổ nhân tài, và các chi phí vận hành ẩn có thể nhanh chóng vượt khỏi tầm kiểm soát và bóp nghẹt đà tiến. Chi phí cần được đo lường và theo dõi.</w:t>
      </w:r>
    </w:p>
    <w:p>
      <w:pPr>
        <w:spacing w:after="80"/>
      </w:pPr>
      <w:r>
        <w:rPr>
          <w:b/>
          <w:i w:val="0"/>
        </w:rPr>
        <w:t>Giành được niềm tin cho bạn quyền triển khai các giải pháp AI.</w:t>
      </w:r>
      <w:r>
        <w:rPr>
          <w:b w:val="0"/>
          <w:i w:val="0"/>
        </w:rPr>
        <w:t xml:space="preserve"> Niềm tin số là việc bảo vệ dữ liệu khách hàng, thực thi các biện pháp an ninh mạng hiệu quả, cung cấp các sản phẩm và dịch vụ được hỗ trợ bởi AI hoạt động đúng như chúng phải hoạt động, mang lại sự minh bạch, và tạo ra sự đánh đổi đôi bên cùng có lợi giữa thông tin khách hàng được chia sẻ và giá trị được cung cấp. Niềm tin số là một loại tiền tệ thiết yếu.</w:t>
      </w:r>
    </w:p>
    <w:p>
      <w:pPr>
        <w:spacing w:after="80"/>
      </w:pPr>
      <w:r>
        <w:rPr>
          <w:b/>
          <w:i w:val="0"/>
        </w:rPr>
        <w:t>Văn hóa là phần thưởng.</w:t>
      </w:r>
      <w:r>
        <w:rPr>
          <w:b w:val="0"/>
          <w:i w:val="0"/>
        </w:rPr>
        <w:t xml:space="preserve"> Để giành được phần thưởng này, bạn cần đầu tư vào việc xây dựng cả sáu năng lực được trình bày chi tiết trong cuốn sách này. Để khơi mào cho hành trình, hãy đầu tư ngay từ đầu vào việc nâng cao kỹ năng một cách nghiêm túc và các động lực đúng đắn.</w:t>
      </w:r>
    </w:p>
    <w:p>
      <w:pPr>
        <w:pStyle w:val="Heading2"/>
      </w:pPr>
      <w:r>
        <w:rPr>
          <w:rFonts w:ascii="Calibri" w:hAnsi="Calibri"/>
          <w:b/>
          <w:i w:val="0"/>
          <w:sz w:val="32"/>
        </w:rPr>
        <w:t>Bạn đang ở đâu trên hành trình này?</w:t>
      </w:r>
    </w:p>
    <w:p>
      <w:pPr>
        <w:spacing w:after="80"/>
      </w:pPr>
      <w:r>
        <w:rPr>
          <w:b w:val="0"/>
          <w:i w:val="0"/>
        </w:rPr>
        <w:t>Những câu hỏi này có thể giúp làm rõ bạn đang ở đâu trên hành trình của mình so với những đơn vị dẫn đầu. Hãy quét mã QR ở cuối nếu bạn muốn làm bài đánh giá trực tuyến:</w:t>
      </w:r>
    </w:p>
    <w:p>
      <w:pPr>
        <w:spacing w:after="80"/>
      </w:pPr>
      <w:r>
        <w:rPr>
          <w:b/>
          <w:i w:val="0"/>
        </w:rPr>
        <w:t>Câu 1. Bạn đánh giá thế nào về khả năng mở rộng quy mô giá trị từ các giải pháp AI của công ty mình?</w:t>
      </w:r>
    </w:p>
    <w:p>
      <w:pPr>
        <w:spacing w:after="80"/>
      </w:pPr>
      <w:r>
        <w:rPr>
          <w:b/>
          <w:i w:val="0"/>
        </w:rPr>
        <w:t>Dẫn đầu:</w:t>
      </w:r>
      <w:r>
        <w:rPr>
          <w:b w:val="0"/>
          <w:i w:val="0"/>
        </w:rPr>
        <w:t xml:space="preserve"> Chúng tôi có thành tích mạnh mẽ trong việc mở rộng quy mô các khoản đầu tư AI. Mọi giải pháp đều được xây dựng để có thể dễ dàng tái sử dụng, điều chỉnh và mở rộng trên toàn doanh nghiệp, và chúng liên tục tạo ra tác động đáng kể.</w:t>
      </w:r>
    </w:p>
    <w:p>
      <w:pPr>
        <w:spacing w:after="80"/>
      </w:pPr>
      <w:r>
        <w:rPr>
          <w:b/>
          <w:i w:val="0"/>
        </w:rPr>
        <w:t>Câu 2. Công ty bạn thiết lập, theo dõi và truyền đạt tiến độ cũng như giá trị từ các chuyển đổi lĩnh vực kinh doanh hiệu quả đến mức nào?</w:t>
      </w:r>
    </w:p>
    <w:p>
      <w:pPr>
        <w:spacing w:after="80"/>
      </w:pPr>
      <w:r>
        <w:rPr>
          <w:b/>
          <w:i w:val="0"/>
        </w:rPr>
        <w:t>Dẫn đầu:</w:t>
      </w:r>
      <w:r>
        <w:rPr>
          <w:b w:val="0"/>
          <w:i w:val="0"/>
        </w:rPr>
        <w:t xml:space="preserve"> Chúng tôi trang bị công cụ đo lường cho các quy trình chuyển đổi để nắm bắt KPI và OKR. Các KPI và OKR được liên kết rõ ràng với các mục tiêu tạo ra giá trị. Các nhà lãnh đạo không chỉ coi những chỉ số này là "báo cáo"; họ dùng chúng để nhận diện vấn đề và chủ động can thiệp để giải quyết.</w:t>
      </w:r>
    </w:p>
    <w:p>
      <w:pPr>
        <w:spacing w:after="80"/>
      </w:pPr>
      <w:r>
        <w:rPr>
          <w:b/>
          <w:i w:val="0"/>
        </w:rPr>
        <w:t>Câu 3. Tổ chức của bạn nuôi dưỡng niềm tin và xây dựng sự tin cậy của khách hàng trong việc sử dụng các giải pháp AI như thế nào?</w:t>
      </w:r>
    </w:p>
    <w:p>
      <w:pPr>
        <w:spacing w:after="80"/>
      </w:pPr>
      <w:r>
        <w:rPr>
          <w:b/>
          <w:i w:val="0"/>
        </w:rPr>
        <w:t>Dẫn đầu:</w:t>
      </w:r>
      <w:r>
        <w:rPr>
          <w:b w:val="0"/>
          <w:i w:val="0"/>
        </w:rPr>
        <w:t xml:space="preserve"> Chúng tôi có các quy trình để phân loại những rủi ro mới từ AI (ví dụ: độ tin cậy của hệ thống, quyền riêng tư dữ liệu, và an ninh mạng mở rộng) và đã cập nhật các chính sách của mình. Chúng tôi đã tích hợp và tự động hóa các biện pháp kiểm soát rủi ro vào nền tảng AI của mình.</w:t>
      </w:r>
    </w:p>
    <w:p>
      <w:pPr>
        <w:jc w:val="center"/>
      </w:pPr>
      <w:r>
        <w:drawing>
          <wp:inline xmlns:a="http://schemas.openxmlformats.org/drawingml/2006/main" xmlns:pic="http://schemas.openxmlformats.org/drawingml/2006/picture">
            <wp:extent cx="1962150" cy="1981200"/>
            <wp:docPr id="207" name="Picture 207"/>
            <wp:cNvGraphicFramePr>
              <a:graphicFrameLocks noChangeAspect="1"/>
            </wp:cNvGraphicFramePr>
            <a:graphic>
              <a:graphicData uri="http://schemas.openxmlformats.org/drawingml/2006/picture">
                <pic:pic>
                  <pic:nvPicPr>
                    <pic:cNvPr id="0" name="c35qr001.png"/>
                    <pic:cNvPicPr/>
                  </pic:nvPicPr>
                  <pic:blipFill>
                    <a:blip r:embed="rId153"/>
                    <a:stretch>
                      <a:fillRect/>
                    </a:stretch>
                  </pic:blipFill>
                  <pic:spPr>
                    <a:xfrm>
                      <a:off x="0" y="0"/>
                      <a:ext cx="1962150" cy="1981200"/>
                    </a:xfrm>
                    <a:prstGeom prst="rect"/>
                  </pic:spPr>
                </pic:pic>
              </a:graphicData>
            </a:graphic>
          </wp:inline>
        </w:drawing>
      </w:r>
    </w:p>
    <w:p>
      <w:pPr>
        <w:spacing w:after="80"/>
      </w:pPr>
      <w:r>
        <w:rPr>
          <w:b/>
          <w:i w:val="0"/>
        </w:rPr>
        <w:t xml:space="preserve">Thực hiện bài đánh giá </w:t>
      </w:r>
      <w:r>
        <w:rPr>
          <w:b/>
          <w:i/>
        </w:rPr>
        <w:t>Rewired</w:t>
      </w:r>
    </w:p>
    <w:p>
      <w:pPr>
        <w:spacing w:after="80"/>
      </w:pPr>
      <w:r>
        <w:rPr>
          <w:b/>
          <w:i w:val="0"/>
        </w:rPr>
        <w:t>McKinsey.com/RewiredAssessment</w:t>
      </w:r>
    </w:p>
    <w:p>
      <w:pPr>
        <w:pStyle w:val="Heading2"/>
      </w:pPr>
      <w:r>
        <w:rPr>
          <w:rFonts w:ascii="Calibri" w:hAnsi="Calibri"/>
          <w:b/>
          <w:i w:val="0"/>
          <w:sz w:val="32"/>
        </w:rPr>
        <w:t>Ghi chú</w:t>
      </w:r>
    </w:p>
    <w:p>
      <w:pPr>
        <w:spacing w:after="80"/>
        <w:ind w:left="360"/>
      </w:pPr>
      <w:r>
        <w:t xml:space="preserve">1. </w:t>
      </w:r>
      <w:r>
        <w:rPr>
          <w:b w:val="0"/>
          <w:i w:val="0"/>
        </w:rPr>
        <w:t xml:space="preserve">1   Andrew McAfee, </w:t>
      </w:r>
      <w:r>
        <w:rPr>
          <w:b w:val="0"/>
          <w:i/>
        </w:rPr>
        <w:t>The Geek Way: The Radical Mindset That Drives Extraordinary Results,</w:t>
      </w:r>
      <w:r>
        <w:rPr>
          <w:b w:val="0"/>
          <w:i w:val="0"/>
        </w:rPr>
        <w:t xml:space="preserve"> Little, Brown and Company, ngày 14 tháng 11 năm 2023.</w:t>
      </w:r>
    </w:p>
    <w:p>
      <w:pPr>
        <w:pStyle w:val="Heading1"/>
      </w:pPr>
      <w:r>
        <w:rPr>
          <w:rFonts w:ascii="Calibri" w:hAnsi="Calibri"/>
          <w:b/>
          <w:i w:val="0"/>
          <w:sz w:val="40"/>
        </w:rPr>
        <w:t>MỤC BẢY</w:t>
      </w:r>
      <w:r>
        <w:rPr>
          <w:rFonts w:ascii="Calibri" w:hAnsi="Calibri"/>
          <w:b/>
          <w:i w:val="0"/>
          <w:sz w:val="40"/>
        </w:rPr>
      </w:r>
      <w:r>
        <w:rPr>
          <w:rFonts w:ascii="Calibri" w:hAnsi="Calibri"/>
          <w:b/>
          <w:i w:val="0"/>
          <w:sz w:val="40"/>
        </w:rPr>
        <w:t>Những câu chuyện về hành trình chuyển đổi</w:t>
      </w:r>
    </w:p>
    <w:p>
      <w:pPr>
        <w:jc w:val="center"/>
      </w:pPr>
      <w:r>
        <w:drawing>
          <wp:inline xmlns:a="http://schemas.openxmlformats.org/drawingml/2006/main" xmlns:pic="http://schemas.openxmlformats.org/drawingml/2006/picture">
            <wp:extent cx="5486400" cy="3447535"/>
            <wp:docPr id="208" name="Picture 208"/>
            <wp:cNvGraphicFramePr>
              <a:graphicFrameLocks noChangeAspect="1"/>
            </wp:cNvGraphicFramePr>
            <a:graphic>
              <a:graphicData uri="http://schemas.openxmlformats.org/drawingml/2006/picture">
                <pic:pic>
                  <pic:nvPicPr>
                    <pic:cNvPr id="0" name="p07f001.png"/>
                    <pic:cNvPicPr/>
                  </pic:nvPicPr>
                  <pic:blipFill>
                    <a:blip r:embed="rId154"/>
                    <a:stretch>
                      <a:fillRect/>
                    </a:stretch>
                  </pic:blipFill>
                  <pic:spPr>
                    <a:xfrm>
                      <a:off x="0" y="0"/>
                      <a:ext cx="5486400" cy="3447535"/>
                    </a:xfrm>
                    <a:prstGeom prst="rect"/>
                  </pic:spPr>
                </pic:pic>
              </a:graphicData>
            </a:graphic>
          </wp:inline>
        </w:drawing>
      </w:r>
    </w:p>
    <w:p>
      <w:pPr>
        <w:pStyle w:val="Heading2"/>
      </w:pPr>
      <w:r>
        <w:rPr>
          <w:rFonts w:ascii="Calibri" w:hAnsi="Calibri"/>
          <w:b/>
          <w:i w:val="0"/>
          <w:sz w:val="32"/>
        </w:rPr>
        <w:t>Bốn công ty đang thúc đẩy chuyển đổi Công nghệ &amp; AI thành công như thế nào</w:t>
      </w:r>
    </w:p>
    <w:p>
      <w:pPr>
        <w:spacing w:after="80"/>
      </w:pPr>
      <w:r>
        <w:rPr>
          <w:b w:val="0"/>
          <w:i w:val="0"/>
        </w:rPr>
        <w:t>Trong cuốn sách này, chúng ta đã khám phá cách phát triển sáu năng lực cốt lõi mà bạn cần để thành công với chuyển đổi Công nghệ &amp; AI: phát triển lộ trình, nhân tài, mô hình vận hành, công nghệ, dữ liệu, và áp dụng và mở rộng quy mô. Mỗi năng lực đều quan trọng, và như chúng tôi đã nói ở Chương 1, bạn không thể chỉ làm một vài trong số đó; bạn cần làm tất cả nếu muốn cạnh tranh vượt trội.</w:t>
      </w:r>
    </w:p>
    <w:p>
      <w:pPr>
        <w:spacing w:after="80"/>
      </w:pPr>
      <w:r>
        <w:rPr>
          <w:b w:val="0"/>
          <w:i w:val="0"/>
        </w:rPr>
        <w:t>Lý do bạn cần giải quyết cả "Big Six" (Sáu năng lực lớn) như một tổng thể là vì bạn không thể tiến bộ nhiều ở bất kỳ năng lực nào nếu thiếu những năng lực còn lại. Sự phụ thuộc lẫn nhau quá mạnh mẽ. Bạn không thể kỳ vọng nhân tài Công nghệ &amp; AI hàng đầu phát huy hiệu quả trừ khi họ được làm việc trong một mô hình vận hành cho họ đủ quyền tự chủ và sự nhanh nhạy; tương tự, bạn không thể kỳ vọng một mô hình AI tuyệt vời mang lại giá trị nếu doanh nghiệp không áp dụng và mở rộng quy mô nó.</w:t>
      </w:r>
    </w:p>
    <w:p>
      <w:pPr>
        <w:spacing w:after="80"/>
      </w:pPr>
      <w:r>
        <w:rPr>
          <w:b w:val="0"/>
          <w:i w:val="0"/>
        </w:rPr>
        <w:t>Cuốn sách này đã cho thấy thành công gắn liền với việc xây dựng Sáu năng lực lớn đó, nhưng có nhiều con đường để làm điều đó. Mỗi công ty là duy nhất, cũng như bối cảnh chuyển đổi của họ, nên không có gì ngạc nhiên khi hành trình của họ cũng độc đáo. Trong phần cuối này, chúng tôi cho thấy bốn tổ chức khác nhau đã dẫn dắt hành trình chuyển đổi Công nghệ &amp; AI của riêng mình như thế nào.</w:t>
      </w:r>
    </w:p>
    <w:p>
      <w:pPr>
        <w:spacing w:after="80"/>
      </w:pPr>
      <w:r>
        <w:rPr>
          <w:b w:val="0"/>
          <w:i w:val="0"/>
        </w:rPr>
        <w:t>Bốn công ty này đã đạt được tác động thay đổi cuộc chơi với Công nghệ &amp; AI. Họ đều là những công ty trong các ngành công nghiệp lâu đời, điều này cho thấy bạn hoàn toàn có thể dẫn đầu trong thế giới AI này nếu bạn có đủ can đảm để thay đổi và tái cấu trúc chính mình.</w:t>
      </w:r>
    </w:p>
    <w:p>
      <w:pPr>
        <w:spacing w:after="80"/>
      </w:pPr>
      <w:r>
        <w:rPr>
          <w:b w:val="0"/>
          <w:i w:val="0"/>
        </w:rPr>
        <w:t>Chúng ta sẽ ghé thăm lại hai công ty từ ấn bản đầu tiên: công ty khai khoáng Freeport-McMoRan, và DBS Bank, tập đoàn ngân hàng và dịch vụ tài chính đa quốc gia của Singapore. Thật thú vị khi thấy "mùa thứ hai" của họ (tiết lộ trước: họ đang làm cực kỳ tốt). Như chúng tôi đã nói từ đầu, chuyển đổi không có điểm kết thúc; đó là một hành trình không ngừng cải thiện hiệu suất bằng công nghệ. Bạn không thể nhảy thẳng đến hồi kết. Bạn cần làm những công việc khó khăn là xây dựng các năng lực có thể giúp bạn duy trì hành trình đổi mới kinh doanh.</w:t>
      </w:r>
    </w:p>
    <w:p>
      <w:pPr>
        <w:spacing w:after="80"/>
      </w:pPr>
      <w:r>
        <w:rPr>
          <w:b w:val="0"/>
          <w:i w:val="0"/>
        </w:rPr>
        <w:t>Điểm đó cũng được thể hiện rõ ràng trong câu chuyện thành công của hai công ty lần đầu xuất hiện trong ấn bản này: hãng sản xuất ô tô Toyota Motor North America và LATAM Airlines.</w:t>
      </w:r>
    </w:p>
    <w:p>
      <w:pPr>
        <w:spacing w:after="80"/>
      </w:pPr>
      <w:r>
        <w:rPr>
          <w:b w:val="0"/>
          <w:i w:val="0"/>
        </w:rPr>
        <w:t>Bạn sẽ thấy một số chủ đề chung giữa họ ngoài cam kết xây dựng Sáu năng lực lớn. Tất cả họ đều đầu tư vào nền tảng vững chắc giúp họ phát triển mạnh mẽ với AI; các năng lực của họ đã giúp họ tạo khoảng cách ngày càng xa với đối thủ; và họ không dừng lại.</w:t>
      </w:r>
    </w:p>
    <w:p>
      <w:pPr>
        <w:spacing w:after="80"/>
      </w:pPr>
      <w:r>
        <w:rPr>
          <w:b w:val="0"/>
          <w:i w:val="0"/>
        </w:rPr>
        <w:t>Mỗi công ty đã trên hành trình nhiều năm, thậm chí cả thập kỷ với một số người, và không ai trong số họ sẽ nói rằng mình đã đến đích. Ngược lại, càng tiến bộ, họ càng khám phá ra nhiều cơ hội hơn cho quá trình chuyển đổi không ngừng.</w:t>
      </w:r>
    </w:p>
    <w:p>
      <w:pPr>
        <w:spacing w:after="80"/>
      </w:pPr>
      <w:r>
        <w:rPr>
          <w:b/>
          <w:i w:val="0"/>
        </w:rPr>
        <w:t>Chương 36.</w:t>
      </w:r>
      <w:r>
        <w:rPr>
          <w:b w:val="0"/>
          <w:i w:val="0"/>
        </w:rPr>
        <w:t xml:space="preserve"> LATAM Airlines: Tạo ra một 'hãng hàng không trong túi bạn'</w:t>
      </w:r>
    </w:p>
    <w:p>
      <w:pPr>
        <w:spacing w:after="80"/>
      </w:pPr>
      <w:r>
        <w:rPr>
          <w:b/>
          <w:i w:val="0"/>
        </w:rPr>
        <w:t>Chương 37.</w:t>
      </w:r>
      <w:r>
        <w:rPr>
          <w:b w:val="0"/>
          <w:i w:val="0"/>
        </w:rPr>
        <w:t xml:space="preserve"> Toyota Motor North America: Từ cải tiến </w:t>
      </w:r>
      <w:r>
        <w:rPr>
          <w:b w:val="0"/>
          <w:i/>
        </w:rPr>
        <w:t>kaizen</w:t>
      </w:r>
      <w:r>
        <w:rPr>
          <w:b w:val="0"/>
          <w:i w:val="0"/>
        </w:rPr>
        <w:t xml:space="preserve"> đến những bước nhảy vọt về giá trị</w:t>
      </w:r>
    </w:p>
    <w:p>
      <w:pPr>
        <w:spacing w:after="80"/>
      </w:pPr>
      <w:r>
        <w:rPr>
          <w:b/>
          <w:i w:val="0"/>
        </w:rPr>
        <w:t>Chương 38.</w:t>
      </w:r>
      <w:r>
        <w:rPr>
          <w:b w:val="0"/>
          <w:i w:val="0"/>
        </w:rPr>
        <w:t xml:space="preserve"> Freeport-McMoRan: Khai thác Công nghệ &amp; AI cho đổi mới ngành khai khoáng</w:t>
      </w:r>
    </w:p>
    <w:p>
      <w:pPr>
        <w:spacing w:after="80"/>
      </w:pPr>
      <w:r>
        <w:rPr>
          <w:b/>
          <w:i w:val="0"/>
        </w:rPr>
        <w:t>Chương 39.</w:t>
      </w:r>
      <w:r>
        <w:rPr>
          <w:b w:val="0"/>
          <w:i w:val="0"/>
        </w:rPr>
        <w:t xml:space="preserve"> DBS Bank: Một ngân hàng đa quốc gia dốc toàn lực vào AI</w:t>
      </w:r>
    </w:p>
    <w:p>
      <w:pPr>
        <w:pStyle w:val="Heading1"/>
      </w:pPr>
      <w:r>
        <w:rPr>
          <w:rFonts w:ascii="Calibri" w:hAnsi="Calibri"/>
          <w:b/>
          <w:i w:val="0"/>
          <w:sz w:val="40"/>
        </w:rPr>
        <w:t>CHƯƠNG 36</w:t>
      </w:r>
      <w:r>
        <w:rPr>
          <w:rFonts w:ascii="Calibri" w:hAnsi="Calibri"/>
          <w:b/>
          <w:i w:val="0"/>
          <w:sz w:val="40"/>
        </w:rPr>
      </w:r>
      <w:r>
        <w:rPr>
          <w:rFonts w:ascii="Calibri" w:hAnsi="Calibri"/>
          <w:b/>
          <w:i w:val="0"/>
          <w:sz w:val="40"/>
        </w:rPr>
        <w:t>LATAM Airlines: Tạo ra một 'hãng hàng không trong túi bạn'</w:t>
      </w:r>
    </w:p>
    <w:p>
      <w:pPr>
        <w:spacing w:after="80"/>
      </w:pPr>
      <w:r>
        <w:rPr>
          <w:b w:val="0"/>
          <w:i w:val="0"/>
        </w:rPr>
        <w:t>Hành trình chuyển đổi Công nghệ &amp; AI đang diễn ra của một hãng hàng không</w:t>
      </w:r>
    </w:p>
    <w:p>
      <w:pPr>
        <w:pStyle w:val="Heading2"/>
      </w:pPr>
      <w:r>
        <w:rPr>
          <w:rFonts w:ascii="Calibri" w:hAnsi="Calibri"/>
          <w:b/>
          <w:i w:val="0"/>
          <w:sz w:val="32"/>
        </w:rPr>
        <w:t>Giới thiệu về LATAM Airlines</w:t>
      </w:r>
    </w:p>
    <w:p>
      <w:pPr>
        <w:spacing w:after="80"/>
      </w:pPr>
      <w:r>
        <w:rPr>
          <w:b/>
          <w:i w:val="0"/>
        </w:rPr>
        <w:t>Mô tả công ty:</w:t>
      </w:r>
      <w:r>
        <w:rPr>
          <w:b w:val="0"/>
          <w:i w:val="0"/>
        </w:rPr>
        <w:t xml:space="preserve"> LATAM Airlines Group là công ty cổ phần hàng không lớn nhất Mỹ Latinh, cung cấp dịch vụ vận chuyển hành khách và hàng hóa trên nhiều quốc gia trong khu vực. Có trụ sở chính tại Santiago, Chile, công ty vận hành các công ty con tại Brazil, Colombia, Ecuador, Paraguay và Peru.</w:t>
      </w:r>
    </w:p>
    <w:p>
      <w:pPr>
        <w:spacing w:after="80"/>
      </w:pPr>
      <w:r>
        <w:rPr>
          <w:b/>
          <w:i w:val="0"/>
        </w:rPr>
        <w:t>Số lượng nhân viên:</w:t>
      </w:r>
      <w:r>
        <w:rPr>
          <w:b w:val="0"/>
          <w:i w:val="0"/>
        </w:rPr>
        <w:t xml:space="preserve"> Khoảng 35.000</w:t>
      </w:r>
    </w:p>
    <w:p>
      <w:pPr>
        <w:spacing w:after="80"/>
      </w:pPr>
      <w:r>
        <w:rPr>
          <w:b/>
          <w:i w:val="0"/>
        </w:rPr>
        <w:t>Vốn hóa thị trường:</w:t>
      </w:r>
      <w:r>
        <w:rPr>
          <w:b w:val="0"/>
          <w:i w:val="0"/>
        </w:rPr>
        <w:t xml:space="preserve"> 17 tỷ USD</w:t>
      </w:r>
    </w:p>
    <w:p>
      <w:pPr>
        <w:spacing w:after="80"/>
      </w:pPr>
      <w:r>
        <w:rPr>
          <w:b/>
          <w:i w:val="0"/>
        </w:rPr>
        <w:t>Doanh thu:</w:t>
      </w:r>
      <w:r>
        <w:rPr>
          <w:b w:val="0"/>
          <w:i w:val="0"/>
        </w:rPr>
        <w:t xml:space="preserve"> 13 tỷ USD (2024)</w:t>
      </w:r>
    </w:p>
    <w:p>
      <w:pPr>
        <w:spacing w:after="80"/>
      </w:pPr>
      <w:r>
        <w:rPr>
          <w:b/>
          <w:i w:val="0"/>
        </w:rPr>
        <w:t>Phạm vi địa lý:</w:t>
      </w:r>
      <w:r>
        <w:rPr>
          <w:b w:val="0"/>
          <w:i w:val="0"/>
        </w:rPr>
        <w:t xml:space="preserve"> Hoạt động trên các thị trường trọng điểm của Mỹ Latinh—Brazil, Chile, Colombia, Ecuador, Paraguay và Peru—và mở rộng sang cả dịch vụ vận chuyển hành khách lẫn hàng hóa trong khu vực</w:t>
      </w:r>
    </w:p>
    <w:p>
      <w:pPr>
        <w:spacing w:after="80"/>
      </w:pPr>
      <w:r>
        <w:rPr>
          <w:b w:val="0"/>
          <w:i w:val="0"/>
        </w:rPr>
        <w:t>Sự hợp nhất giữa hãng hàng không Chile LAN và hãng hàng không Brazil TAM vào năm 2012 đã báo hiệu sự ra đời của một hãng hàng không mới đầy mạnh mẽ: LATAM. Tuy nhiên, việc tích hợp hai hệ thống công nghệ là một nỗ lực mệt mỏi kéo dài sáu năm, dù cuối cùng đã thành công. Khi hoàn tất, các đội ngũ đã sẵn sàng cho một kỳ nghỉ xứng đáng. Nhưng CEO lúc bấy giờ của LATAM, Enrique Cueto, lại có ý tưởng khác.</w:t>
      </w:r>
    </w:p>
    <w:p>
      <w:pPr>
        <w:spacing w:after="80"/>
      </w:pPr>
      <w:r>
        <w:rPr>
          <w:b w:val="0"/>
          <w:i w:val="0"/>
        </w:rPr>
        <w:t>Ông có một tham vọng hết sức rõ ràng: đưa LATAM trở thành một hãng hàng không số. Vào thời điểm đó, ngay cả ông cũng chưa hoàn toàn hình dung rõ điều đó nghĩa là gì. Nhưng ông có một trực giác mạnh mẽ rằng tương lai của LATAM phải là số để tạo ra khoảng cách chiến lược và những trải nghiệm khách hàng khác biệt, và ông muốn hành động thật nhanh.</w:t>
      </w:r>
    </w:p>
    <w:p>
      <w:pPr>
        <w:spacing w:after="80"/>
      </w:pPr>
      <w:r>
        <w:rPr>
          <w:b w:val="0"/>
          <w:i w:val="0"/>
        </w:rPr>
        <w:t>Từ khởi đầu đầy tầm nhìn này đã khai sinh ra một hành trình chuyển đổi kéo dài nhiều năm vẫn còn tiếp diễn cho đến ngày nay. Trên chặng đường đó, LATAM đã tái định hình cách mình tương tác với khách hàng, cách sử dụng AI để cải thiện triệt để việc bảo trì đội bay, và cách mình tri ân khách hàng. Và trên chặng đường đó, công ty đã tạo ra hàng trăm triệu USD dưới dạng doanh thu mới và năng suất tốt hơn.</w:t>
      </w:r>
    </w:p>
    <w:p>
      <w:pPr>
        <w:pStyle w:val="Heading2"/>
      </w:pPr>
      <w:r>
        <w:rPr>
          <w:rFonts w:ascii="Calibri" w:hAnsi="Calibri"/>
          <w:b/>
          <w:i w:val="0"/>
          <w:sz w:val="32"/>
        </w:rPr>
        <w:t>Đặt ra tham vọng cao và học hỏi từ quá khứ</w:t>
      </w:r>
    </w:p>
    <w:p>
      <w:pPr>
        <w:spacing w:after="80"/>
      </w:pPr>
      <w:r>
        <w:rPr>
          <w:b w:val="0"/>
          <w:i w:val="0"/>
        </w:rPr>
        <w:t>Điều thú vị là LATAM Airlines khởi hành hành trình này từ một vị thế mạnh. Từ lâu công ty đã là hãng hàng không lớn nhất và thành công nhất ở Mỹ Latinh, phục vụ hàng chục triệu hành khách trên khắp các thị trường cực kỳ phức tạp. Công ty đã đạt được hiệu suất tài chính và vận hành hàng đầu (chẳng hạn như tỷ lệ khởi hành đúng giờ) trong một ngành vốn rất dễ bị ảnh hưởng bởi rủi ro và biến động.</w:t>
      </w:r>
    </w:p>
    <w:p>
      <w:pPr>
        <w:spacing w:after="80"/>
      </w:pPr>
      <w:r>
        <w:rPr>
          <w:b w:val="0"/>
          <w:i w:val="0"/>
        </w:rPr>
        <w:t>Dù có vị thế mạnh trên thị trường, ban lãnh đạo biết rằng để đạt được những bước nhảy vọt lớn hơn nữa về hiệu suất, họ sẽ cần những năng lực mới. Chẳng hạn, các công nghệ cũ và hệ thống cũ kỹ đang phải căng mình để theo kịp nhu cầu ngày càng tăng của du khách.</w:t>
      </w:r>
    </w:p>
    <w:p>
      <w:pPr>
        <w:spacing w:after="80"/>
      </w:pPr>
      <w:r>
        <w:rPr>
          <w:b w:val="0"/>
          <w:i w:val="0"/>
        </w:rPr>
        <w:t>Tuy nhiên, những bước đi đầu tiên trong việc số hóa các năng lực của công ty lại mang lại kết quả không đồng đều. Những khoản đầu tư đáng kể vào các "sản phẩm hay ho" nhưng không được sử dụng hoặc không tạo ra giá trị đã khiến ban lãnh đạo phải tạm dừng lại.</w:t>
      </w:r>
    </w:p>
    <w:p>
      <w:pPr>
        <w:spacing w:after="80"/>
      </w:pPr>
      <w:r>
        <w:rPr>
          <w:b w:val="0"/>
          <w:i w:val="0"/>
        </w:rPr>
        <w:t>Các nhà lãnh đạo LATAM nhanh chóng tìm ra nguồn gốc của vấn đề. Họ đang đối xử với các đổi mới về số hóa và phân tích như những dự án truyền thống, chứ không phải một cuộc chuyển đổi kinh doanh thực sự. Các nỗ lực số hóa của họ tập trung vào các trường hợp sử dụng mà không giải quyết những thách thức nền tảng về kiến trúc và công nghệ, cũng như không thay đổi mô hình vận hành. Tiền không phải là vấn đề, vì những nỗ lực cải thiện bảng cân đối kế toán của LATAM đã mang lại thặng dư ấn tượng. Điều công ty cần là một kế hoạch để đầu tư số tiền đó một cách khôn ngoan.</w:t>
      </w:r>
    </w:p>
    <w:p>
      <w:pPr>
        <w:spacing w:after="80"/>
      </w:pPr>
      <w:r>
        <w:rPr>
          <w:b/>
          <w:i/>
        </w:rPr>
        <w:t>Điểm khởi đầu, giống như mọi cuộc chuyển đổi Công nghệ &amp; AI thành công, chính là việc xây dựng một tầm nhìn để tạo động lực cho doanh nghiệp. Ban lãnh đạo LATAM đã nhanh chóng phát triển một tầm nhìn: biến mỗi khách hàng thành "hãng hàng không trong túi" — về cơ bản là một dịch vụ trực quan, phản hồi nhanh, thân thiện với thiết bị di động và không gặp trục trặc, giống như các công ty ưu tiên kỹ thuật số hàng đầu như Amazon</w:t>
      </w:r>
      <w:r>
        <w:rPr>
          <w:b/>
          <w:i w:val="0"/>
        </w:rPr>
        <w:t>.</w:t>
      </w:r>
    </w:p>
    <w:p>
      <w:pPr>
        <w:spacing w:after="80"/>
      </w:pPr>
      <w:r>
        <w:rPr>
          <w:b w:val="0"/>
          <w:i w:val="0"/>
        </w:rPr>
        <w:t>Để tránh những sai lầm kỹ thuật số trước đây, ban lãnh đạo LATAM quyết tâm làm cho cuộc chuyển đổi kỹ thuật số này thực sự đáng giá. Họ đã vạch ra nhiều lĩnh vực có thể được chuyển đổi trong hãng hàng không, bao gồm trải nghiệm hành khách, thương mại điện tử, bảo trì, quản lý mạng bay, vận hành, trải nghiệm tại sân bay và chương trình khách hàng thân thiết.</w:t>
      </w:r>
    </w:p>
    <w:p>
      <w:pPr>
        <w:spacing w:after="80"/>
      </w:pPr>
      <w:r>
        <w:rPr>
          <w:b w:val="0"/>
          <w:i w:val="0"/>
        </w:rPr>
        <w:t>Rõ ràng đây là quá nhiều thứ để doanh nghiệp có thể giải quyết song song cùng lúc. Vì vậy vào năm 2019, họ đã chọn lĩnh vực trải nghiệm hành khách, nơi mà phân tích bài toán kinh doanh cho thấy có cơ hội giá trị hấp dẫn trị giá hàng trăm triệu đô la. Phân tích sâu hơn cũng cho thấy những hiệu quả đạt được từ việc số hóa hạ tầng của họ (ví dụ, thông qua thời gian phát triển nhanh hơn và tự động hóa nhiều hơn) sẽ tiết kiệm được tiền thật.</w:t>
      </w:r>
    </w:p>
    <w:p>
      <w:pPr>
        <w:spacing w:after="80"/>
      </w:pPr>
      <w:r>
        <w:rPr>
          <w:b w:val="0"/>
          <w:i w:val="0"/>
        </w:rPr>
        <w:t>Tiềm năng giá trị đó đã biến cuộc chuyển đổi này thành một việc mà ban điều hành cấp cao và hội đồng quản trị có thể dễ dàng ủng hộ. Đội ngũ lãnh đạo LATAM nhanh chóng thống nhất quanh hai quyết định quan trọng. Thứ nhất là chọn các hành trình khách hàng để bắt đầu, được xác định là "từ đặt hàng đến thanh toán" (order to cash), tức toàn bộ trải nghiệm khách hàng khi mua vé, và "từ cửa đến cửa" (door to door), tức toàn bộ quá trình từ khi khách hàng bắt đầu chuyến đi đến khi kết thúc.</w:t>
      </w:r>
    </w:p>
    <w:p>
      <w:pPr>
        <w:pStyle w:val="Heading2"/>
      </w:pPr>
      <w:r>
        <w:rPr>
          <w:rFonts w:ascii="Calibri" w:hAnsi="Calibri"/>
          <w:b/>
          <w:i w:val="0"/>
          <w:sz w:val="32"/>
        </w:rPr>
        <w:t>Thành lập một tổ chức kỹ thuật số riêng để tăng tốc thay đổi</w:t>
      </w:r>
    </w:p>
    <w:p>
      <w:pPr>
        <w:spacing w:after="80"/>
      </w:pPr>
      <w:r>
        <w:rPr>
          <w:b w:val="0"/>
          <w:i w:val="0"/>
        </w:rPr>
        <w:t>Quyết định thứ hai là cách tiếp cận chuyển đổi. Vì LATAM là một doanh nghiệp có doanh thu hơn 10 tỷ đô la mỗi năm và đang sử dụng hạ tầng cũ kỹ, công ty quyết định tiếp cận cuộc chuyển đổi của mình giống như xây dựng một doanh nghiệp mới.</w:t>
      </w:r>
    </w:p>
    <w:p>
      <w:pPr>
        <w:spacing w:after="80"/>
      </w:pPr>
      <w:r>
        <w:rPr>
          <w:b/>
          <w:i/>
        </w:rPr>
        <w:t>Nguyên tắc chính mà ban lãnh đạo theo đuổi là xây dựng tất cả các ứng dụng hướng đến khách hàng và ứng dụng kinh doanh tách biệt khỏi các hệ thống lõi, và trên nền tảng đám mây — về cơ bản là khởi động một doanh nghiệp mới</w:t>
      </w:r>
      <w:r>
        <w:rPr>
          <w:b/>
          <w:i w:val="0"/>
        </w:rPr>
        <w:t>.</w:t>
      </w:r>
    </w:p>
    <w:p>
      <w:pPr>
        <w:spacing w:after="80"/>
      </w:pPr>
      <w:r>
        <w:rPr>
          <w:b w:val="0"/>
          <w:i w:val="0"/>
        </w:rPr>
        <w:t>Bằng cách này, LATAM có thể trao cho tổ chức mới sự tự do để xây dựng những gì họ kỳ vọng sẽ trở thành hãng hàng không của tương lai. Ban lãnh đạo quyết tâm nuôi dưỡng và bảo vệ kiến trúc công nghệ mới, đội ngũ nhân tài và mô hình vận hành khỏi bị bóp nghẹt bởi các quy trình cũ kỹ trong doanh nghiệp chính.</w:t>
      </w:r>
    </w:p>
    <w:p>
      <w:pPr>
        <w:spacing w:after="80"/>
      </w:pPr>
      <w:r>
        <w:rPr>
          <w:b w:val="0"/>
          <w:i w:val="0"/>
        </w:rPr>
        <w:t>Chẳng hạn, doanh nghiệp mới đã phát triển các KPI thưởng cho hiệu suất của cả đội thay vì từng cá nhân, tạo ra các lộ trình sự nghiệp khác nhau cho kỹ sư, và xây dựng các kỹ năng cùng hồ sơ vai trò phù hợp hơn cho nguồn nhân tài cần thiết.</w:t>
      </w:r>
    </w:p>
    <w:p>
      <w:pPr>
        <w:spacing w:after="80"/>
      </w:pPr>
      <w:r>
        <w:rPr>
          <w:b w:val="0"/>
          <w:i w:val="0"/>
        </w:rPr>
        <w:t>Sự độc lập này đã được đưa vào tổ chức doanh nghiệp mới ngay từ đầu. Nhóm ban đầu gồm 120 người, bao gồm các nhà phát triển phần mềm, kiến trúc sư doanh nghiệp và chuyên gia thiết kế UX, được tổ chức thành các nhóm sản phẩm. Đây là những nhóm nhỏ, đa chức năng, có quyền tự chủ để đưa ra quyết định và cải tiến lặp đi lặp lại các giải pháp mà họ xây dựng.</w:t>
      </w:r>
    </w:p>
    <w:p>
      <w:pPr>
        <w:spacing w:after="80"/>
      </w:pPr>
      <w:r>
        <w:rPr>
          <w:b/>
          <w:i/>
        </w:rPr>
        <w:t>Các nhà lãnh đạo LATAM đã nói rõ ràng rằng họ trao cho những nhóm này sự tự do — và nghĩa vụ — để thách thức các quy tắc kinh doanh, điều gần như không thể làm được bên trong doanh nghiệp cũ kỹ</w:t>
      </w:r>
      <w:r>
        <w:rPr>
          <w:b/>
          <w:i w:val="0"/>
        </w:rPr>
        <w:t>.</w:t>
      </w:r>
    </w:p>
    <w:p>
      <w:pPr>
        <w:spacing w:after="80"/>
      </w:pPr>
      <w:r>
        <w:rPr>
          <w:b w:val="0"/>
          <w:i w:val="0"/>
        </w:rPr>
        <w:t>Đây chính là lúc việc có ngôi sao dẫn đường (North Star) là tạo ra một "hãng hàng không trong túi của bạn" trở nên đặc biệt hữu ích. Nhóm đã xem xét từng nhiệm vụ và quy trình, rồi tự hỏi liệu mỗi thứ có phù hợp với mục tiêu đó không. Nếu không, họ tìm cách thay đổi hoặc sửa chữa nó.</w:t>
      </w:r>
    </w:p>
    <w:p>
      <w:pPr>
        <w:spacing w:after="80"/>
      </w:pPr>
      <w:r>
        <w:rPr>
          <w:b w:val="0"/>
          <w:i w:val="0"/>
        </w:rPr>
        <w:t>Ví dụ, một chuẩn mực mà nhóm đã phá vỡ ngay từ đầu là tự động hóa quy trình làm thủ tục check-in. Thay vì khách hàng chỉ có thể nhận thẻ lên máy bay khi làm thủ tục tại sân bay, họ nhận được phiên bản kỹ thuật số ngay khi mua vé.</w:t>
      </w:r>
    </w:p>
    <w:p>
      <w:pPr>
        <w:spacing w:after="80"/>
      </w:pPr>
      <w:r>
        <w:rPr>
          <w:b w:val="0"/>
          <w:i w:val="0"/>
        </w:rPr>
        <w:t>Mô hình vận hành theo sản phẩm này cho phép LATAM di chuyển nhanh chóng để phát triển và thử nghiệm một trải nghiệm khách hàng mới. Trong vòng năm tháng, họ đã có một hệ thống tự phục vụ cho phép khách hàng sử dụng các kênh kỹ thuật số ưa thích của mình để trực tiếp quản lý việc đặt chỗ. Chẳng hạn, WhatsApp được tích hợp như một kênh phục vụ khách hàng, nhận ra rằng nhiều hành khách chỉ bay một hoặc hai lần mỗi năm và sẽ ngần ngại tải xuống và duy trì một ứng dụng hàng không riêng.</w:t>
      </w:r>
    </w:p>
    <w:p>
      <w:pPr>
        <w:spacing w:after="80"/>
      </w:pPr>
      <w:r>
        <w:rPr>
          <w:b/>
          <w:i/>
        </w:rPr>
        <w:t>Trải nghiệm đa kênh, ưu tiên kỹ thuật số này đã mở rộng đến mọi lĩnh vực của trải nghiệm hành khách như quản lý bồi thường hành khách, xử lý hành lý và lên máy bay</w:t>
      </w:r>
      <w:r>
        <w:rPr>
          <w:b/>
          <w:i w:val="0"/>
        </w:rPr>
        <w:t>.</w:t>
      </w:r>
    </w:p>
    <w:p>
      <w:pPr>
        <w:spacing w:after="80"/>
      </w:pPr>
      <w:r>
        <w:rPr>
          <w:b w:val="0"/>
          <w:i w:val="0"/>
        </w:rPr>
        <w:t>Ví dụ, thay vì hành khách chỉ nhận được thông báo thay đổi chuyến bay đơn giản, hệ thống ngay lập tức đưa ra các phương án thay thế được đề xuất, mà khách du lịch có thể chấp nhận hoặc điều chỉnh bằng kỹ thuật số.</w:t>
      </w:r>
    </w:p>
    <w:p>
      <w:pPr>
        <w:pStyle w:val="Heading2"/>
      </w:pPr>
      <w:r>
        <w:rPr>
          <w:rFonts w:ascii="Calibri" w:hAnsi="Calibri"/>
          <w:b/>
          <w:i w:val="0"/>
          <w:sz w:val="32"/>
        </w:rPr>
        <w:t>Đầu tư vào nền tảng công nghệ tiên tiến để mở rộng quy mô và tái sử dụng</w:t>
      </w:r>
    </w:p>
    <w:p>
      <w:pPr>
        <w:spacing w:after="80"/>
      </w:pPr>
      <w:r>
        <w:rPr>
          <w:b w:val="0"/>
          <w:i w:val="0"/>
        </w:rPr>
        <w:t>Việc áp dụng cách tiếp cận xây dựng doanh nghiệp này không phải là một quyết định đơn giản, bởi vì nó về cơ bản đồng nghĩa với việc xây dựng lại nhiều năng lực mà LATAM đã có sẵn. Nhưng những lợi ích sớm trở nên rõ ràng. Bằng cách trừu tượng hóa những thông tin quan trọng mà công ty cần khỏi các hệ thống lõi (như thông tin hành khách) thông qua API và các pipeline (đường ống xử lý dữ liệu), công ty có thể tạo ra các năng lực dạng mô-đun bằng những công nghệ tốt nhất.</w:t>
      </w:r>
    </w:p>
    <w:p>
      <w:pPr>
        <w:spacing w:after="80"/>
      </w:pPr>
      <w:r>
        <w:rPr>
          <w:b w:val="0"/>
          <w:i w:val="0"/>
        </w:rPr>
        <w:t>Có được mức độ linh hoạt này để mở rộng quy mô trải nghiệm là điều khả thi nhờ ban lãnh đạo đã nâng cao vai trò của kiến trúc doanh nghiệp (enterprise architecture), một năng lực mà trước đây thường chỉ được xem là phụ.</w:t>
      </w:r>
    </w:p>
    <w:p>
      <w:pPr>
        <w:spacing w:after="80"/>
      </w:pPr>
      <w:r>
        <w:rPr>
          <w:b/>
          <w:i/>
        </w:rPr>
        <w:t>Như Juliana Rios, giám đốc kỹ thuật số và IT của LATAM, nói: “Chỉ khi chúng tôi bắt đầu hiểu về kỹ thuật số, chúng tôi mới hiểu được tầm quan trọng của kiến trúc doanh nghiệp.”</w:t>
      </w:r>
    </w:p>
    <w:p>
      <w:pPr>
        <w:spacing w:after="80"/>
      </w:pPr>
      <w:r>
        <w:rPr>
          <w:b w:val="0"/>
          <w:i w:val="0"/>
        </w:rPr>
        <w:t>Thực tế này là lý do vì sao việc các nhà lãnh đạo rèn luyện “cơ bắp công nghệ” của mình lại quan trọng đến vậy (xem thêm về điều này trong Chương 1 và 8). Trên thực tế, CEO Roberto Alvo, người tiếp quản vị trí vào năm 2020, đã dành nhiều giờ trong nhiều tuần với CIO để thảo luận về kiến trúc từng thành phần một, nhằm hiểu rõ mỗi thành phần làm gì và tại sao nó lại quan trọng.</w:t>
      </w:r>
    </w:p>
    <w:p>
      <w:pPr>
        <w:spacing w:after="80"/>
      </w:pPr>
      <w:r>
        <w:rPr>
          <w:b w:val="0"/>
          <w:i w:val="0"/>
        </w:rPr>
        <w:t>Ban lãnh đạo LATAM đã cam kết với một số nguyên tắc then chốt về kiến trúc, bao gồm tư duy xuyên suốt từ đầu đến cuối (end-to-end) trong mọi công việc phát triển (đảm bảo mọi phụ thuộc đều được tính đến khi xây dựng một quy trình), coi dữ liệu là tài sản chiến lược, và có một kiến trúc mở để đảm bảo khả năng tái sử dụng và khả năng tương tác (interoperability).</w:t>
      </w:r>
    </w:p>
    <w:p>
      <w:pPr>
        <w:spacing w:after="80"/>
      </w:pPr>
      <w:r>
        <w:rPr>
          <w:b w:val="0"/>
          <w:i w:val="0"/>
        </w:rPr>
        <w:t>Đội ngũ quyết định rằng kiến trúc cần phải tiến hóa để việc thay thế các mô-đun và giải pháp trở nên dễ dàng. Điều này có nghĩa là mọi thứ đều được đưa lên cloud (đám mây) để tận dụng các dịch vụ cloud-native (bản địa đám mây). Và tất cả các giải pháp đều được xây dựng theo hướng API-first (ưu tiên API) để đơn giản hóa việc tái sử dụng và thay thế.</w:t>
      </w:r>
    </w:p>
    <w:p>
      <w:pPr>
        <w:spacing w:after="80"/>
      </w:pPr>
      <w:r>
        <w:rPr>
          <w:b w:val="0"/>
          <w:i w:val="0"/>
        </w:rPr>
        <w:t>Một quyết định khác là cho phép tái sử dụng mọi giải pháp. Vì vậy, chẳng hạn, giải pháp thay đổi một đơn hàng được xây dựng theo cách có thể dùng được trên nhiều kênh khác nhau (trên app, trên web, trên WhatsApp, hoặc tại trung tâm liên lạc) hoặc nhiều ứng dụng khác nhau (ví dụ, một giải pháp thanh toán có thể được dùng để xử lý việc bán vé, voucher, và hàng hóa vận chuyển). Những giải pháp này được đặt trên các nền tảng được quản lý tập trung mà các nhà phát triển và hệ thống có thể truy cập xuyên suốt toàn doanh nghiệp.</w:t>
      </w:r>
    </w:p>
    <w:p>
      <w:pPr>
        <w:spacing w:after="80"/>
      </w:pPr>
      <w:r>
        <w:rPr>
          <w:b w:val="0"/>
          <w:i w:val="0"/>
        </w:rPr>
        <w:t>Cách tiếp cận theo nền tảng này cũng được mở rộng sang cả việc phát triển phần mềm. LATAM đã nhúng các yêu cầu phi chức năng (nonfunctional requirements), như các tính năng quan sát (observability), bảo mật, và tiêu chuẩn chất lượng mã nguồn, vào nền tảng dưới dạng code. Trên thực tế, điều đó có nghĩa là khi các nhà phát triển truy cập nền tảng để tạo một giải pháp mới, họ có thể nhúng những tính năng đó dưới dạng code, giúp tăng tốc đáng kể việc phát triển và giảm thiểu sai sót.</w:t>
      </w:r>
    </w:p>
    <w:p>
      <w:pPr>
        <w:spacing w:after="80"/>
      </w:pPr>
      <w:r>
        <w:rPr>
          <w:b w:val="0"/>
          <w:i w:val="0"/>
        </w:rPr>
        <w:t>Một tổ chức IT linh hoạt và phản hồi nhanh hơn đã nhấn mạnh một sự chuyển dịch lớn của chính IT: nó đã chuyển từ một tổ chức xây dựng công nghệ thành một tổ chức giúp hành khách có được trải nghiệm bay tốt nhất có thể. Để củng cố trọng tâm này, ban lãnh đạo đã cập nhật các chỉ số mà họ theo dõi. Đúng, thời gian hoạt động (uptime) vẫn quan trọng nhưng đội ngũ tập trung vào các chỉ số nguyên nhân gốc rễ (root-cause) và cách chúng ảnh hưởng đến trải nghiệm hành khách. Mức độ chi tiết này mang lại cho các đội ngũ sự rõ ràng hơn nhiều về việc cần làm để giải quyết vấn đề, đồng thời giúp họ tập trung hơn vào các ưu tiên kinh doanh.</w:t>
      </w:r>
    </w:p>
    <w:p>
      <w:pPr>
        <w:pStyle w:val="Heading2"/>
      </w:pPr>
      <w:r>
        <w:rPr>
          <w:rFonts w:ascii="Calibri" w:hAnsi="Calibri"/>
          <w:b/>
          <w:i w:val="0"/>
          <w:sz w:val="32"/>
        </w:rPr>
        <w:t>Mở rộng quy mô một chương trình thí điểm thành công sang các thị trường khác</w:t>
      </w:r>
    </w:p>
    <w:p>
      <w:pPr>
        <w:spacing w:after="80"/>
      </w:pPr>
      <w:r>
        <w:rPr>
          <w:b w:val="0"/>
          <w:i w:val="0"/>
        </w:rPr>
        <w:t>Ban lãnh đạo LATAM quyết định thử nghiệm năng lực trải nghiệm hành khách mới của họ tại thị trường Ecuador, một thị trường tuy quan trọng nhưng tương đối nhỏ. Rất nhanh sau đó, họ đã vượt xa các KPI của mình, bao gồm tỷ lệ chuyển đổi, và tỷ lệ tự phục vụ cho việc thay đổi và hủy vé. Điều này giúp thuyết phục ban lãnh đạo vào năm 2020 rằng họ cần đầu tư để mở rộng quy mô dịch vụ hành khách mới ra tất cả các thị trường.</w:t>
      </w:r>
    </w:p>
    <w:p>
      <w:pPr>
        <w:spacing w:after="80"/>
      </w:pPr>
      <w:r>
        <w:rPr>
          <w:b w:val="0"/>
          <w:i w:val="0"/>
        </w:rPr>
        <w:t>Tuy nhiên, đây không phải là một quá trình cắm là chạy (plug-and-play) đơn giản. Việc đưa trải nghiệm hành khách kỹ thuật số vào các thị trường khác là một thách thức lớn ở nhiều cấp độ. Các hệ thống thanh toán, xuất hóa đơn, và thuế khác nhau đáng kể giữa các quốc gia. Trải nghiệm tại sân bay cũng có những thách thức riêng. LATAM có thể triển khai hạ tầng mới để cải thiện trải nghiệm khách hàng tại một số sân bay, chẳng hạn, nhưng không phải ở những sân bay khác.</w:t>
      </w:r>
    </w:p>
    <w:p>
      <w:pPr>
        <w:spacing w:after="80"/>
      </w:pPr>
      <w:r>
        <w:rPr>
          <w:b w:val="0"/>
          <w:i w:val="0"/>
        </w:rPr>
        <w:t>Để giúp quản lý sự phức tạp trong việc mở rộng quy mô này, LATAM đã xây dựng một lớp trừu tượng (abstraction layer) trên nền tảng với các API để tạo ra một điểm tích hợp đơn giản giữa các hệ thống nội bộ và bên ngoài. Ví dụ, nếu một hệ thống thanh toán mới được đưa vào hoặc một hệ thống bị lỗi, việc tích hợp cái mới hoặc thay thế cái cũ trở nên tương đối dễ dàng.</w:t>
      </w:r>
    </w:p>
    <w:p>
      <w:pPr>
        <w:spacing w:after="80"/>
      </w:pPr>
      <w:r>
        <w:rPr>
          <w:b/>
          <w:i/>
        </w:rPr>
        <w:t>Ở mốc 18 tháng của quá trình chuyển đổi, LATAM đã hòa vốn với khoản đầu tư ban đầu. Trong vòng 36 tháng, LATAM đã hơn gấp đôi lợi ích theo tốc độ chạy (run-rate) so với kịch bản kinh doanh ban đầu</w:t>
      </w:r>
      <w:r>
        <w:rPr>
          <w:b/>
          <w:i w:val="0"/>
        </w:rPr>
        <w:t>.</w:t>
      </w:r>
    </w:p>
    <w:p>
      <w:pPr>
        <w:spacing w:after="80"/>
      </w:pPr>
      <w:r>
        <w:rPr>
          <w:b w:val="0"/>
          <w:i w:val="0"/>
        </w:rPr>
        <w:t>Sự tăng trưởng của LATAM được thúc đẩy bởi những bước nhảy vọt lớn trong toàn bộ chương trình chuyển đổi, với tỷ lệ tự đặt lại vé (hành khách thay đổi chuyến bay của mình) tăng từ khoảng 10% lên 95%, và số cuộc gọi đến trung tâm liên lạc giảm hơn một nửa. Thậm chí còn tốt hơn, tỷ lệ hài lòng của khách hàng đã tăng hơn gấp ba lần.</w:t>
      </w:r>
    </w:p>
    <w:p>
      <w:pPr>
        <w:spacing w:after="80"/>
      </w:pPr>
      <w:r>
        <w:rPr>
          <w:b w:val="0"/>
          <w:i w:val="0"/>
        </w:rPr>
        <w:t>Thành công này đã thuyết phục ban lãnh đạo LATAM đưa tổ chức kỹ thuật số bên ngoài mà họ đã xây dựng vào chức năng thương mại, báo cáo trực tiếp cho giám đốc thương mại (chief commercial officer). Ban lãnh đạo LATAM muốn đưa mô hình “hãng hàng không của tương lai” mà đội ngũ kinh doanh mới đã phát triển và biến nó thành mô hình cho toàn bộ doanh nghiệp.</w:t>
      </w:r>
    </w:p>
    <w:p>
      <w:pPr>
        <w:spacing w:after="80"/>
      </w:pPr>
      <w:r>
        <w:rPr>
          <w:b w:val="0"/>
          <w:i w:val="0"/>
        </w:rPr>
        <w:t>Việc đưa những năng lực và kỹ năng đó vào hoạt động kinh doanh cốt lõi là rất quan trọng, nhưng nó tỏ ra là một thách thức không nhỏ. Ví dụ, quy trình lập ngân sách diễn ra hằng năm và có rất ít tính linh hoạt. Các quy trình nền tảng trong tài chính phải thay đổi để cho phép đưa ra các quyết định phân bổ lại ngân sách linh hoạt hơn dựa trên hiệu suất và nhu cầu.</w:t>
      </w:r>
    </w:p>
    <w:p>
      <w:pPr>
        <w:spacing w:after="80"/>
      </w:pPr>
      <w:r>
        <w:rPr>
          <w:b w:val="0"/>
          <w:i w:val="0"/>
        </w:rPr>
        <w:t>Tương tự, bộ phận nhân sự (HR) vốn được định hướng cho một thế giới của các quản lý dự án trong lĩnh vực IT làm việc với nhân lực thuê ngoài. Các thông lệ đã được thiết lập của họ khác biệt so với nhiều thông lệ mà doanh nghiệp mới đã phát triển để tuyển dụng và giữ chân nhân tài công nghệ hàng đầu. Để những thông lệ đó tồn tại lâu dài, những “ngoại lệ” ấy phải trở thành chuẩn mực mới cho việc quản lý nhân tài trong hoạt động kinh doanh chính.</w:t>
      </w:r>
    </w:p>
    <w:p>
      <w:pPr>
        <w:spacing w:after="80"/>
      </w:pPr>
      <w:r>
        <w:rPr>
          <w:b w:val="0"/>
          <w:i w:val="0"/>
        </w:rPr>
        <w:t>Ví dụ, để tuyển dụng và quản lý các nhà khoa học dữ liệu (data scientist) và kỹ sư dữ liệu (data engineer) giỏi, bộ phận nhân sự đã phát triển một tuyên bố giá trị hoàn toàn mới, chẳng hạn như các quy trình phát triển và đánh giá hiệu suất khác biệt, cùng các khoản thưởng gắn với hiệu suất của cả đội (chứ không chỉ hiệu suất cá nhân).</w:t>
      </w:r>
    </w:p>
    <w:p>
      <w:pPr>
        <w:spacing w:after="80"/>
      </w:pPr>
      <w:r>
        <w:rPr>
          <w:b w:val="0"/>
          <w:i w:val="0"/>
        </w:rPr>
        <w:t>Để làm mượt quá trình chuyển đổi, ban lãnh đạo LATAM đã đồng ý với mô hình “hai loại nhân tài”, một dành cho các đơn vị đã chuyển đổi và một dành cho các đơn vị cũ. Đối với các đơn vị đã chuyển đổi, họ áp dụng các khung lương và ưu đãi khác nhau để thu hút và tưởng thưởng nhân tài hàng đầu, đồng thời tạo ra những lộ trình sự nghiệp khác biệt. Họ cam kết coi đây là biện pháp tạm thời trong khi chuyển dần các đội ngũ cũ sang mô hình mới.</w:t>
      </w:r>
    </w:p>
    <w:p>
      <w:pPr>
        <w:pStyle w:val="Heading2"/>
      </w:pPr>
      <w:r>
        <w:rPr>
          <w:rFonts w:ascii="Calibri" w:hAnsi="Calibri"/>
          <w:b/>
          <w:i w:val="0"/>
          <w:sz w:val="32"/>
        </w:rPr>
        <w:t>Tìm thêm sức mạnh phân tích cho giai đoạn tiếp theo của quá trình chuyển đổi</w:t>
      </w:r>
    </w:p>
    <w:p>
      <w:pPr>
        <w:spacing w:after="80"/>
      </w:pPr>
      <w:r>
        <w:rPr>
          <w:b w:val="0"/>
          <w:i w:val="0"/>
        </w:rPr>
        <w:t>Để giúp biến “hãng hàng không của tương lai” thành một phần của hoạt động kinh doanh cốt lõi, ban lãnh đạo LATAM đã mở rộng quá trình chuyển đổi Công nghệ &amp; AI sang lĩnh vực tiếp theo vào năm 2022: bảo trì. Trước đây, việc lập kế hoạch vận hành được thực hiện thủ công, mất hàng tuần để lên kế hoạch kiểm tra bảo trì trên toàn mạng lưới và đảm bảo phụ tùng thay thế có sẵn ở những nơi cần thiết.</w:t>
      </w:r>
    </w:p>
    <w:p>
      <w:pPr>
        <w:spacing w:after="80"/>
      </w:pPr>
      <w:r>
        <w:rPr>
          <w:b w:val="0"/>
          <w:i w:val="0"/>
        </w:rPr>
        <w:t>Nhờ phân tích dữ liệu “sức khỏe” của máy bay tốt hơn và sắp xếp trình tự bảo trì hợp lý hơn để có thể giữ nhiều máy bay hoạt động trên bầu trời hơn, bài toán kinh doanh (business case) cho thấy gần 100 triệu đô la giá trị đang nằm trong tầm tay, với tiềm năng còn lớn hơn nhiều.</w:t>
      </w:r>
    </w:p>
    <w:p>
      <w:pPr>
        <w:spacing w:after="80"/>
      </w:pPr>
      <w:r>
        <w:rPr>
          <w:b w:val="0"/>
          <w:i w:val="0"/>
        </w:rPr>
        <w:t>Tuy nhiên, các nhà lãnh đạo lĩnh vực khi phân tích cách triển khai giải pháp lại nhìn thấy một thách thức phức tạp. Họ sẽ cần sức mạnh phân tích đáng kể để hỗ trợ đội bay gồm hàng trăm máy bay trải khắp nhiều khu vực địa lý, mỗi chiếc cần hàng nghìn phụ tùng và lịch trình phức tạp. Trong khi nỗ lực ở lĩnh vực hành khách chủ yếu tập trung vào thiết kế và triển khai phần mềm, ít chú trọng vào việc sở hữu các năng lực dữ liệu tiên tiến (ở giai đoạn ban đầu đó), thì 80% giá trị của bảo trì (bao gồm cả cách tránh các chi phí lớn) lại phụ thuộc vào việc có dữ liệu tốt.</w:t>
      </w:r>
    </w:p>
    <w:p>
      <w:pPr>
        <w:spacing w:after="80"/>
      </w:pPr>
      <w:r>
        <w:rPr>
          <w:b/>
          <w:i/>
        </w:rPr>
        <w:t>Đối với lĩnh vực bảo trì, LATAM nhận ra rằng họ phải ưu tiên phát triển các sản phẩm dữ liệu đáng tin cậy và có thể truy cập rộng rãi ngay từ đầu</w:t>
      </w:r>
      <w:r>
        <w:rPr>
          <w:b/>
          <w:i w:val="0"/>
        </w:rPr>
        <w:t>.</w:t>
      </w:r>
    </w:p>
    <w:p>
      <w:pPr>
        <w:spacing w:after="80"/>
      </w:pPr>
      <w:r>
        <w:rPr>
          <w:b w:val="0"/>
          <w:i w:val="0"/>
        </w:rPr>
        <w:t>Bước đầu tiên để giải quyết vấn đề này là tạo ra một nền tảng dữ liệu và các thẻ (tag) có thể ghi lại mọi tương tác của khách hàng. Sau đó, một đội ngũ dữ liệu trung tâm làm giàu, làm sạch và cấu trúc dữ liệu đó để họ có thể phát triển một sản phẩm dữ liệu khách hàng mà nhiều đội ngũ hoặc lĩnh vực có thể truy cập và sử dụng khi tạo ra các tài sản hoặc mô hình của riêng mình.</w:t>
      </w:r>
    </w:p>
    <w:p>
      <w:pPr>
        <w:spacing w:after="80"/>
      </w:pPr>
      <w:r>
        <w:rPr>
          <w:b w:val="0"/>
          <w:i w:val="0"/>
        </w:rPr>
        <w:t>Để đơn giản hóa việc truy cập cũng như thực thi các đặc tả về chất lượng, bảo mật và quyền truy cập, các sản phẩm dữ liệu được cung cấp trên những nền tảng đã tích hợp sẵn các tiêu chuẩn đó. Các mẫu (template) cho nhiều loại hoạt động khác nhau đã được phát triển và chuẩn hóa để các đội ngũ có thể dễ dàng sử dụng. Nhiều tiêu chuẩn và hướng dẫn khác nhau, chẳng hạn như an ninh mạng (cybersecurity) và khả năng quan sát mã (code observability), được thể hiện dưới dạng mã (code) và nhúng vào quá trình phát triển. Mã được kiểm tra tự động trước khi triển khai để đảm bảo các lập trình viên tuân thủ mọi tiêu chuẩn.</w:t>
      </w:r>
    </w:p>
    <w:p>
      <w:pPr>
        <w:spacing w:after="80"/>
      </w:pPr>
      <w:r>
        <w:rPr>
          <w:b w:val="0"/>
          <w:i w:val="0"/>
        </w:rPr>
        <w:t>Để tận dụng tính linh hoạt mà kiến trúc doanh nghiệp (enterprise architecture) và các sản phẩm dữ liệu mang lại, LATAM đã chủ động giảm bớt mọi rào cản có thể làm chậm các đội ngũ Công nghệ &amp; AI của mình. Một nguyên tắc cốt lõi là phân tán nhân tài để làm việc trong các đội ngũ và giảm thiểu sự giám sát từ trung tâm.</w:t>
      </w:r>
    </w:p>
    <w:p>
      <w:pPr>
        <w:spacing w:after="80"/>
      </w:pPr>
      <w:r>
        <w:rPr>
          <w:b/>
          <w:i/>
        </w:rPr>
        <w:t>Các đội ngũ được dẫn dắt bởi những người đến từ phía kinh doanh của tổ chức, và báo cáo cho các chủ sở hữu nghiệp vụ. Đây là một bước tiến lớn rời xa thông lệ truyền thống là các chuyên gia công nghệ nhận yêu cầu từ phía kinh doanh rồi xây dựng giải pháp một cách tách biệt</w:t>
      </w:r>
      <w:r>
        <w:rPr>
          <w:b/>
          <w:i w:val="0"/>
        </w:rPr>
        <w:t>.</w:t>
      </w:r>
    </w:p>
    <w:p>
      <w:pPr>
        <w:spacing w:after="80"/>
      </w:pPr>
      <w:r>
        <w:rPr>
          <w:b w:val="0"/>
          <w:i w:val="0"/>
        </w:rPr>
        <w:t>Ví dụ, khoảng 70% nhân sự IT của LATAM hiện được nhúng vào khắp các đội ngũ làm việc. Các trưởng chương (chapter lead) (những nhà lãnh đạo cấp cao trong một lĩnh vực kỹ năng cụ thể) giám sát sự phát triển của những người có kỹ năng tương tự, và quản lý việc phân bổ họ vào các đội ngũ làm việc. Những người còn lại trong đội ngũ trung tâm thì giám sát việc quản trị và các nền tảng để hỗ trợ những đội ngũ phân tán đó.</w:t>
      </w:r>
    </w:p>
    <w:p>
      <w:pPr>
        <w:spacing w:after="80"/>
      </w:pPr>
      <w:r>
        <w:rPr>
          <w:b w:val="0"/>
          <w:i w:val="0"/>
        </w:rPr>
        <w:t>Bắt đầu từ cuối năm 2022, LATAM đã triển khai các mô hình tối ưu hóa và công cụ kỹ thuật số dựa trên AI để tinh gọn hoạt động bảo trì một cách triệt để. Những mô hình này được tích hợp vào quy trình làm việc của các đội ngũ bảo trì để giúp họ đưa ra quyết định tốt hơn về nhiều hoạt động khác nhau, chẳng hạn như dự đoán nhu cầu bảo trì máy bay, tối ưu hóa tồn kho phụ tùng, xác định hành động tiếp theo cần thực hiện, và điều chỉnh kế hoạch.</w:t>
      </w:r>
    </w:p>
    <w:p>
      <w:pPr>
        <w:spacing w:after="80"/>
      </w:pPr>
      <w:r>
        <w:rPr>
          <w:b w:val="0"/>
          <w:i w:val="0"/>
        </w:rPr>
        <w:t>Một mô hình AI mới, chẳng hạn, đã thay thế chu kỳ lập kế hoạch thủ công kéo dài ba tuần bằng một hệ thống số tạo ra các kế hoạch bảo trì chi tiết chỉ trong vài giờ. Kết quả thu được tương đương với việc bổ sung khoảng ba máy bay vào đội bay—mà không cần bất kỳ khoản chi tiêu vốn nào. Hiệu suất tồn kho và chuỗi cung ứng cũng được cải thiện.</w:t>
      </w:r>
    </w:p>
    <w:p>
      <w:pPr>
        <w:spacing w:after="80"/>
      </w:pPr>
      <w:r>
        <w:rPr>
          <w:b/>
          <w:i/>
        </w:rPr>
        <w:t>Bằng cách áp dụng các mô hình dựa trên dữ liệu vào quản lý phụ tùng, LATAM đã giảm tồn kho hơn 100 triệu đô la, đồng thời giảm thiểu rủi ro không có đúng phụ tùng vào đúng thời điểm và địa điểm</w:t>
      </w:r>
      <w:r>
        <w:rPr>
          <w:b/>
          <w:i w:val="0"/>
        </w:rPr>
        <w:t>.</w:t>
      </w:r>
    </w:p>
    <w:p>
      <w:pPr>
        <w:pStyle w:val="Heading2"/>
      </w:pPr>
      <w:r>
        <w:rPr>
          <w:rFonts w:ascii="Calibri" w:hAnsi="Calibri"/>
          <w:b/>
          <w:i w:val="0"/>
          <w:sz w:val="32"/>
        </w:rPr>
        <w:t>Suy nghĩ lại về cách làm việc xoay quanh con người và các AI agent</w:t>
      </w:r>
    </w:p>
    <w:p>
      <w:pPr>
        <w:spacing w:after="80"/>
      </w:pPr>
      <w:r>
        <w:rPr>
          <w:b w:val="0"/>
          <w:i w:val="0"/>
        </w:rPr>
        <w:t>Đầu năm 2025, LATAM tập trung vào lĩnh vực tiếp theo của mình, mảng kinh doanh vận tải hàng hóa. Ngay từ đầu, các nhóm đã tập trung tận dụng AI tối đa có thể. Trong giai đoạn đầu của nỗ lực ở lĩnh vực này, tất cả các nhóm đều bao gồm sự kết hợp giữa các agent và lập trình viên truyền thống.</w:t>
      </w:r>
    </w:p>
    <w:p>
      <w:pPr>
        <w:spacing w:after="80"/>
      </w:pPr>
      <w:r>
        <w:rPr>
          <w:b/>
          <w:i/>
        </w:rPr>
        <w:t>Dù còn ở giai đoạn đầu áp dụng, mô hình làm việc giữa con người và agent đã cho phép các nhóm nhỏ hơn 50% nhưng vẫn di chuyển nhanh hơn mô hình vận hành tiêu chuẩn</w:t>
      </w:r>
      <w:r>
        <w:rPr>
          <w:b/>
          <w:i w:val="0"/>
        </w:rPr>
        <w:t>.</w:t>
      </w:r>
    </w:p>
    <w:p>
      <w:pPr>
        <w:spacing w:after="80"/>
      </w:pPr>
      <w:r>
        <w:rPr>
          <w:b w:val="0"/>
          <w:i w:val="0"/>
        </w:rPr>
        <w:t>LATAM đã chăm chỉ xây dựng và cập nhật một cẩm nang (playbook) để ghi lại cách mô hình hóa công việc giữa con người và agent nhằm hỗ trợ việc triển khai trên toàn doanh nghiệp.</w:t>
      </w:r>
    </w:p>
    <w:p>
      <w:pPr>
        <w:spacing w:after="80"/>
      </w:pPr>
      <w:r>
        <w:rPr>
          <w:b w:val="0"/>
          <w:i w:val="0"/>
        </w:rPr>
        <w:t>Khi LATAM nhìn về phía trước, họ đang nhanh chóng tích hợp các AI agent vào các chương trình khác của mình, đặc biệt tập trung vào vòng đời phát triển sản phẩm. Các nỗ lực ban đầu đã sử dụng agent để ghi lại các cuộc thảo luận với khách hàng, tổng hợp chúng thành các yêu cầu, đề xuất một nguyên mẫu để thử nghiệm giải pháp và xây dựng nó bằng HTML. Quy trình này, trước đây mất sáu đến tám tuần, giờ có thể hoàn thành chỉ trong một giờ.</w:t>
      </w:r>
    </w:p>
    <w:p>
      <w:pPr>
        <w:spacing w:after="80"/>
      </w:pPr>
      <w:r>
        <w:rPr>
          <w:b w:val="0"/>
          <w:i w:val="0"/>
        </w:rPr>
        <w:t>Một trong những thách thức chính mà LATAM phát hiện là làm thế nào để nhanh chóng điều chuyển con người sang làm các nhiệm vụ bổ sung với thời gian rảnh họ có được, và làm thế nào để duy trì tư duy khan hiếm nhằm giữ các nhóm nhỏ gọn. Những thách thức này đòi hỏi LATAM phải điều chỉnh các thực hành quản lý và hiệu suất của mình.</w:t>
      </w:r>
    </w:p>
    <w:p>
      <w:pPr>
        <w:spacing w:after="80"/>
      </w:pPr>
      <w:r>
        <w:rPr>
          <w:b/>
          <w:i/>
        </w:rPr>
        <w:t>Thành công của chương trình agentic chỉ có thể đạt được vì LATAM đã đặt nền móng vững chắc</w:t>
      </w:r>
      <w:r>
        <w:rPr>
          <w:b/>
          <w:i w:val="0"/>
        </w:rPr>
        <w:t>.</w:t>
      </w:r>
    </w:p>
    <w:p>
      <w:pPr>
        <w:spacing w:after="80"/>
      </w:pPr>
      <w:r>
        <w:rPr>
          <w:b w:val="0"/>
          <w:i w:val="0"/>
        </w:rPr>
        <w:t>Hai yếu tố nền tảng đặc biệt đóng vai trò then chốt. Một là nền tảng công nghệ vững mạnh, bao gồm các pipeline tự động, các code base được chuẩn hóa, các sản phẩm dữ liệu được phát triển tốt và tài liệu được duy trì cẩn thận. Nếu không có những thứ này, các agent sẽ gặp khó khăn trong việc lấy thông tin cần thiết để thực hiện nhiệm vụ một cách có thể dự đoán và hiệu quả.</w:t>
      </w:r>
    </w:p>
    <w:p>
      <w:pPr>
        <w:spacing w:after="80"/>
      </w:pPr>
      <w:r>
        <w:rPr>
          <w:b w:val="0"/>
          <w:i w:val="0"/>
        </w:rPr>
        <w:t>Yếu tố còn lại là một mô hình vận hành định hướng sản phẩm, nơi các nhóm đa chức năng kết hợp các agent để làm việc nhanh chóng và lặp đi lặp lại nhằm phát triển và cải thiện sản phẩm. Mô hình vận hành này mang lại cho LATAM tốc độ và sự linh hoạt để tiếp tục tăng tốc con đường tạo giá trị của mình.</w:t>
      </w:r>
    </w:p>
    <w:p>
      <w:pPr>
        <w:spacing w:after="80"/>
      </w:pPr>
      <w:r>
        <w:rPr>
          <w:b w:val="0"/>
          <w:i w:val="0"/>
        </w:rPr>
        <w:t>Với những nền tảng được tái cấu trúc này, LATAM đang ở vị thế tốt để tích hợp làn sóng AI agentic hiện tại, cũng như bất kỳ làn sóng đổi mới nào tiếp theo. Đó là bởi vì các hệ thống nền tảng này được định vị để khai thác công nghệ chứ không chỉ đơn thuần triển khai nó.</w:t>
      </w:r>
    </w:p>
    <w:p>
      <w:pPr>
        <w:spacing w:after="80"/>
      </w:pPr>
      <w:r>
        <w:rPr>
          <w:b w:val="0"/>
          <w:i/>
        </w:rPr>
        <w:t>Các tác giả xin cảm ơn Juliana Rios, Giám đốc Kỹ thuật số và IT của LATAM Airlines, vì sự hướng dẫn của bà trong việc viết ví dụ tình huống này. Tình huống này được phát triển cho</w:t>
      </w:r>
      <w:r>
        <w:rPr>
          <w:b w:val="0"/>
          <w:i w:val="0"/>
        </w:rPr>
        <w:t xml:space="preserve"> Rewired </w:t>
      </w:r>
      <w:r>
        <w:rPr>
          <w:b w:val="0"/>
          <w:i/>
        </w:rPr>
        <w:t>với sự hợp tác của các lãnh đạo McKinsey là Jaime Szigethi và Juan Vasquez</w:t>
      </w:r>
      <w:r>
        <w:rPr>
          <w:b w:val="0"/>
          <w:i w:val="0"/>
        </w:rPr>
        <w:t>.</w:t>
      </w:r>
    </w:p>
    <w:p>
      <w:pPr>
        <w:pStyle w:val="Heading1"/>
      </w:pPr>
      <w:r>
        <w:rPr>
          <w:rFonts w:ascii="Calibri" w:hAnsi="Calibri"/>
          <w:b/>
          <w:i w:val="0"/>
          <w:sz w:val="40"/>
        </w:rPr>
        <w:t>CHƯƠNG 37</w:t>
      </w:r>
      <w:r>
        <w:rPr>
          <w:rFonts w:ascii="Calibri" w:hAnsi="Calibri"/>
          <w:b/>
          <w:i w:val="0"/>
          <w:sz w:val="40"/>
        </w:rPr>
      </w:r>
      <w:r>
        <w:rPr>
          <w:rFonts w:ascii="Calibri" w:hAnsi="Calibri"/>
          <w:b/>
          <w:i w:val="0"/>
          <w:sz w:val="40"/>
        </w:rPr>
        <w:t xml:space="preserve">Toyota: Từ những cải tiến </w:t>
      </w:r>
      <w:r>
        <w:rPr>
          <w:rFonts w:ascii="Calibri" w:hAnsi="Calibri"/>
          <w:b/>
          <w:i/>
          <w:sz w:val="40"/>
        </w:rPr>
        <w:t>kaizen</w:t>
      </w:r>
      <w:r>
        <w:rPr>
          <w:rFonts w:ascii="Calibri" w:hAnsi="Calibri"/>
          <w:b/>
          <w:i w:val="0"/>
          <w:sz w:val="40"/>
        </w:rPr>
        <w:t xml:space="preserve"> đến những bước nhảy vọt về giá trị</w:t>
      </w:r>
    </w:p>
    <w:p>
      <w:pPr>
        <w:spacing w:after="80"/>
      </w:pPr>
      <w:r>
        <w:rPr>
          <w:b w:val="0"/>
          <w:i w:val="0"/>
        </w:rPr>
        <w:t>Hành trình chuyển đổi AI của một huyền thoại xe hơi hướng tới một tương lai agentic</w:t>
      </w:r>
    </w:p>
    <w:p>
      <w:pPr>
        <w:pStyle w:val="Heading2"/>
      </w:pPr>
      <w:r>
        <w:rPr>
          <w:rFonts w:ascii="Calibri" w:hAnsi="Calibri"/>
          <w:b/>
          <w:i w:val="0"/>
          <w:sz w:val="32"/>
        </w:rPr>
        <w:t>Giới thiệu về Toyota Motor North America</w:t>
      </w:r>
    </w:p>
    <w:p>
      <w:pPr>
        <w:spacing w:after="80"/>
      </w:pPr>
      <w:r>
        <w:rPr>
          <w:b/>
          <w:i w:val="0"/>
        </w:rPr>
        <w:t>Mô tả công ty:</w:t>
      </w:r>
      <w:r>
        <w:rPr>
          <w:b w:val="0"/>
          <w:i w:val="0"/>
        </w:rPr>
        <w:t xml:space="preserve"> TMNA có trụ sở tại Plano, Texas, và là thực thể điều hành chính quản lý toàn bộ hoạt động kinh doanh của Toyota tại Bắc Mỹ. Đây là công ty con thuộc sở hữu hoàn toàn của Toyota Motor Corporation (Nhật Bản). TMNA hợp nhất các chức năng tiếp thị, bán hàng, kỹ thuật, sản xuất, hỗ trợ sau bán hàng, logistics và các chức năng doanh nghiệp dưới mô hình tổ chức “One Toyota”.</w:t>
      </w:r>
    </w:p>
    <w:p>
      <w:pPr>
        <w:spacing w:after="80"/>
      </w:pPr>
      <w:r>
        <w:rPr>
          <w:b/>
          <w:i w:val="0"/>
        </w:rPr>
        <w:t>Số lượng nhân viên:</w:t>
      </w:r>
      <w:r>
        <w:rPr>
          <w:b w:val="0"/>
          <w:i w:val="0"/>
        </w:rPr>
        <w:t xml:space="preserve"> 65,000+</w:t>
      </w:r>
    </w:p>
    <w:p>
      <w:pPr>
        <w:spacing w:after="80"/>
      </w:pPr>
      <w:r>
        <w:rPr>
          <w:b/>
          <w:i w:val="0"/>
        </w:rPr>
        <w:t>Doanh thu:</w:t>
      </w:r>
      <w:r>
        <w:rPr>
          <w:b w:val="0"/>
          <w:i w:val="0"/>
        </w:rPr>
        <w:t xml:space="preserve"> 121 tỷ USD (năm tài chính 2025)</w:t>
      </w:r>
    </w:p>
    <w:p>
      <w:pPr>
        <w:spacing w:after="80"/>
      </w:pPr>
      <w:r>
        <w:rPr>
          <w:b/>
          <w:i w:val="0"/>
        </w:rPr>
        <w:t>Phạm vi địa lý:</w:t>
      </w:r>
      <w:r>
        <w:rPr>
          <w:b w:val="0"/>
          <w:i w:val="0"/>
        </w:rPr>
        <w:t xml:space="preserve"> Canada, Mexico và Hoa Kỳ</w:t>
      </w:r>
    </w:p>
    <w:p>
      <w:pPr>
        <w:spacing w:after="80"/>
      </w:pPr>
      <w:r>
        <w:rPr>
          <w:b w:val="0"/>
          <w:i w:val="0"/>
        </w:rPr>
        <w:t>Kevin Austin, vào thời điểm đó là phó chủ tịch phụ trách chuỗi cung ứng của Toyota Motor North America, đang xem xét các dự báo cung và cầu ô tô của mình. Đó là mùa hè năm 2020, và COVID-19 đang càn quét khắp đất nước.</w:t>
      </w:r>
    </w:p>
    <w:p>
      <w:pPr>
        <w:spacing w:after="80"/>
      </w:pPr>
      <w:r>
        <w:rPr>
          <w:b w:val="0"/>
          <w:i w:val="0"/>
        </w:rPr>
        <w:t>Lượng hàng tồn kho đệm thông thường mà Toyota (chúng ta sẽ gọi Toyota Motor North America là “Toyota” xuyên suốt ví dụ tình huống này) duy trì để quản lý những biến động cung cầu đã bốc hơi dường như chỉ sau một đêm. Những khách hàng đã đặt mua xe thì gọi điện hỏi khi nào xe sẽ đến, và các đại lý gặp khó khăn trong việc đưa ra câu trả lời rõ ràng.</w:t>
      </w:r>
    </w:p>
    <w:p>
      <w:pPr>
        <w:spacing w:after="80"/>
      </w:pPr>
      <w:r>
        <w:rPr>
          <w:b w:val="0"/>
          <w:i w:val="0"/>
        </w:rPr>
        <w:t>Tình huống này là một trong nhiều thách thức lớn mà COVID-19 phơi bày, đòi hỏi những nỗ lực phi thường để giải quyết. Nhưng nó cũng cho phép Kevin, người từ đó đã trở thành phó chủ tịch tập đoàn phụ trách chuỗi cung ứng, lùi lại một bước và thực sự suy ngẫm vì sao lại có sự chênh lệch lớn đến vậy giữa các dự báo cung và cầu.</w:t>
      </w:r>
    </w:p>
    <w:p>
      <w:pPr>
        <w:spacing w:after="80"/>
      </w:pPr>
      <w:r>
        <w:rPr>
          <w:b w:val="0"/>
          <w:i w:val="0"/>
        </w:rPr>
        <w:t>“Chẳng lẽ chúng ta không thể làm tốt hơn việc căn chỉnh hai hệ thống này sao?” anh tự hỏi. Nếu Amazon có thể theo dõi một cuốn sách giá 10 USD, thì tại sao Toyota lại không thể theo dõi một chiếc xe giá 40,000 USD?</w:t>
      </w:r>
    </w:p>
    <w:p>
      <w:pPr>
        <w:pStyle w:val="Heading2"/>
      </w:pPr>
      <w:r>
        <w:rPr>
          <w:rFonts w:ascii="Calibri" w:hAnsi="Calibri"/>
          <w:b/>
          <w:i w:val="0"/>
          <w:sz w:val="32"/>
        </w:rPr>
        <w:t>Từ cải tiến liên tục đến tham vọng táo bạo</w:t>
      </w:r>
    </w:p>
    <w:p>
      <w:pPr>
        <w:spacing w:after="80"/>
      </w:pPr>
      <w:r>
        <w:rPr>
          <w:b w:val="0"/>
          <w:i w:val="0"/>
        </w:rPr>
        <w:t xml:space="preserve">Những câu hỏi này là hạt nhân của một nỗ lực dẫn đến quá trình chuyển đổi AI vượt xa chuỗi cung ứng của Toyota và tạo nền tảng cho kỷ nguyên agentic. Khát vọng cải tiến này không mới mẻ gì ở Toyota, một tổ chức mà </w:t>
      </w:r>
      <w:r>
        <w:rPr>
          <w:b w:val="0"/>
          <w:i/>
        </w:rPr>
        <w:t>kaizen</w:t>
      </w:r>
      <w:r>
        <w:rPr>
          <w:b w:val="0"/>
          <w:i w:val="0"/>
        </w:rPr>
        <w:t>—tiếng Nhật nghĩa là “cải tiến liên tục”—là nền tảng của nền văn hóa huyền thoại. Việc một phó chủ tịch trở thành động lực cho một thay đổi lớn cũng không có gì lạ. Niềm tin cốt lõi của Toyota là đổi mới tốt nhất đến từ những người làm chủ chức năng đó.</w:t>
      </w:r>
    </w:p>
    <w:p>
      <w:pPr>
        <w:spacing w:after="80"/>
      </w:pPr>
      <w:r>
        <w:rPr>
          <w:b w:val="0"/>
          <w:i w:val="0"/>
        </w:rPr>
        <w:t xml:space="preserve">Điều khác thường ở chương trình chuyển đổi này là quy mô và tầm nhìn đầu-cuối của nó. Cam kết của Toyota với </w:t>
      </w:r>
      <w:r>
        <w:rPr>
          <w:b w:val="0"/>
          <w:i/>
        </w:rPr>
        <w:t>kaizen</w:t>
      </w:r>
      <w:r>
        <w:rPr>
          <w:b w:val="0"/>
          <w:i w:val="0"/>
        </w:rPr>
        <w:t xml:space="preserve"> theo truyền thống mang lại một chuỗi cải tiến liên tục 3–5% cho các quy trình cụ thể, điều mà cả ngành phải ghen tị. Nhưng tham vọng trong trường hợp này là một quá trình chuyển đổi Công nghệ &amp; AI mang lại thay đổi kinh doanh toàn hệ thống trị giá hàng trăm triệu USD.</w:t>
      </w:r>
    </w:p>
    <w:p>
      <w:pPr>
        <w:spacing w:after="80"/>
      </w:pPr>
      <w:r>
        <w:rPr>
          <w:b w:val="0"/>
          <w:i w:val="0"/>
        </w:rPr>
        <w:t>Giải pháp bắt đầu manh nha khi ban lãnh đạo Toyota suy nghĩ thấu đáo về những câu hỏi của Kevin đã chỉ ra một khát vọng lớn hơn nhiều: căn chỉnh cầu và cung để Toyota có thể giao đúng chiếc xe cho đúng khách hàng tại đúng địa điểm và đúng thời điểm.</w:t>
      </w:r>
    </w:p>
    <w:p>
      <w:pPr>
        <w:spacing w:after="80"/>
      </w:pPr>
      <w:r>
        <w:rPr>
          <w:b/>
          <w:i/>
        </w:rPr>
        <w:t>Để hiện thực hóa khát vọng và nắm bắt giá trị đòi hỏi sự hợp tác sâu rộng giữa nhiều chức năng trong tổ chức, bao gồm khách hàng, đại lý, chuỗi cung ứng và hoạch định, sản xuất, và các nhà cung cấp</w:t>
      </w:r>
      <w:r>
        <w:rPr>
          <w:b/>
          <w:i w:val="0"/>
        </w:rPr>
        <w:t>.</w:t>
      </w:r>
    </w:p>
    <w:p>
      <w:pPr>
        <w:spacing w:after="80"/>
      </w:pPr>
      <w:r>
        <w:rPr>
          <w:b w:val="0"/>
          <w:i w:val="0"/>
        </w:rPr>
        <w:t>Sự chênh lệch giữa cầu và cung từ lâu đã là một thách thức khổng lồ của ngành, có thể dẫn đến một loạt hiệu ứng dây chuyền làm giảm lợi nhuận. Những hiệu ứng này có thể bao gồm hành vi chiết khấu quá mức của đại lý; sự lệch pha giữa khuyến mãi và nguồn cung thực tế; sự kém hiệu quả trong cung ứng, sản xuất và logistics; trải nghiệm khách hàng dưới mức mong đợi; và doanh số bị bỏ lỡ, cùng nhiều vấn đề khác.</w:t>
      </w:r>
    </w:p>
    <w:p>
      <w:pPr>
        <w:spacing w:after="80"/>
      </w:pPr>
      <w:r>
        <w:rPr>
          <w:b/>
          <w:i/>
        </w:rPr>
        <w:t>Ban lãnh đạo biết họ cần học hỏi từ những người khác, nhưng quan trọng là họ không nghiên cứu các công ty ô tô. Thay vào đó, họ hướng đến các doanh nghiệp trong ngành thời trang nhanh và điện tử, những nơi đã thành thạo dự đoán nhu cầu và sự linh hoạt của chuỗi cung ứng</w:t>
      </w:r>
      <w:r>
        <w:rPr>
          <w:b/>
          <w:i w:val="0"/>
        </w:rPr>
        <w:t>.</w:t>
      </w:r>
    </w:p>
    <w:p>
      <w:pPr>
        <w:spacing w:after="80"/>
      </w:pPr>
      <w:r>
        <w:rPr>
          <w:b w:val="0"/>
          <w:i w:val="0"/>
        </w:rPr>
        <w:t>Tại một doanh nghiệp thời trang nhanh, các nhà lãnh đạo Toyota đã thấy cách công ty này có thể dự đoán sở thích mua hàng của khách hàng (thường là trước cả khi chính khách hàng biết) dựa trên xu hướng của người ảnh hưởng, với độ chính xác đáng kinh ngạc. Sau đó họ có thể xoay chuyển toàn bộ chuỗi cung ứng trong một hoặc hai tuần để phát triển và đưa ra cửa hàng những mặt hàng mà khách hàng muốn.</w:t>
      </w:r>
    </w:p>
    <w:p>
      <w:pPr>
        <w:spacing w:after="80"/>
      </w:pPr>
      <w:r>
        <w:rPr>
          <w:b w:val="0"/>
          <w:i w:val="0"/>
        </w:rPr>
        <w:t>Khi đến thăm một nhà sản xuất thiết bị điện tử, các nhà lãnh đạo của Toyota đã thấy cách công ty đó tiếp nhận tín hiệu nhu cầu từ nhiều công ty điện tử khác nhau, rồi truyền đạt chúng đến các nhà cung cấp để nhanh chóng điều chỉnh năng lực sản xuất.</w:t>
      </w:r>
    </w:p>
    <w:p>
      <w:pPr>
        <w:spacing w:after="80"/>
      </w:pPr>
      <w:r>
        <w:rPr>
          <w:b w:val="0"/>
          <w:i w:val="0"/>
        </w:rPr>
        <w:t>Kết quả của những trải nghiệm đi-và-thấy này là một tầm nhìn sắc nét hơn về những gì có thể đạt được, bằng cách kết hợp hai năng lực then chốt: dự đoán nhu cầu khách hàng và sự linh hoạt của chuỗi cung ứng. Toyota muốn dự đoán loại xe mà một khách hàng cụ thể sẽ muốn, gửi dự báo đó đến các nhà cung cấp và nhà máy sản xuất để chế tạo nó, rồi giao chiếc xe đó đến đúng bãi đại lý trước khi khách hàng sẵn sàng mua. Về bản chất, Toyota đang hướng tới việc phát triển một dịch vụ kết nối đỉnh cao, gắn kết khách hàng với chiếc xe mà họ lựa chọn.</w:t>
      </w:r>
    </w:p>
    <w:p>
      <w:pPr>
        <w:spacing w:after="80"/>
      </w:pPr>
      <w:r>
        <w:rPr>
          <w:b w:val="0"/>
          <w:i w:val="0"/>
        </w:rPr>
        <w:t xml:space="preserve">Phân tích ban đầu cho thấy nỗ lực này có thể đáng giá 500 triệu đô-la lợi nhuận. Góc nhìn này mở ra cánh cửa để Toyota xây dựng dựa trên tư duy </w:t>
      </w:r>
      <w:r>
        <w:rPr>
          <w:b w:val="0"/>
          <w:i/>
        </w:rPr>
        <w:t>kaizen</w:t>
      </w:r>
      <w:r>
        <w:rPr>
          <w:b w:val="0"/>
          <w:i w:val="0"/>
        </w:rPr>
        <w:t xml:space="preserve"> nhằm tái hình dung và tái thiết một mô hình kinh doanh đầu-cuối xuyên suốt chuỗi cung ứng, từ việc sản xuất xe đến việc giao xe cho khách hàng.</w:t>
      </w:r>
    </w:p>
    <w:p>
      <w:pPr>
        <w:spacing w:after="80"/>
      </w:pPr>
      <w:r>
        <w:rPr>
          <w:b w:val="0"/>
          <w:i w:val="0"/>
        </w:rPr>
        <w:t>Tham vọng này là một bước tiến lớn vì nó thừa nhận rằng việc khớp nối cung-cầu này nằm ở trung tâm của cỗ máy giá trị doanh nghiệp của Toyota.</w:t>
      </w:r>
    </w:p>
    <w:p>
      <w:pPr>
        <w:spacing w:after="80"/>
      </w:pPr>
      <w:r>
        <w:rPr>
          <w:b/>
          <w:i/>
        </w:rPr>
        <w:t>Đây hoàn toàn không phải là một nỗ lực tối ưu hóa chuỗi cung ứng; đây là việc chuyển đổi chức năng chuỗi cung ứng thành một bộ điều phối toàn công ty và cỗ máy tối ưu hóa giá trị</w:t>
      </w:r>
      <w:r>
        <w:rPr>
          <w:b/>
          <w:i w:val="0"/>
        </w:rPr>
        <w:t>.</w:t>
      </w:r>
    </w:p>
    <w:p>
      <w:pPr>
        <w:spacing w:after="80"/>
      </w:pPr>
      <w:r>
        <w:rPr>
          <w:b w:val="0"/>
          <w:i w:val="0"/>
        </w:rPr>
        <w:t>Chuỗi cung ứng về cơ bản đã trở thành một nền tảng tích hợp sản xuất, thu mua, bán hàng, dịch vụ hậu mãi, các nhà cung cấp và các đại lý để cùng nhau tạo nên một màn cân bằng cung-cầu trên toàn công ty.</w:t>
      </w:r>
    </w:p>
    <w:p>
      <w:pPr>
        <w:pStyle w:val="Heading2"/>
      </w:pPr>
      <w:r>
        <w:rPr>
          <w:rFonts w:ascii="Calibri" w:hAnsi="Calibri"/>
          <w:b/>
          <w:i w:val="0"/>
          <w:sz w:val="32"/>
        </w:rPr>
        <w:t>Trao quyền cho bộ phận kinh doanh và đặt khách hàng làm trung tâm</w:t>
      </w:r>
    </w:p>
    <w:p>
      <w:pPr>
        <w:spacing w:after="80"/>
      </w:pPr>
      <w:r>
        <w:rPr>
          <w:b w:val="0"/>
          <w:i w:val="0"/>
        </w:rPr>
        <w:t>Khi Kevin và đội ngũ của ông bắt đầu lắp ghép lộ trình để mang lại sự thay đổi này, họ biết mình cần neo chặt quá trình chuyển đổi vào khách hàng. Đây là một ý tưởng mang tính đột phá vì, giống như hầu hết các công ty công nghiệp, tổ chức chuỗi cung ứng của Toyota theo truyền thống tập trung vào việc đạt chỉ tiêu giao xe.</w:t>
      </w:r>
    </w:p>
    <w:p>
      <w:pPr>
        <w:spacing w:after="80"/>
      </w:pPr>
      <w:r>
        <w:rPr>
          <w:b w:val="0"/>
          <w:i w:val="0"/>
        </w:rPr>
        <w:t>Điều then chốt là tổ chức phải tập trung thay vào đó vào việc mang lại những gì khách hàng muốn, và không chỉ một lần trong một giao dịch mua xe duy nhất mà suốt cả vòng đời sở hữu của khách hàng. Để giúp sự tập trung này bớt trừu tượng, Kevin và đội ngũ của ông đã phát triển một video hoạt hình ngắn có một cặp vợ chồng tên là Ava và Wallace.</w:t>
      </w:r>
    </w:p>
    <w:p>
      <w:pPr>
        <w:spacing w:after="80"/>
      </w:pPr>
      <w:r>
        <w:rPr>
          <w:b w:val="0"/>
          <w:i w:val="0"/>
        </w:rPr>
        <w:t>Họ đại diện cho khách hàng Toyota tại Mỹ, và video theo chân họ qua các giai đoạn của cuộc sống hôn nhân, cùng cách nhu cầu, trải nghiệm và lựa chọn xe của họ thay đổi. Mục đích là để cho thấy chuỗi cung ứng không chỉ là việc giao một chiếc xe; mà là làm cho khách hàng hài lòng và mang lại những khoảnh khắc "chỉ riêng Toyota". Khi đội ngũ chuyển đổi lập kế hoạch cho chương trình của mình, Ava và Wallace đã trở thành điểm tựa để định hướng và neo giữ các quyết định then chốt.</w:t>
      </w:r>
    </w:p>
    <w:p>
      <w:pPr>
        <w:spacing w:after="80"/>
      </w:pPr>
      <w:r>
        <w:rPr>
          <w:b w:val="0"/>
          <w:i w:val="0"/>
        </w:rPr>
        <w:t>Việc xây dựng hệ thống dự báo cung-cầu tinh vi để đáp ứng nhu cầu của Ava và Wallace đòi hỏi sự thay đổi trên quy mô rộng lớn.</w:t>
      </w:r>
    </w:p>
    <w:p>
      <w:pPr>
        <w:spacing w:after="80"/>
      </w:pPr>
      <w:r>
        <w:rPr>
          <w:b/>
          <w:i/>
        </w:rPr>
        <w:t>Để sự thay đổi bám trụ được, ban lãnh đạo biết rằng bộ phận kinh doanh phải dẫn dắt nó—đây không thể là một dự án IT</w:t>
      </w:r>
      <w:r>
        <w:rPr>
          <w:b/>
          <w:i w:val="0"/>
        </w:rPr>
        <w:t>.</w:t>
      </w:r>
    </w:p>
    <w:p>
      <w:pPr>
        <w:spacing w:after="80"/>
      </w:pPr>
      <w:r>
        <w:rPr>
          <w:b w:val="0"/>
          <w:i w:val="0"/>
        </w:rPr>
        <w:t>Vì vậy họ đã đầu tư vào việc thu hút nhân tài hàng đầu từ phía kinh doanh để hoạt động như những chủ sở hữu sản phẩm (product owner) dẫn dắt các đội ngũ giải pháp khác nhau. Điều đó bắt đầu bằng việc xác định những ngôi sao đang lên trong bộ phận kinh doanh, những người đã thể hiện bản năng khởi nghiệp. Sau đó, đội ngũ của Kevin trao cho những ngôi sao đang lên này những mục tiêu đầy tham vọng và cho họ không gian để tái hình dung các quy trình kinh doanh và mang lại giá trị. Sự tự do khám phá và vận hành này rất có ý nghĩa trong một công ty vốn tự hào về việc tuân thủ các kế hoạch chặt chẽ, điều vốn là cốt lõi cho thành công của Toyota.</w:t>
      </w:r>
    </w:p>
    <w:p>
      <w:pPr>
        <w:spacing w:after="80"/>
      </w:pPr>
      <w:r>
        <w:rPr>
          <w:b w:val="0"/>
          <w:i w:val="0"/>
        </w:rPr>
        <w:t>Khi nhóm ngôi sao đang lên ban đầu này đã thành công, ban lãnh đạo Toyota đảm bảo nâng cao vị thế của họ bằng cách cho họ sự hiện diện trong công ty, và giới thiệu họ tại các sự kiện bên ngoài. Một số người được thăng chức hai hoặc ba lần trong suốt quá trình chuyển đổi. Sự kết hợp giữa quyền tự chủ, động lực, sự hiện diện và thành công, tất nhiên, đã giúp thu hút những nhân tài giỏi nhất tham gia chương trình chuyển đổi.</w:t>
      </w:r>
    </w:p>
    <w:p>
      <w:pPr>
        <w:pStyle w:val="Heading2"/>
      </w:pPr>
      <w:r>
        <w:rPr>
          <w:rFonts w:ascii="Calibri" w:hAnsi="Calibri"/>
          <w:b/>
          <w:i w:val="0"/>
          <w:sz w:val="32"/>
        </w:rPr>
        <w:t>Xây dựng một nền tảng gồm các công nghệ liên kết và mở rộng quy mô</w:t>
      </w:r>
    </w:p>
    <w:p>
      <w:pPr>
        <w:spacing w:after="80"/>
      </w:pPr>
      <w:r>
        <w:rPr>
          <w:b w:val="0"/>
          <w:i w:val="0"/>
        </w:rPr>
        <w:t>Cấu trúc lãnh đạo này sẽ trở thành phương tiện cho sự thay đổi, nhưng động cơ của nó sẽ dựa vào những nâng cấp đáng kể cho công nghệ doanh nghiệp. Thực tế này buộc Toyota phải đối mặt với các hệ thống cốt lõi đã cũ và cứng nhắc, tạo ra một ràng buộc đáng kể cho đội ngũ chuyển đổi.</w:t>
      </w:r>
    </w:p>
    <w:p>
      <w:pPr>
        <w:spacing w:after="80"/>
      </w:pPr>
      <w:r>
        <w:rPr>
          <w:b w:val="0"/>
          <w:i w:val="0"/>
        </w:rPr>
        <w:t>Ban lãnh đạo biết rằng việc hiện đại hóa toàn bộ hệ thống công nghệ, dù là ưu tiên chung của doanh nghiệp, sẽ mất quá nhiều thời gian và có nguy cơ làm xáo trộn hệ thống mà toàn bộ hoạt động kinh doanh đang phụ thuộc vào. Thay vào đó, họ nhận ra rằng sẽ nhanh hơn, rẻ hơn (và hiệu quả tương đương) nếu bắt đầu bằng việc trích xuất dữ liệu từ các hệ thống hiện có và xây dựng dựa trên nền tảng cloud sẵn có. Dù ban lãnh đạo có chút lo ngại về việc tạo ra nợ công nghệ (tech debt), nhưng lợi ích từ việc tận dụng triệt để các khả năng và chuyên môn sẵn có của cloud là hoàn toàn xứng đáng.</w:t>
      </w:r>
    </w:p>
    <w:p>
      <w:pPr>
        <w:spacing w:after="80"/>
      </w:pPr>
      <w:r>
        <w:rPr>
          <w:b w:val="0"/>
          <w:i w:val="0"/>
        </w:rPr>
        <w:t>Chìa khóa để thiết lập năng lực dự báo cung - cầu là phát triển một nền tảng với một loạt công nghệ và tập dữ liệu liên kết với nhau.</w:t>
      </w:r>
    </w:p>
    <w:p>
      <w:pPr>
        <w:spacing w:after="80"/>
      </w:pPr>
      <w:r>
        <w:rPr>
          <w:b/>
          <w:i/>
        </w:rPr>
        <w:t>Các năng lực phân tích (analytics) tập trung vào việc phát triển nhiều loại thông tin chi tiết về các ưu tiên kinh doanh, từ khách hàng đến bán hàng, chuỗi cung ứng đến đối thủ cạnh tranh. Dù mỗi năng lực đều quan trọng, giá trị thực sự nằm ở cách thông tin luân chuyển giữa chúng để ban lãnh đạo có thể đưa ra quyết định tốt hơn</w:t>
      </w:r>
      <w:r>
        <w:rPr>
          <w:b/>
          <w:i w:val="0"/>
        </w:rPr>
        <w:t>.</w:t>
      </w:r>
    </w:p>
    <w:p>
      <w:pPr>
        <w:spacing w:after="80"/>
      </w:pPr>
      <w:r>
        <w:rPr>
          <w:b w:val="0"/>
          <w:i w:val="0"/>
        </w:rPr>
        <w:t>Trong khi nhóm chuyển đổi phát triển nhiều sản phẩm dữ liệu và AI, có hai sản phẩm then chốt:</w:t>
      </w:r>
    </w:p>
    <w:p>
      <w:pPr>
        <w:spacing w:after="80"/>
        <w:ind w:left="360"/>
      </w:pPr>
      <w:r>
        <w:t xml:space="preserve">• </w:t>
      </w:r>
      <w:r>
        <w:rPr>
          <w:b/>
          <w:i w:val="0"/>
        </w:rPr>
        <w:t>Mô hình dự báo nhu cầu.</w:t>
      </w:r>
      <w:r>
        <w:rPr>
          <w:b w:val="0"/>
          <w:i w:val="0"/>
        </w:rPr>
        <w:t xml:space="preserve"> Việc phân tích để dự báo nhu cầu rất phức tạp, đặc biệt vì Toyota không chỉ muốn biết ai đó muốn mẫu xe nào; họ còn muốn biết cả thông số kỹ thuật nữa. Điều đó có nghĩa là phải phân tích khoảng 5.000 cấu hình (phiên bản, hệ truyền động, tùy chọn nội thất, màu sắc, v.v.) cho khoảng 2,5 triệu xe được sản xuất mỗi năm.</w:t>
        <w:br/>
        <w:t>Các thuật toán ML được huấn luyện trên 200 biến dự báo hướng tới tương lai (như các mẫu hành vi khách hàng chi tiết và doanh số đối thủ) cùng tám năm dữ liệu về điều kiện thị trường, hồ sơ tồn kho và hành vi bán hàng. Các phân tích này tính đến độ co giãn của thị trường và cho phép chạy nhiều dải mô phỏng.</w:t>
        <w:br/>
        <w:br/>
      </w:r>
      <w:r>
        <w:rPr>
          <w:b/>
          <w:i/>
        </w:rPr>
        <w:t>Khi mô hình dự báo nhu cầu được triển khai, nó có thể dự đoán nhu cầu khách hàng đến tận cấp độ thông số kỹ thuật của xe trong thị trường của một đại lý địa phương với độ chính xác 85%. Điều này dẫn đến chu kỳ bán hàng nhanh hơn, ưu đãi mua xe cho khách hàng thấp hơn và cần ít hơn 20% vốn lưu động, mang lại lợi nhuận cao hơn 200 triệu đô la, tất cả chỉ trong năm đầu tiên của quá trình chuyển đổi</w:t>
      </w:r>
      <w:r>
        <w:rPr>
          <w:b/>
          <w:i w:val="0"/>
        </w:rPr>
        <w:t>.</w:t>
      </w:r>
      <w:r>
        <w:rPr>
          <w:b w:val="0"/>
          <w:i w:val="0"/>
        </w:rPr>
        <w:br/>
        <w:t>Quan trọng hơn, mô hình này trở thành công cụ dự báo duy nhất mà tất cả các phòng ban và bộ phận ở Bắc Mỹ đều sử dụng. Nó cho phép các nhóm đại lý, cung ứng và bán hàng phối hợp chặt chẽ hơn, chẳng hạn để lập kế hoạch và tối ưu hóa tồn kho.</w:t>
      </w:r>
    </w:p>
    <w:p>
      <w:pPr>
        <w:spacing w:after="80"/>
        <w:ind w:left="360"/>
      </w:pPr>
      <w:r>
        <w:t xml:space="preserve">• </w:t>
      </w:r>
      <w:r>
        <w:rPr>
          <w:b/>
          <w:i w:val="0"/>
        </w:rPr>
        <w:t>Bản sao số (digital twin) để khớp cung với cầu.</w:t>
      </w:r>
      <w:r>
        <w:rPr>
          <w:b w:val="0"/>
          <w:i w:val="0"/>
        </w:rPr>
        <w:t xml:space="preserve"> Mục tiêu của năng lực này là tiếp nhận nhu cầu thực, nguồn cung thực và các mục tiêu kinh doanh, rồi tối ưu hóa và mô phỏng các kế hoạch sản xuất xuống đến cấp độ từng chiếc xe, từng dây chuyền và từng tuần, trong vòng ba năm tới. Đây là một bước nhảy vọt lớn vì các nhà sản xuất thường chỉ có thể nhìn trước được 13 tuần, khiến việc lập kế hoạch chính xác gần như bất khả thi.</w:t>
        <w:br/>
        <w:t>Bản sao số tạo ra một kết nối hai chiều liên kết cung ứng và sản xuất. Các phân tích từ nhiều nguồn khác nhau—bao gồm các mô hình dự báo nhu cầu, cùng các ràng buộc về cung ứng và sản xuất—được tinh chỉnh theo các mục tiêu kinh doanh (như lợi nhuận hay sản lượng) để tối ưu hóa kế hoạch sản xuất và bán hàng.</w:t>
        <w:br/>
        <w:t>Quan trọng hơn, bản sao số không chỉ là một "công cụ tạo báo cáo"—nó là công cụ mà các nhà hoạch định chuỗi cung ứng và nhà sản xuất có thể cùng nhau sử dụng. Họ dùng nó để cùng nhau giải quyết vấn đề, giúp xác định nên sản xuất những xe nào dựa trên các ràng buộc khác nhau trong thời gian thực. Bản sao số cung cấp những dữ kiện cụ thể về các đánh đổi và chi phí của chúng để các nhóm có thể đưa ra quyết định tốt hơn.</w:t>
      </w:r>
    </w:p>
    <w:p>
      <w:pPr>
        <w:spacing w:after="80"/>
      </w:pPr>
      <w:r>
        <w:rPr>
          <w:b/>
          <w:i/>
        </w:rPr>
        <w:t>Bản sao số có thể xử lý một tỷ biến quyết định trong 15 phút để tối ưu hóa kế hoạch sản xuất cho 2,5 triệu xe. Trước đây, việc này được thực hiện bởi một nhóm lớn các chuyên viên phân tích với hàng chục bảng tính, các cuộc gọi hội nghị và làm đi làm lại trong khoảng 30 ngày. Bản sao số đã tạo ra 800 triệu đô la lợi nhuận nhờ sản lượng và cơ cấu sản phẩm tốt hơn</w:t>
      </w:r>
      <w:r>
        <w:rPr>
          <w:b/>
          <w:i w:val="0"/>
        </w:rPr>
        <w:t>.</w:t>
      </w:r>
    </w:p>
    <w:p>
      <w:pPr>
        <w:pStyle w:val="Heading2"/>
      </w:pPr>
      <w:r>
        <w:rPr>
          <w:rFonts w:ascii="Calibri" w:hAnsi="Calibri"/>
          <w:b/>
          <w:i w:val="0"/>
          <w:sz w:val="32"/>
        </w:rPr>
        <w:t>Làm cho dữ liệu vận hành được để các mô hình có thể hoạt động</w:t>
      </w:r>
    </w:p>
    <w:p>
      <w:pPr>
        <w:spacing w:after="80"/>
      </w:pPr>
      <w:r>
        <w:rPr>
          <w:b w:val="0"/>
          <w:i w:val="0"/>
        </w:rPr>
        <w:t>Sự thành công của các mô hình này phụ thuộc vào việc tiếp cận đúng dữ liệu. Ban đầu, đây là một thách thức lớn. Mỗi tập dữ liệu mà các mô hình truy cập, chẳng hạn, đều có bộ tích hợp riêng và đòi hỏi một lượng lớn công việc lập trình, kỹ thuật và điều phối dữ liệu để sử dụng được.</w:t>
      </w:r>
    </w:p>
    <w:p>
      <w:pPr>
        <w:spacing w:after="80"/>
      </w:pPr>
      <w:r>
        <w:rPr>
          <w:b w:val="0"/>
          <w:i w:val="0"/>
        </w:rPr>
        <w:t>Cách thiết lập này có nghĩa là các buổi đánh giá kế hoạch của ban điều hành, chẳng hạn, cần tới 100 người làm việc với các tập dữ liệu, và chia sẻ, cập nhật thủ công khoảng 75 bảng tính. Và các lãnh đạo cấp cao không có cách nào dễ dàng để có được góc nhìn hữu ích về doanh số hay tồn kho. Điều đó không thể duy trì lâu dài được.</w:t>
      </w:r>
    </w:p>
    <w:p>
      <w:pPr>
        <w:spacing w:after="80"/>
      </w:pPr>
      <w:r>
        <w:rPr>
          <w:b w:val="0"/>
          <w:i w:val="0"/>
        </w:rPr>
        <w:t>Nhưng với phần lớn dữ liệu nằm trong các hệ thống từ thập niên 1960 và 1970 được tạo ra từ những ngày đầu của kỷ nguyên máy tính, chỉ việc đưa dữ liệu đến một nơi có thể sử dụng hiệu quả đã là một thách thức khổng lồ. Vì vậy ban lãnh đạo quyết định không cố đại tu nó, mà thay vào đó giới hạn nỗ lực chuyển đổi dữ liệu vào việc tạo một data lake và chỉ nạp những dữ liệu cần thiết để hỗ trợ các trường hợp sử dụng giá trị nhất.</w:t>
      </w:r>
    </w:p>
    <w:p>
      <w:pPr>
        <w:spacing w:after="80"/>
      </w:pPr>
      <w:r>
        <w:rPr>
          <w:b w:val="0"/>
          <w:i w:val="0"/>
        </w:rPr>
        <w:t>Nỗ lực tập trung này tỏ ra gian nan, nhưng đã đền đáp khi nhóm phát triển trường hợp sử dụng AI đầu tiên: một năng lực gợi ý cơ cấu sản phẩm cho các khu vực bán hàng. Với những bất định liên quan đến COVID-19 và các ràng buộc nghiêm trọng về nguồn cung linh kiện, mô hình AI này đã sử dụng các sản phẩm dữ liệu về chuỗi cung ứng và phân tích khách hàng để giúp các thị trường xác định nên đặt mua những xe nào nhằm duy trì sản lượng và đáp ứng nhu cầu thị trường bất chấp các ràng buộc. Trường hợp này thành công đến mức không chỉ tạo ra nguồn vốn để tăng tốc chuyển đổi dữ liệu; nó còn tạo ra một làn sóng hào hứng khắp doanh nghiệp.</w:t>
      </w:r>
    </w:p>
    <w:p>
      <w:pPr>
        <w:pStyle w:val="Heading2"/>
      </w:pPr>
      <w:r>
        <w:rPr>
          <w:rFonts w:ascii="Calibri" w:hAnsi="Calibri"/>
          <w:b/>
          <w:i w:val="0"/>
          <w:sz w:val="32"/>
        </w:rPr>
        <w:t>Một lớp điều phối để vận hành tất cả</w:t>
      </w:r>
    </w:p>
    <w:p>
      <w:pPr>
        <w:spacing w:after="80"/>
      </w:pPr>
      <w:r>
        <w:rPr>
          <w:b w:val="0"/>
          <w:i w:val="0"/>
        </w:rPr>
        <w:t>Bản sao số tự nó đã là một bước nhảy vọt lớn, nhưng bí quyết nằm ở lớp điều phối (orchestration layer) bao trùm lên tất cả. Nền tảng này cung cấp một nguồn duy nhất và đáng tin cậy để thấy được hiệu suất trên toàn doanh nghiệp, để các đại lý, nhà cung cấp và lãnh đạo có thể truy cập các năng lực liên kết của hệ thống nhằm làm những việc trước đây hoặc bất khả thi hoặc cực kỳ tốn thời gian.</w:t>
      </w:r>
    </w:p>
    <w:p>
      <w:pPr>
        <w:spacing w:after="80"/>
      </w:pPr>
      <w:r>
        <w:rPr>
          <w:b w:val="0"/>
          <w:i w:val="0"/>
        </w:rPr>
        <w:t>Truy cập nền tảng như một ứng dụng, các nhà hoạch định có thể dùng nó để hiểu động thái cạnh tranh cập nhật, quy định thị trường và tình trạng của các sáng kiến đang triển khai, chẳng hạn. Hoặc họ có thể chạy nhiều mô phỏng kịch bản khác nhau và chia sẻ chúng với các nhóm chuỗi cung ứng và thương mại (với công cụ AI thậm chí còn đưa ra gợi ý về các tham số khác cần cân nhắc). Hoặc nếu một khách hàng yêu cầu một cấu hình cụ thể, thay vì gửi yêu cầu thủ công và chờ vài ngày, một đại lý có thể truy vấn hệ thống và nhận câu trả lời trong vài phút.</w:t>
      </w:r>
    </w:p>
    <w:p>
      <w:pPr>
        <w:spacing w:after="80"/>
      </w:pPr>
      <w:r>
        <w:rPr>
          <w:b/>
          <w:i/>
        </w:rPr>
        <w:t>Giao diện duy nhất này gần như đã loại bỏ cách quản lý, cập nhật và chia sẻ những bảng tính ngày càng phức tạp mà các nhà hoạch định từng dùng. Quan trọng hơn, quá trình này không phải là cải thiện những quy trình thường rất vất vả, ít can thiệp bằng cách dùng AI, mà là tái tưởng tượng chính các luồng công việc đó</w:t>
      </w:r>
      <w:r>
        <w:rPr>
          <w:b/>
          <w:i w:val="0"/>
        </w:rPr>
        <w:t>.</w:t>
      </w:r>
    </w:p>
    <w:p>
      <w:pPr>
        <w:spacing w:after="80"/>
      </w:pPr>
      <w:r>
        <w:rPr>
          <w:b w:val="0"/>
          <w:i w:val="0"/>
        </w:rPr>
        <w:t>Nhiều phép tính trước đây thường được thực hiện khi các nhà hoạch định chia sẻ bảng tính với nhau giờ đây được thực hiện tự động trong hệ thống. Những dữ liệu mà các nhóm phải mất công truy tìm, chẳng hạn như báo cáo sản xuất, giờ đây được tải sẵn tự động vào ứng dụng. Việc điều phối dữ liệu và luồng dữ liệu xuyên suốt hệ thống, cũng như các bước kiểm tra hệ thống và các bước quy trình—ai làm gì, và mỗi người cần thông tin gì—đều được tích hợp sẵn vào chính quy trình làm việc.</w:t>
      </w:r>
    </w:p>
    <w:p>
      <w:pPr>
        <w:spacing w:after="80"/>
      </w:pPr>
      <w:r>
        <w:rPr>
          <w:b w:val="0"/>
          <w:i w:val="0"/>
        </w:rPr>
        <w:t>Kết quả là các quy trình hoạch định cốt lõi giờ đây đã "không cần chạm tay" (touchless) khoảng 80%, nghĩa là không cần bất kỳ ai phải chạm vào kế hoạch để cập nhật hay chạy phép tính, bởi vì các quy trình làm việc dạng tác tử (agentic workflows) và các khả năng GenAI đóng vai trò như trợ lái (copilot) cho các nhà hoạch định. Điều này cải thiện đáng kể hiệu quả và loại bỏ sai sót.</w:t>
      </w:r>
    </w:p>
    <w:p>
      <w:pPr>
        <w:spacing w:after="80"/>
      </w:pPr>
      <w:r>
        <w:rPr>
          <w:b w:val="0"/>
          <w:i w:val="0"/>
        </w:rPr>
        <w:t>Theo thời gian, Toyota nâng cấp ứng dụng bằng cách bổ sung thêm dữ liệu và logic để các nhà lãnh đạo công ty có thể truy cập hệ thống cho những công việc ở tầm cao hơn, chẳng hạn như thiết lập chiến lược, xây dựng các quy trình làm việc mới, hoặc kiểm tra hiệu suất theo thời gian thực.</w:t>
      </w:r>
    </w:p>
    <w:p>
      <w:pPr>
        <w:pStyle w:val="Heading2"/>
      </w:pPr>
      <w:r>
        <w:rPr>
          <w:rFonts w:ascii="Calibri" w:hAnsi="Calibri"/>
          <w:b/>
          <w:i w:val="0"/>
          <w:sz w:val="32"/>
        </w:rPr>
        <w:t>Đưa các chuyên gia vào quy trình để xây dựng niềm tin và đảm bảo việc áp dụng</w:t>
      </w:r>
    </w:p>
    <w:p>
      <w:pPr>
        <w:spacing w:after="80"/>
      </w:pPr>
      <w:r>
        <w:rPr>
          <w:b w:val="0"/>
          <w:i w:val="0"/>
        </w:rPr>
        <w:t>Trong khi giá trị của ứng dụng và các hệ thống nền tảng nằm ở khả năng tự động hóa, thì thành công của nó lại nằm ở việc khiến người dùng tin tưởng. Hóa ra, xây dựng niềm tin và xây dựng một sản phẩm tuyệt vời là một và giống nhau.</w:t>
      </w:r>
    </w:p>
    <w:p>
      <w:pPr>
        <w:spacing w:after="80"/>
      </w:pPr>
      <w:r>
        <w:rPr>
          <w:b w:val="0"/>
          <w:i w:val="0"/>
        </w:rPr>
        <w:t>Ở một mức độ nào đó, điều này có nghĩa là đảm bảo ứng dụng có những điểm rõ ràng để con người có thể kiểm tra, xác minh và phê duyệt tại những thời điểm quan trọng trong quy trình. Nhưng ở tầng cơ bản hơn, việc xây dựng niềm tin là một sự đầu tư thời gian và một cam kết về tính minh bạch.</w:t>
      </w:r>
    </w:p>
    <w:p>
      <w:pPr>
        <w:spacing w:after="80"/>
      </w:pPr>
      <w:r>
        <w:rPr>
          <w:b w:val="0"/>
          <w:i w:val="0"/>
        </w:rPr>
        <w:t>Cách tiếp cận đó trở nên sống động khi ban lãnh đạo Toyota đưa ra quyết định then chốt là đưa các chuyên gia về lĩnh vực (subject matter experts - SMEs) được kính trọng trong bán hàng và sản xuất vào các nhóm phát triển giải pháp ngay từ đầu. Với tư cách là các nhà lãnh đạo kinh doanh, những SME này đồng dẫn dắt các nhóm, đề xuất tính năng, đánh giá các MVP, và kiểm thử kết quả đầu ra thông qua các bản xây dựng lặp đi lặp lại trong vòng sáu tuần kể từ khi khởi động nỗ lực này.</w:t>
      </w:r>
    </w:p>
    <w:p>
      <w:pPr>
        <w:spacing w:after="80"/>
      </w:pPr>
      <w:r>
        <w:rPr>
          <w:b w:val="0"/>
          <w:i w:val="0"/>
        </w:rPr>
        <w:t>Ví dụ, một tính năng mà các SME nhấn mạnh là tầm quan trọng của việc khiến mọi người chấp nhận một phép tính. Điều đó khiến việc có thể chạy các kịch bản khác nhau trở nên cực kỳ quan trọng để thuyết phục những người hoài nghi về lý do phép tính được đề xuất là tốt nhất và để xây dựng niềm tin với các bên liên quan. Vì vậy, các nhà phát triển đã xây dựng một khả năng chạy các kịch bản mới và tính toán kết quả của chúng theo thời gian thực (một quy trình trước đây mất khoảng hai ngày).</w:t>
      </w:r>
    </w:p>
    <w:p>
      <w:pPr>
        <w:spacing w:after="80"/>
      </w:pPr>
      <w:r>
        <w:rPr>
          <w:b w:val="0"/>
          <w:i w:val="0"/>
        </w:rPr>
        <w:t>Các nhóm phát triển đã chạy nhiều bài kiểm thử để đảm bảo các mô hình làm đúng những gì các SME mong muốn và giúp giải thích cách các mô hình đi đến câu trả lời của chúng. Họ đã có nhiều buổi trình bày chi tiết về cách các mô hình AI học hỏi và cách chúng xác định các yếu tố dự báo chính, chẳng hạn.</w:t>
      </w:r>
    </w:p>
    <w:p>
      <w:pPr>
        <w:spacing w:after="80"/>
      </w:pPr>
      <w:r>
        <w:rPr>
          <w:b w:val="0"/>
          <w:i w:val="0"/>
        </w:rPr>
        <w:t>Sự hợp tác chặt chẽ này là điều thiết yếu để biến nỗi lo lắng ban đầu thành sự nhiệt tình, bởi vì hệ thống tỏ ra dễ học và dễ sử dụng hơn rất nhiều so với hệ thống dựa trên bảng tính cũ.</w:t>
      </w:r>
    </w:p>
    <w:p>
      <w:pPr>
        <w:spacing w:after="80"/>
      </w:pPr>
      <w:r>
        <w:rPr>
          <w:b/>
          <w:i/>
        </w:rPr>
        <w:t>Trong khi các nhà hoạch định mới mất khoảng 15 tháng để thực sự làm việc hiệu quả khi dùng các mô hình bảng tính cũ, thì với hệ thống mới, họ đã làm việc hiệu quả chỉ trong một hoặc hai tháng</w:t>
      </w:r>
      <w:r>
        <w:rPr>
          <w:b/>
          <w:i w:val="0"/>
        </w:rPr>
        <w:t>.</w:t>
      </w:r>
    </w:p>
    <w:p>
      <w:pPr>
        <w:pStyle w:val="Heading2"/>
      </w:pPr>
      <w:r>
        <w:rPr>
          <w:rFonts w:ascii="Calibri" w:hAnsi="Calibri"/>
          <w:b/>
          <w:i w:val="0"/>
          <w:sz w:val="32"/>
        </w:rPr>
        <w:t>Giá trị của việc nâng cao kỹ năng</w:t>
      </w:r>
    </w:p>
    <w:p>
      <w:pPr>
        <w:spacing w:after="80"/>
      </w:pPr>
      <w:r>
        <w:rPr>
          <w:b w:val="0"/>
          <w:i w:val="0"/>
        </w:rPr>
        <w:t>Những khóa đào tạo này là một phần trong nỗ lực rộng lớn hơn của Toyota nhằm nâng cao kỹ năng cho con người trong tổ chức. Việc thu hút nhân tài hàng đầu quan trọng như thế nào thì Toyota cũng đã nhanh chóng thực hiện, nhưng phần phức tạp hơn là việc suy nghĩ lại về những kỹ năng mà con người họ cần trong một thế giới vận hành bằng AI.</w:t>
      </w:r>
    </w:p>
    <w:p>
      <w:pPr>
        <w:spacing w:after="80"/>
      </w:pPr>
      <w:r>
        <w:rPr>
          <w:b w:val="0"/>
          <w:i w:val="0"/>
        </w:rPr>
        <w:t>Như Kevin Austin đã giải thích: "Toyota tập trung vào việc nâng cao kỹ năng cho con người để chuyển từ việc đưa ra các quyết định được hỗ trợ bởi hệ thống AI sang việc dẫn dắt AI đưa ra quyết định."</w:t>
      </w:r>
    </w:p>
    <w:p>
      <w:pPr>
        <w:spacing w:after="80"/>
      </w:pPr>
      <w:r>
        <w:rPr>
          <w:b w:val="0"/>
          <w:i w:val="0"/>
        </w:rPr>
        <w:t>Ví dụ, đối với các chuyên gia hoạch định, sự chuyển dịch này rất đáng kể. Họ không còn cần phải tính toán nữa mà thay vào đó là phân tích, suy luận, và phát hiện những cơ hội lớn hơn để dẫn dắt hoạt động kinh doanh. Điều này đòi hỏi họ phải hiểu rõ hơn về quy trình đầu-cuối và học cách truy vấn dữ liệu để kiểm thử và thực thi các ý tưởng. Khóa đào tạo này là một phần của chương trình lớn hơn nhằm đào tạo lại 60% lực lượng lao động về đổi mới sáng tạo và các sản phẩm số.</w:t>
      </w:r>
    </w:p>
    <w:p>
      <w:pPr>
        <w:spacing w:after="80"/>
      </w:pPr>
      <w:r>
        <w:rPr>
          <w:b w:val="0"/>
          <w:i w:val="0"/>
        </w:rPr>
        <w:t>Sự kết hợp của những nỗ lực này nhằm xây dựng các năng lực bổ trợ cho nhau đã tạo nên giá trị đáng kể trên nhiều chỉ số then chốt.</w:t>
      </w:r>
    </w:p>
    <w:p>
      <w:pPr>
        <w:spacing w:after="80"/>
      </w:pPr>
      <w:r>
        <w:rPr>
          <w:b/>
          <w:i/>
        </w:rPr>
        <w:t>Hàng tồn kho giảm từ mức dẫn đầu ngành là 60 ngày xe xuống còn từ 20 đến 25 ngày. Lợi nhuận theo tốc độ vận hành tăng vọt 30%, giá trị trọn đời của khách hàng tăng hơn 10%, và doanh số thương mại điện tử tăng 300%, tất cả trong khi điểm hài lòng của khách hàng cũng tăng 15%</w:t>
      </w:r>
      <w:r>
        <w:rPr>
          <w:b/>
          <w:i w:val="0"/>
        </w:rPr>
        <w:t>.</w:t>
      </w:r>
    </w:p>
    <w:p>
      <w:pPr>
        <w:spacing w:after="80"/>
      </w:pPr>
      <w:r>
        <w:rPr>
          <w:b w:val="0"/>
          <w:i w:val="0"/>
        </w:rPr>
        <w:t>Nền tảng AI tinh vi này cùng mô hình vận hành đã mang lại cho Toyota những nền tảng cần thiết để tiếp tục đổi mới với các AI agent (tác nhân AI). Họ đã xây dựng một lớp điều phối AI agent như một phần của nền tảng ứng dụng, nơi các nhóm AI agent truy cập vào các mô hình, công cụ và ứng dụng bên dưới, cho phép các nhà lãnh đạo điều hành công ty theo thời gian thực và với nhiều dữ liệu hơn.</w:t>
      </w:r>
    </w:p>
    <w:p>
      <w:pPr>
        <w:spacing w:after="80"/>
      </w:pPr>
      <w:r>
        <w:rPr>
          <w:b w:val="0"/>
          <w:i w:val="0"/>
        </w:rPr>
        <w:t>Ví dụ, khi nhân viên bán hàng truy cập vào tài khoản của họ, họ sẽ được trình bày các cơ hội hoặc vấn đề cần đánh giá mà một agent đã đề xuất. Đó có thể là việc tập trung vào một sự sụt giảm bất thường trong doanh số ở một địa điểm cụ thể hoặc một sự gia tăng đột biến trong bảo trì ngoài kế hoạch. Nhân viên bán hàng sau đó có thể truy cập vào nhiều loại agent khác nhau (những agent được xây dựng cho nhiệm vụ bán hàng, mua hàng, lập kế hoạch hoặc điều phối) để xác định hành động cần thực hiện.</w:t>
      </w:r>
    </w:p>
    <w:p>
      <w:pPr>
        <w:spacing w:after="80"/>
      </w:pPr>
      <w:r>
        <w:rPr>
          <w:b w:val="0"/>
          <w:i w:val="0"/>
        </w:rPr>
        <w:t xml:space="preserve">Khi Toyota Motor North America tiếp tục đổi mới, họ dựa vào và xây dựng trên những "cơ bắp" AI mà tổ chức đã phát triển được qua quá trình chuyển đổi này. Không hề có tư duy "một lần là xong" như người ta từng nghĩ trong quá khứ về việc cài đặt một phần mềm. Toyota đã kết hợp văn hóa </w:t>
      </w:r>
      <w:r>
        <w:rPr>
          <w:b w:val="0"/>
          <w:i/>
        </w:rPr>
        <w:t>kaizen</w:t>
      </w:r>
      <w:r>
        <w:rPr>
          <w:b w:val="0"/>
          <w:i w:val="0"/>
        </w:rPr>
        <w:t xml:space="preserve"> (cải tiến liên tục) với những năng lực mới để tiếp tục chuyển đổi hoạt động kinh doanh trong thời đại agentic (thời đại tác nhân).</w:t>
      </w:r>
    </w:p>
    <w:p>
      <w:pPr>
        <w:spacing w:after="80"/>
      </w:pPr>
      <w:r>
        <w:rPr>
          <w:b w:val="0"/>
          <w:i/>
        </w:rPr>
        <w:t>Các tác giả xin cảm ơn Toyota Motor North America vì sự dẫn dắt trong quá trình chuyển đổi này, cũng như sự hỗ trợ và hướng dẫn của họ đối với ví dụ tình huống này. Tình huống này được phát triển cho</w:t>
      </w:r>
      <w:r>
        <w:rPr>
          <w:b w:val="0"/>
          <w:i w:val="0"/>
        </w:rPr>
        <w:t xml:space="preserve"> Rewired </w:t>
      </w:r>
      <w:r>
        <w:rPr>
          <w:b w:val="0"/>
          <w:i/>
        </w:rPr>
        <w:t>với sự cộng tác của các nhà lãnh đạo McKinsey gồm Gianmarco Cilento, Luca Colombo, Ewan Duncan, Steffen Fuchs, Ali Sankur và Paul Welling</w:t>
      </w:r>
      <w:r>
        <w:rPr>
          <w:b w:val="0"/>
          <w:i w:val="0"/>
        </w:rPr>
        <w:t>.</w:t>
      </w:r>
    </w:p>
    <w:p>
      <w:pPr>
        <w:pStyle w:val="Heading1"/>
      </w:pPr>
      <w:r>
        <w:rPr>
          <w:rFonts w:ascii="Calibri" w:hAnsi="Calibri"/>
          <w:b/>
          <w:i w:val="0"/>
          <w:sz w:val="40"/>
        </w:rPr>
        <w:t>CHƯƠNG 38</w:t>
      </w:r>
      <w:r>
        <w:rPr>
          <w:rFonts w:ascii="Calibri" w:hAnsi="Calibri"/>
          <w:b/>
          <w:i w:val="0"/>
          <w:sz w:val="40"/>
        </w:rPr>
      </w:r>
      <w:r>
        <w:rPr>
          <w:rFonts w:ascii="Calibri" w:hAnsi="Calibri"/>
          <w:b/>
          <w:i w:val="0"/>
          <w:sz w:val="40"/>
        </w:rPr>
        <w:t>Freeport-McMoRan: Tận dụng công nghệ &amp; AI cho đổi mới ngành khai khoáng</w:t>
      </w:r>
    </w:p>
    <w:p>
      <w:pPr>
        <w:spacing w:after="80"/>
      </w:pPr>
      <w:r>
        <w:rPr>
          <w:b w:val="0"/>
          <w:i w:val="0"/>
        </w:rPr>
        <w:t>Một công ty khai khoáng làm chủ hiệu ứng bánh đà để tăng trưởng không ngừng</w:t>
      </w:r>
    </w:p>
    <w:p>
      <w:pPr>
        <w:pStyle w:val="Heading2"/>
      </w:pPr>
      <w:r>
        <w:rPr>
          <w:rFonts w:ascii="Calibri" w:hAnsi="Calibri"/>
          <w:b/>
          <w:i w:val="0"/>
          <w:sz w:val="32"/>
        </w:rPr>
        <w:t>Giới thiệu về Freeport-McMoRan</w:t>
      </w:r>
    </w:p>
    <w:p>
      <w:pPr>
        <w:spacing w:after="80"/>
      </w:pPr>
      <w:r>
        <w:rPr>
          <w:b/>
          <w:i w:val="0"/>
        </w:rPr>
        <w:t>Mô tả công ty:</w:t>
      </w:r>
      <w:r>
        <w:rPr>
          <w:b w:val="0"/>
          <w:i w:val="0"/>
        </w:rPr>
        <w:t xml:space="preserve"> Freeport-McMoRan Inc. là một trong những công ty khai khoáng hàng đầu thế giới. Freeport chủ yếu sản xuất đồng, nhưng cũng sản xuất vàng và molypden. Công ty vận hành các tài sản lớn, có tuổi thọ dài ở Bắc Mỹ, Nam Mỹ và Indonesia, và đặt trụ sở tại Phoenix, Arizona.</w:t>
      </w:r>
    </w:p>
    <w:p>
      <w:pPr>
        <w:spacing w:after="80"/>
      </w:pPr>
      <w:r>
        <w:rPr>
          <w:b/>
          <w:i w:val="0"/>
        </w:rPr>
        <w:t>Số lượng nhân viên:</w:t>
      </w:r>
      <w:r>
        <w:rPr>
          <w:b w:val="0"/>
          <w:i w:val="0"/>
        </w:rPr>
        <w:t xml:space="preserve"> Khoảng 29.900</w:t>
      </w:r>
    </w:p>
    <w:p>
      <w:pPr>
        <w:spacing w:after="80"/>
      </w:pPr>
      <w:r>
        <w:rPr>
          <w:b/>
          <w:i w:val="0"/>
        </w:rPr>
        <w:t>Vốn hóa thị trường:</w:t>
      </w:r>
      <w:r>
        <w:rPr>
          <w:b w:val="0"/>
          <w:i w:val="0"/>
        </w:rPr>
        <w:t xml:space="preserve"> 76 tỷ đô la</w:t>
      </w:r>
    </w:p>
    <w:p>
      <w:pPr>
        <w:spacing w:after="80"/>
      </w:pPr>
      <w:r>
        <w:rPr>
          <w:b/>
          <w:i w:val="0"/>
        </w:rPr>
        <w:t>Doanh thu:</w:t>
      </w:r>
      <w:r>
        <w:rPr>
          <w:b w:val="0"/>
          <w:i w:val="0"/>
        </w:rPr>
        <w:t xml:space="preserve"> 26 tỷ đô la (2025)</w:t>
      </w:r>
    </w:p>
    <w:p>
      <w:pPr>
        <w:spacing w:after="80"/>
      </w:pPr>
      <w:r>
        <w:rPr>
          <w:b/>
          <w:i w:val="0"/>
        </w:rPr>
        <w:t>Phạm vi địa lý:</w:t>
      </w:r>
      <w:r>
        <w:rPr>
          <w:b w:val="0"/>
          <w:i w:val="0"/>
        </w:rPr>
        <w:t xml:space="preserve"> Hoạt động trải khắp Chile, Indonesia, Peru và Hoa Kỳ, với các tài sản khai khoáng lớn bao gồm El Abra (Chile), Grasberg (Indonesia), Cerro Verde (Peru) và Morenci (Hoa Kỳ)</w:t>
      </w:r>
    </w:p>
    <w:p>
      <w:pPr>
        <w:spacing w:after="80"/>
      </w:pPr>
      <w:r>
        <w:rPr>
          <w:b w:val="0"/>
          <w:i w:val="0"/>
        </w:rPr>
        <w:t>Làm thế nào để chiết xuất quặng tốt hơn nhằm tối ưu hóa việc khai thác đồng có thể không phải là điều đầu tiên người ta nghĩ đến khi nói về các ứng dụng của trí tuệ nhân tạo (AI). Nhưng đó lại chính là điều mà ban lãnh đạo Freeport-McMoRan, một trong những công ty khai khoáng hàng đầu thế giới, nghĩ đến khi họ khảo sát các hoạt động chiết xuất quặng (quá trình tách đồng khỏi quặng thông qua việc sử dụng hóa chất một cách hợp lý) vào năm 2020.</w:t>
      </w:r>
    </w:p>
    <w:p>
      <w:pPr>
        <w:spacing w:after="80"/>
      </w:pPr>
      <w:r>
        <w:rPr>
          <w:b w:val="0"/>
          <w:i w:val="0"/>
        </w:rPr>
        <w:t>Thực tế, các nhà lãnh đạo tại Freeport đã hình thành niềm tin mạnh mẽ rằng có rất nhiều giá trị đang chờ được khai thác. Lý do họ tin tưởng mạnh mẽ như vậy là vì họ vừa mới hoàn thành một quá trình chuyển đổi các hoạt động của nhà máy tuyển khoáng bằng cách tận dụng công nghệ &amp; AI, một chương trình mà họ gọi là Americas' Concentrator.</w:t>
      </w:r>
    </w:p>
    <w:p>
      <w:pPr>
        <w:pStyle w:val="Heading2"/>
      </w:pPr>
      <w:r>
        <w:rPr>
          <w:rFonts w:ascii="Calibri" w:hAnsi="Calibri"/>
          <w:b/>
          <w:i w:val="0"/>
          <w:sz w:val="32"/>
        </w:rPr>
        <w:t>Xác định giá trị để xây dựng niềm tin</w:t>
      </w:r>
    </w:p>
    <w:p>
      <w:pPr>
        <w:spacing w:after="80"/>
      </w:pPr>
      <w:r>
        <w:rPr>
          <w:b w:val="0"/>
          <w:i w:val="0"/>
        </w:rPr>
        <w:t>Trước khi bắt tay vào nỗ lực đó, các nhà lãnh đạo tin rằng các máy tuyển khoáng (concentrator) của họ đã được trang bị thiết bị đo đạc quá tốt, và quy trình đã được hiểu rõ và tối ưu đến mức không thể cải thiện đáng kể được nữa. Nhưng họ đã thấy cách AI, khi kết hợp với vận hành xuất sắc, đã giúp họ sản xuất thêm 10–15% đồng và tạo ra giá trị lớn hơn đáng kể.</w:t>
      </w:r>
    </w:p>
    <w:p>
      <w:pPr>
        <w:spacing w:after="80"/>
      </w:pPr>
      <w:r>
        <w:rPr>
          <w:b w:val="0"/>
          <w:i w:val="0"/>
        </w:rPr>
        <w:t>Nếu Freeport có thể thu được nhiều giá trị đến vậy từ quy trình tuyển khoáng (concentration) - vốn đã là một đơn vị dẫn đầu thế giới - thì với quy trình ngâm chiết (leaching), nơi có ít lợi thế đầu vào hơn, tiềm năng thu được sẽ lớn đến mức nào?</w:t>
      </w:r>
    </w:p>
    <w:p>
      <w:pPr>
        <w:spacing w:after="80"/>
      </w:pPr>
      <w:r>
        <w:rPr>
          <w:b w:val="0"/>
          <w:i w:val="0"/>
        </w:rPr>
        <w:t>Freeport đã biết rất nhiều về ngâm chiết (leaching) - thực tế là nhiều hơn bất kỳ doanh nghiệp đồng nào khác trong ngành. Họ đã phát minh ra kỹ thuật chiết xuất đồng, và có kiến thức sâu sắc về quy trình này. Chẳng hạn, họ biết rằng mùa hè sản xuất được nhiều đồng hơn mùa đông, và rằng những trận mưa bão sẽ làm loãng axit bôi lên các đống quặng. Nhưng họ không thể định lượng chính xác những ảnh hưởng đó, không thể dự đoán sản lượng một cách nhất quán, hay tối ưu hóa kỹ thuật ngâm chiết với độ chính xác thực sự.</w:t>
      </w:r>
    </w:p>
    <w:p>
      <w:pPr>
        <w:spacing w:after="80"/>
      </w:pPr>
      <w:r>
        <w:rPr>
          <w:b w:val="0"/>
          <w:i w:val="0"/>
        </w:rPr>
        <w:t>Bí quyết để giải quyết những vấn đề đó và chiết xuất được nhiều đồng hơn nằm ở việc áp dụng cuốn cẩm nang (playbook) của công ty - vốn đã phát huy hiệu quả rất tốt trong nỗ lực Americas' Concentrator - vào quy trình ngâm chiết của họ (xem khung bên cạnh, "Giai đoạn đầu tiên trong quá trình chuyển đổi của Freeport").</w:t>
      </w:r>
    </w:p>
    <w:p>
      <w:pPr>
        <w:pStyle w:val="Heading2"/>
      </w:pPr>
      <w:r>
        <w:rPr>
          <w:rFonts w:ascii="Calibri" w:hAnsi="Calibri"/>
          <w:b/>
          <w:i w:val="0"/>
          <w:sz w:val="32"/>
        </w:rPr>
        <w:t>Giai đoạn đầu tiên trong quá trình chuyển đổi của Freeport</w:t>
      </w:r>
    </w:p>
    <w:p>
      <w:pPr>
        <w:spacing w:after="80"/>
      </w:pPr>
      <w:r>
        <w:rPr>
          <w:b w:val="0"/>
          <w:i w:val="0"/>
        </w:rPr>
        <w:t>Freeport-McMoRan, một công ty khai thác đồng lớn trên toàn cầu, từ lâu đã là đơn vị dẫn đầu trong việc vận hành các mỏ lớn, lâu đời khắp châu Mỹ. Theo truyền thống, để tăng sản lượng, họ phải mở một mỏ mới hoặc xây dựng một cơ sở chế biến mới, mỗi việc đều đòi hỏi những khoản đầu tư vốn lớn và thời gian cấp phép kéo dài. Tuy nhiên, vào năm 2018, Freeport nhìn thấy cơ hội để phát huy vị thế dẫn đầu của mình và làm được nhiều hơn thế.</w:t>
      </w:r>
    </w:p>
    <w:p>
      <w:pPr>
        <w:spacing w:after="80"/>
      </w:pPr>
      <w:r>
        <w:rPr>
          <w:b w:val="0"/>
          <w:i w:val="0"/>
        </w:rPr>
        <w:t>Ban lãnh đạo Freeport đặt ra một mục tiêu đầy tham vọng: khai mở sản lượng đồng tăng thêm hằng năm tương đương với cả một cơ sở chế biến mới, thông qua việc sử dụng dữ liệu lớn (big data), AI, vận hành xuất sắc và các phương pháp làm việc đổi mới (mà không cần triển khai thêm vốn lớn nào).</w:t>
      </w:r>
    </w:p>
    <w:p>
      <w:pPr>
        <w:spacing w:after="80"/>
      </w:pPr>
      <w:r>
        <w:rPr>
          <w:b w:val="0"/>
          <w:i w:val="0"/>
        </w:rPr>
        <w:t>Để thực hiện được một cuộc chuyển đổi táo bạo như vậy, cần có sự cam kết toàn diện từ đội ngũ lãnh đạo. Người đứng đầu hoạt động của Freeport tại Bắc Mỹ đóng vai trò lãnh đạo "cải tiến liên tục" (continuous improvement) và thúc đẩy đội ngũ đặt mục tiêu tham vọng nhất có thể.</w:t>
      </w:r>
    </w:p>
    <w:p>
      <w:pPr>
        <w:spacing w:after="80"/>
      </w:pPr>
      <w:r>
        <w:rPr>
          <w:b w:val="0"/>
          <w:i w:val="0"/>
        </w:rPr>
        <w:t>Giám đốc kỹ thuật (chief technical officer) dẫn dắt cỗ máy sáng tạo để giúp các đội đánh giá các giải pháp kỹ thuật và điều chuyển chuyên môn quan trọng đến đúng những vấn đề cần thiết. Giám đốc thông tin và đổi mới (chief information and innovation officer) thiết lập một hạ tầng và kiến trúc dữ liệu chung để hỗ trợ mọi hoạt động chế biến, cũng như cho phép triển khai nhanh chóng các công cụ AI. Và CEO cùng CFO thì quảng bá chương trình này ra bên ngoài, tiếp thêm năng lượng và động viên tinh thần đội ngũ khi họ tiến bước.</w:t>
      </w:r>
    </w:p>
    <w:p>
      <w:pPr>
        <w:spacing w:after="80"/>
      </w:pPr>
      <w:r>
        <w:rPr>
          <w:b w:val="0"/>
          <w:i w:val="0"/>
        </w:rPr>
        <w:t>Họ đặt tên cho nỗ lực chuyển đổi này là "Americas' Concentrator" và bắt đầu bằng một dự án thí điểm tại mỏ Bagdad của công ty ở Arizona. Đội ngũ đã phát triển một mô hình AI có tên TROI (throughput, recovery, optimization, intelligence - thông lượng, thu hồi, tối ưu hóa, trí tuệ) có thể đề xuất những thay đổi vận hành để tăng thông lượng của nhà máy và mức thu hồi đồng.</w:t>
      </w:r>
    </w:p>
    <w:p>
      <w:pPr>
        <w:spacing w:after="80"/>
      </w:pPr>
      <w:r>
        <w:rPr>
          <w:b w:val="0"/>
          <w:i w:val="0"/>
        </w:rPr>
        <w:t>Công việc AI này là một phần của phương pháp chuyển đổi tích hợp "dựa trên công nghệ" (tech-enabled), bao gồm điều khiển quy trình tiên tiến (advanced process control - APC) cùng với các thực hành tinh gọn (lean) truyền thống.</w:t>
      </w:r>
    </w:p>
    <w:p>
      <w:pPr>
        <w:spacing w:after="80"/>
      </w:pPr>
      <w:r>
        <w:rPr>
          <w:b w:val="0"/>
          <w:i w:val="0"/>
        </w:rPr>
        <w:t>Dự án thí điểm đã mang lại những cải thiện đáng kể về hiệu suất, bao gồm tăng 10% thông lượng và tăng một điểm phần trăm về mức thu hồi chỉ trong vòng sáu tháng. Những kết quả này đã cho ban lãnh đạo Freeport niềm tin để mở rộng phương pháp và công cụ ra toàn bộ các tài sản của họ ở châu Mỹ.</w:t>
      </w:r>
    </w:p>
    <w:p>
      <w:pPr>
        <w:spacing w:after="80"/>
      </w:pPr>
      <w:r>
        <w:rPr>
          <w:b w:val="0"/>
          <w:i w:val="0"/>
        </w:rPr>
        <w:t>Để mở rộng lợi ích của dự án thí điểm này, Freeport thiết lập một mô hình vận hành nhấn mạnh vào sự nhanh nhẹn, cải tiến liên tục, và những thử nghiệm nhanh chóng, ít rủi ro mà không ảnh hưởng đến an toàn. Các đội liên chức năng (cross-functional team) bao gồm những nhà luyện kim, nhà vận hành, nhà khoa học dữ liệu và kỹ sư dữ liệu rất tận tâm đã dẫn dắt công việc. Những đội này có sự tự do đáng kể để tìm ra cách giải quyết vấn đề tốt nhất và đạt được mục tiêu của mình, thấm nhuần vào tổ chức một văn hóa trách nhiệm giải trình mạnh mẽ hơn nữa cùng nguồn năng lượng khởi nghiệp.</w:t>
      </w:r>
    </w:p>
    <w:p>
      <w:pPr>
        <w:spacing w:after="80"/>
      </w:pPr>
      <w:r>
        <w:rPr>
          <w:b w:val="0"/>
          <w:i w:val="0"/>
        </w:rPr>
        <w:t>Họ phát triển một hạ tầng dữ liệu trên nền tảng đám mây (cloud-based) và sản phẩm hóa (productize) các mô hình TROI. Điều đó có nghĩa là tái cấu trúc (refactor) và đóng gói lại mã nguồn để các mô hình có thể dễ dàng thích ứng với những nhà máy khác. Cách xây dựng theo mô-đun (modular) của công cụ này cho phép tái sử dụng dễ dàng 60% hoặc hơn phần mã lõi, trong khi 40% còn lại được tùy chỉnh cho từng địa điểm mới.</w:t>
      </w:r>
    </w:p>
    <w:p>
      <w:pPr>
        <w:spacing w:after="80"/>
      </w:pPr>
      <w:r>
        <w:rPr>
          <w:b w:val="0"/>
          <w:i w:val="0"/>
        </w:rPr>
        <w:t>Chương trình Americas' Concentrator đã tăng sản lượng 10–15% trên sáu tài sản hàng đầu của họ mà không cần bất kỳ khoản đầu tư vốn lớn nào, và giúp Freeport sản xuất thêm 200 triệu pound đồng mỗi năm.</w:t>
      </w:r>
    </w:p>
    <w:p>
      <w:pPr>
        <w:spacing w:after="80"/>
      </w:pPr>
      <w:r>
        <w:rPr>
          <w:b w:val="0"/>
          <w:i w:val="0"/>
        </w:rPr>
        <w:t>Và dù điều này nghe có vẻ khá hiển nhiên, sự thật là ở nhiều công ty, đà chuyển đổi bị đình trệ khi họ cố gắng mở rộng những thành công ban đầu sang các lĩnh vực mới. Năng lực bị mai một, và những thực hành tốt nhất bị lãng quên.</w:t>
      </w:r>
    </w:p>
    <w:p>
      <w:pPr>
        <w:spacing w:after="80"/>
      </w:pPr>
      <w:r>
        <w:rPr>
          <w:b w:val="0"/>
          <w:i w:val="0"/>
        </w:rPr>
        <w:t>Ở Freeport thì không phải vậy. Ban lãnh đạo đã chủ động ngay từ đầu trong việc áp dụng những bài học và thực tiễn mà họ đã dày công xây dựng trong chương trình Americas’ Concentrator vào nỗ lực khai thác bằng phương pháp ngâm chiết (leaching).</w:t>
      </w:r>
    </w:p>
    <w:p>
      <w:pPr>
        <w:spacing w:after="80"/>
      </w:pPr>
      <w:r>
        <w:rPr>
          <w:b w:val="0"/>
          <w:i w:val="0"/>
        </w:rPr>
        <w:t>Các nhà lãnh đạo của Freeport bắt đầu từ đúng nơi họ đã làm với chương trình Americas’ Concentrator: đặt ra những mục tiêu đầy tham vọng dựa trên dữ kiện thực tế và xây dựng niềm tin vững chắc.</w:t>
      </w:r>
    </w:p>
    <w:p>
      <w:pPr>
        <w:spacing w:after="80"/>
      </w:pPr>
      <w:r>
        <w:rPr>
          <w:b/>
          <w:i/>
        </w:rPr>
        <w:t>Phân tích cho thấy công ty có thể tạo ra tới 800 triệu pound đồng tăng thêm và hơn 1 tỷ đô-la EBITDA. Bằng cách áp dụng AI, vận hành xuất sắc và các đổi mới khác vào quá trình ngâm chiết, lượng đồng tăng thêm này còn đi kèm lợi ích là nhu cầu nước và phát thải CO2 trên mỗi pound thấp hơn</w:t>
      </w:r>
      <w:r>
        <w:rPr>
          <w:b/>
          <w:i w:val="0"/>
        </w:rPr>
        <w:t>.</w:t>
      </w:r>
    </w:p>
    <w:p>
      <w:pPr>
        <w:spacing w:after="80"/>
      </w:pPr>
      <w:r>
        <w:rPr>
          <w:b w:val="0"/>
          <w:i w:val="0"/>
        </w:rPr>
        <w:t>Tiềm năng đó thật đáng kinh ngạc đối với nhiều người vốn còn hoài nghi về những gì thực sự khả thi trong ngâm chiết, khi mà dữ liệu thì quá kém còn môi trường vận hành thì đầy thách thức.</w:t>
      </w:r>
    </w:p>
    <w:p>
      <w:pPr>
        <w:spacing w:after="80"/>
      </w:pPr>
      <w:r>
        <w:rPr>
          <w:b w:val="0"/>
          <w:i w:val="0"/>
        </w:rPr>
        <w:t>Để giúp vượt qua mọi sự hoài nghi tiềm tàng và xây dựng niềm tin, công ty bắt đầu bằng một dự án thí điểm (pilot). Trong năm đầu tiên, dự án thí điểm đó đã giúp tạo ra 35 triệu pound đồng tăng thêm và cho Freeport sự tự tin để đặt mục tiêu ban đầu là tạo ra 200 triệu pound đồng tăng thêm vào cuối năm 2023. Mục tiêu này đã trở thành ngôi sao Bắc Đẩu (North Star) của họ.</w:t>
      </w:r>
    </w:p>
    <w:p>
      <w:pPr>
        <w:pStyle w:val="Heading2"/>
      </w:pPr>
      <w:r>
        <w:rPr>
          <w:rFonts w:ascii="Calibri" w:hAnsi="Calibri"/>
          <w:b/>
          <w:i w:val="0"/>
          <w:sz w:val="32"/>
        </w:rPr>
        <w:t>Xây dựng đội ngũ ‘Leach to the Last Drop’</w:t>
      </w:r>
    </w:p>
    <w:p>
      <w:pPr>
        <w:spacing w:after="80"/>
      </w:pPr>
      <w:r>
        <w:rPr>
          <w:b w:val="0"/>
          <w:i w:val="0"/>
        </w:rPr>
        <w:t>Thành công này đã cho ban lãnh đạo Freeport sự tự tin để theo đuổi cơ hội ở quy mô lớn, mà họ đặt tên là “Leach to the Last Drop” (Ngâm chiết đến giọt cuối cùng). Bước đầu tiên trên hành trình đó chính là lãnh đạo. Các nhà lãnh đạo nhận ra rằng một trong những yếu tố thành công then chốt nhất trong bất cứ việc gì họ làm là có đúng người vào đúng vai trò, và điều đó bắt đầu từ cấp cao nhất. Họ muốn có sự kết hợp đúng đắn giữa những người mang tư duy khát vọng, tinh thần “làm được” (Freeport gọi phẩm chất này là “ám ảnh” với việc giải quyết vấn đề), chuyên môn sâu về lĩnh vực, và hiểu biết về cẩm nang (playbook) mà họ đã xây dựng trong nỗ lực Americas’ Concentrator.</w:t>
      </w:r>
    </w:p>
    <w:p>
      <w:pPr>
        <w:spacing w:after="80"/>
      </w:pPr>
      <w:r>
        <w:rPr>
          <w:b w:val="0"/>
          <w:i w:val="0"/>
        </w:rPr>
        <w:t>Ở cấp cao nhất, họ may mắn có được những nhà tài trợ điều hành đầy khát vọng, bao gồm Cory Stevens, khi đó là Chủ tịch tổ chức Technical Services của Freeport (thực chất là CTO của họ), và Bert Odinet, Giám đốc Đổi mới (Chief Innovation Officer) của họ. Cory và Bert đã giúp xây dựng cẩm nang cho chương trình Americas’ Concentrator trước đó. Chương trình sẽ không thể thành công nếu thiếu tầm nhìn, sự cam kết cá nhân và kinh nghiệm dẫn dắt kiểu thay đổi này của họ.</w:t>
      </w:r>
    </w:p>
    <w:p>
      <w:pPr>
        <w:spacing w:after="80"/>
      </w:pPr>
      <w:r>
        <w:rPr>
          <w:b/>
          <w:i/>
        </w:rPr>
        <w:t>Tương tự như Americas’ Concentrator, Cory và Bert đã tham gia sát sao, xắn tay áo vào giúp tạo ra những ý tưởng sáng tạo, thúc đẩy các đội nhắm cao, và không ngừng thách thức những gì được cho là khả thi</w:t>
      </w:r>
      <w:r>
        <w:rPr>
          <w:b/>
          <w:i w:val="0"/>
        </w:rPr>
        <w:t>.</w:t>
      </w:r>
    </w:p>
    <w:p>
      <w:pPr>
        <w:spacing w:after="80"/>
      </w:pPr>
      <w:r>
        <w:rPr>
          <w:b w:val="0"/>
          <w:i w:val="0"/>
        </w:rPr>
        <w:t>Tiếp theo, họ cần đúng “chủ sở hữu lĩnh vực” (domain owner). Đây sẽ là người chịu trách nhiệm cuối cùng cho việc lãnh đạo nỗ lực này từng tuần một, tích hợp các giải pháp vào hoạt động của doanh nghiệp, và chịu trách nhiệm về kết quả cuối cùng.</w:t>
      </w:r>
    </w:p>
    <w:p>
      <w:pPr>
        <w:spacing w:after="80"/>
      </w:pPr>
      <w:r>
        <w:rPr>
          <w:b w:val="0"/>
          <w:i w:val="0"/>
        </w:rPr>
        <w:t>Với vai trò này, họ chọn Bill Sircy, người vừa có kinh nghiệm từ Americas’ Concentrator vừa có uy tín trong hoạt động chế biến. Họ điều chuyển ông đến làm tổng giám đốc (general manager) của hoạt động ngâm chiết, biến ông thành “chủ sở hữu lĩnh vực” thực sự cho nỗ lực này.</w:t>
      </w:r>
    </w:p>
    <w:p>
      <w:pPr>
        <w:spacing w:after="80"/>
      </w:pPr>
      <w:r>
        <w:rPr>
          <w:b w:val="0"/>
          <w:i w:val="0"/>
        </w:rPr>
        <w:t>Sự bổ nhiệm này là một ví dụ tuyệt vời cho cái mà Freeport gọi là chuyển “than hồng” (hot coals), tức là cấy ghép những nhà lãnh đạo có kinh nghiệm liên quan và đà tiến triển vào một môi trường mới để giúp “nhóm lửa” cho tiến bộ ở một nơi mới. Công ty đã dựa vào cách tiếp cận than hồng này để xây dựng các vai trò then chốt trong chương trình Leach to the Last Drop, bao gồm đưa về một số nhà khoa học dữ liệu (data scientist) và kỹ sư dữ liệu (data engineer) chủ chốt, một quản lý sản phẩm (product manager), một huấn luyện viên agile (agile coach), một tổng giám đốc nhà máy khác, và một chuyên gia luyện kim thủy lực (hydrometallurgist) từ đội Americas’ Concentrator.</w:t>
      </w:r>
    </w:p>
    <w:p>
      <w:pPr>
        <w:spacing w:after="80"/>
      </w:pPr>
      <w:r>
        <w:rPr>
          <w:b/>
          <w:i/>
        </w:rPr>
        <w:t>Tổng cộng, khoảng 10% đội Americas’ Concentrator của công ty đã chuyển sang chương trình ngâm chiết (khoảng 30–50 người)</w:t>
      </w:r>
      <w:r>
        <w:rPr>
          <w:b/>
          <w:i w:val="0"/>
        </w:rPr>
        <w:t>.</w:t>
      </w:r>
    </w:p>
    <w:p>
      <w:pPr>
        <w:spacing w:after="80"/>
      </w:pPr>
      <w:r>
        <w:rPr>
          <w:b w:val="0"/>
          <w:i w:val="0"/>
        </w:rPr>
        <w:t>Để hỗ trợ việc thực thi chương trình hằng ngày, chủ sở hữu lĩnh vực đã chọn một quản lý sản phẩm đã được chứng minh năng lực, người vốn là một nhà luyện kim giàu kinh nghiệm, có hiểu biết vững vàng về các khái niệm kỹ thuật nhưng cũng có rất nhiều kinh nghiệm thực tiễn và uy tín với các nhà vận hành tuyến đầu. Sự kết hợp này mang lại cho quản lý sản phẩm hiểu biết sâu sắc về cách những người ngoài hiện trường thực sự làm việc, những vấn đề họ cần giải quyết, và cách tương tác với các tổ đội để xây dựng niềm tin và thúc đẩy thay đổi.</w:t>
      </w:r>
    </w:p>
    <w:p>
      <w:pPr>
        <w:spacing w:after="80"/>
      </w:pPr>
      <w:r>
        <w:rPr>
          <w:b w:val="0"/>
          <w:i w:val="0"/>
        </w:rPr>
        <w:t>Mỗi ngày, quản lý sản phẩm gặp gỡ đội làm việc để xác định mục tiêu sprint (sprint goal), đặt ưu tiên cho tuần, giải quyết vấn đề cho các sáng kiến trọng yếu, và thử nghiệm các giải pháp. Quản lý sản phẩm cũng làm việc với các nhà vận hành để lấy phản hồi về các ý tưởng, các phiên bản mô hình (model iteration), và để triển khai thay đổi ngoài hiện trường, dù là làm việc với các kỹ sư khoan và nổ mìn (drill and blast) để đặt thông số nổ mìn mới nhằm thay đổi kích thước hạt quặng, với các nhà quy hoạch mỏ (mine planner) để tìm cách tăng số ngày một đống quặng (stockpile) được ngâm chiết, hay với đội quy hoạch dung dịch (solution planning) để chỉnh hóa học của dung dịch ngâm chiết.</w:t>
      </w:r>
    </w:p>
    <w:p>
      <w:pPr>
        <w:spacing w:after="80"/>
      </w:pPr>
      <w:r>
        <w:rPr>
          <w:b/>
          <w:i/>
        </w:rPr>
        <w:t>Tinh thần thực chiến, dám làm này là nét cốt lõi của đội Leach to the Last Drop. Dù tất cả họ đều mang đến chuyên môn kỹ thuật cụ thể, có lẽ kỹ năng quan trọng nhất của họ là khả năng tư duy theo kiểu doanh nhân và sáng tạo</w:t>
      </w:r>
      <w:r>
        <w:rPr>
          <w:b/>
          <w:i w:val="0"/>
        </w:rPr>
        <w:t>.</w:t>
      </w:r>
    </w:p>
    <w:p>
      <w:pPr>
        <w:spacing w:after="80"/>
      </w:pPr>
      <w:r>
        <w:rPr>
          <w:b w:val="0"/>
          <w:i w:val="0"/>
        </w:rPr>
        <w:t>Những người này phát triển mạnh nhờ làm việc trong các nhóm nhỏ trong môi trường thử nghiệm và học hỏi nhanh, và không bị ràng buộc bởi các chuẩn mực khi theo đuổi việc tìm kiếm giá trị mới.</w:t>
      </w:r>
    </w:p>
    <w:p>
      <w:pPr>
        <w:pStyle w:val="Heading2"/>
      </w:pPr>
      <w:r>
        <w:rPr>
          <w:rFonts w:ascii="Calibri" w:hAnsi="Calibri"/>
          <w:b/>
          <w:i w:val="0"/>
          <w:sz w:val="32"/>
        </w:rPr>
        <w:t>Khai thác dữ liệu để cung cấp năng lượng cho AI</w:t>
      </w:r>
    </w:p>
    <w:p>
      <w:pPr>
        <w:spacing w:after="80"/>
      </w:pPr>
      <w:r>
        <w:rPr>
          <w:b w:val="0"/>
          <w:i w:val="0"/>
        </w:rPr>
        <w:t>Họ sẽ dần dựa vào những kỹ năng kỹ thuật và khởi nghiệp đó khi xây dựng một bản sao kỹ thuật số (digital twin) mới do AI điều khiển cho quá trình ngâm chiết (leaching), được gọi là HELENA (HEap LEach aNAlytics). Với mục tiêu rõ ràng là giá trị, nhóm HELENA đã ưu tiên các trường hợp sử dụng chính mà ban lãnh đạo đã xác định, chẳng hạn như dự đoán lượng đồng có thể thu hồi được từ một đống quặng dựa trên loại quặng, thiết kế đống quặng và các phương pháp xử lý ngâm chiết; và tối ưu hóa "công thức" ngâm chiết (nghĩa là họ làm việc để tìm ra sự kết hợp tối ưu của các yếu tố có thể kiểm soát như số ngày ngâm chiết phù hợp, lượng axit áp dụng, tốc độ dòng chảy, việc áp dụng nhiệt và khí bổ sung, v.v.).</w:t>
      </w:r>
    </w:p>
    <w:p>
      <w:pPr>
        <w:spacing w:after="80"/>
      </w:pPr>
      <w:r>
        <w:rPr>
          <w:b w:val="0"/>
          <w:i w:val="0"/>
        </w:rPr>
        <w:t>Để HELENA đáp ứng được những trường hợp sử dụng này, nó cần dữ liệu tốt. Đó lại là một vấn đề. Trong giai đoạn thí điểm, rõ ràng là dữ liệu ngâm chiết chưa sẵn sàng để đưa vào sử dụng chính thức. Nhóm phát hiện ra rằng dữ liệu thưa thớt, đôi khi không đáng tin cậy và không được chuẩn hóa. Khi được thu thập, dữ liệu thường nằm trong các bảng tính và rải rác khắp các hệ thống khác nhau. Phải mất ba tuần để xử lý dữ liệu nhằm cập nhật mô hình mỗi quý. Điều này đơn giản là không bền vững và không thể mở rộng quy mô.</w:t>
      </w:r>
    </w:p>
    <w:p>
      <w:pPr>
        <w:spacing w:after="80"/>
      </w:pPr>
      <w:r>
        <w:rPr>
          <w:b w:val="0"/>
          <w:i w:val="0"/>
        </w:rPr>
        <w:t>Để giải quyết vấn đề này, CIO của Freeport đã khởi động một nỗ lực gọi là Foundational Leach Systems. Một trong những việc đầu tiên ông làm là tạo ra các tiêu chuẩn về dữ liệu và cảm biến để dữ liệu có thể dễ dàng được đưa vào một nền tảng dữ liệu đám mây được xây dựng cho Americas' Concentrator và sau đó được mô hình hóa một cách đáng tin cậy theo cách nhất quán trên tất cả các tài sản của họ.</w:t>
      </w:r>
    </w:p>
    <w:p>
      <w:pPr>
        <w:spacing w:after="80"/>
      </w:pPr>
      <w:r>
        <w:rPr>
          <w:b w:val="0"/>
          <w:i w:val="0"/>
        </w:rPr>
        <w:t>Công ty cũng thiết lập các chủ sở hữu dữ liệu và người quản lý dữ liệu để đảm bảo chất lượng dữ liệu tốt, và phát triển các bảng điều khiển hiệu suất tiêu chuẩn. Các kỹ sư dữ liệu sau đó có thể tổ chức dữ liệu đó thành một loạt các sản phẩm dữ liệu được cấu trúc tốt mà các mô hình AI ngâm chiết có thể sử dụng.</w:t>
      </w:r>
    </w:p>
    <w:p>
      <w:pPr>
        <w:pStyle w:val="Heading2"/>
      </w:pPr>
      <w:r>
        <w:rPr>
          <w:rFonts w:ascii="Calibri" w:hAnsi="Calibri"/>
          <w:b/>
          <w:i w:val="0"/>
          <w:sz w:val="32"/>
        </w:rPr>
        <w:t>Bản sao kỹ thuật số ở trung tâm hoạt động của đống quặng</w:t>
      </w:r>
    </w:p>
    <w:p>
      <w:pPr>
        <w:spacing w:after="80"/>
      </w:pPr>
      <w:r>
        <w:rPr>
          <w:b w:val="0"/>
          <w:i w:val="0"/>
        </w:rPr>
        <w:t>Khi nhóm dữ liệu chuẩn bị dữ liệu, nhóm phát triển bắt đầu xây dựng mô hình HELENA. HELENA, một bản sao kỹ thuật số ở trung tâm hoạt động của đống quặng, được thiết kế để giúp người vận hành xác định vị trí đồng đã được đặt trong một đống quặng, dự đoán lượng đồng có thể được chiết xuất một cách kinh tế, và đưa ra các khuyến nghị về cách tối ưu hóa "công thức ngâm chiết" (thông qua các đòn bẩy như thời gian ngâm chiết, lượng axit, khí hoặc nhiệt được áp dụng).</w:t>
      </w:r>
    </w:p>
    <w:p>
      <w:pPr>
        <w:spacing w:after="80"/>
      </w:pPr>
      <w:r>
        <w:rPr>
          <w:b w:val="0"/>
          <w:i w:val="0"/>
        </w:rPr>
        <w:t>Để phát triển loại năng lực này, nhóm đã phải mở rộng đáng kể khả năng mô hình hóa của HELENA vượt xa những gì Freeport đã phát triển cho Americas' Concentrator. Quá trình của nhà máy tuyển khoáng chỉ kéo dài khoảng một giờ và diễn ra liên tục. Người vận hành có thể chạy các đầu vào và công thức khác nhau, và nhận kết quả trong vài giờ.</w:t>
      </w:r>
    </w:p>
    <w:p>
      <w:pPr>
        <w:spacing w:after="80"/>
      </w:pPr>
      <w:r>
        <w:rPr>
          <w:b w:val="0"/>
          <w:i w:val="0"/>
        </w:rPr>
        <w:t>Ngược lại, quá trình ngâm chiết kéo dài từ 150–300 ngày, chịu ảnh hưởng của nhiều tác động không thể kiểm soát như thời tiết, và có ít cảm biến hơn, tất cả những điều này tạo ra một bức tranh dữ liệu phức tạp hơn nhiều. Càng làm phức tạp thêm việc phân tích, các đống quặng được xây dựng thành nhiều lớp (được gọi là "lifts") khi quặng mới được khai thác từ mỏ và được thêm vào.</w:t>
      </w:r>
    </w:p>
    <w:p>
      <w:pPr>
        <w:spacing w:after="80"/>
      </w:pPr>
      <w:r>
        <w:rPr>
          <w:b w:val="0"/>
          <w:i w:val="0"/>
        </w:rPr>
        <w:t>Khả năng thu hồi đồng của một lớp phụ thuộc vào cách các lớp bên trên và bên dưới được xây dựng và xử lý. Vì vậy, các mô hình AI cho ngâm chiết cần có khả năng ghi nhớ dài hạn và ngắn hạn tiên tiến để tính đến các giai đoạn lớp và quá trình ngâm chiết, và có thể đưa ra các dự đoán khai thác đồng cuối cùng kéo dài đến năm năm.</w:t>
      </w:r>
    </w:p>
    <w:p>
      <w:pPr>
        <w:spacing w:after="80"/>
      </w:pPr>
      <w:r>
        <w:rPr>
          <w:b/>
          <w:i/>
        </w:rPr>
        <w:t>Việc giải quyết những thách thức này đòi hỏi các kỹ sư của Freeport phải huy động các khả năng tiên tiến, điều đã mang lại cho họ một số bằng sáng chế cho đến nay</w:t>
      </w:r>
      <w:r>
        <w:rPr>
          <w:b/>
          <w:i w:val="0"/>
        </w:rPr>
        <w:t>.</w:t>
      </w:r>
    </w:p>
    <w:p>
      <w:pPr>
        <w:spacing w:after="80"/>
      </w:pPr>
      <w:r>
        <w:rPr>
          <w:b w:val="0"/>
          <w:i w:val="0"/>
        </w:rPr>
        <w:t>Ví dụ, khi xây dựng HELENA, nhóm đã nhúng các thuật toán được cấp bằng sáng chế được thiết kế để nắm bắt cả động lực tức thời và dài hạn trong các mô hình đống quặng. Một khả năng mô hình hóa tiên tiến đã tích hợp dữ liệu vận hành và địa chất đa nguồn—khoáng vật học, tưới tiêu, hóa học dung dịch raffinate, lịch sử nhiệt và chiều cao lớp, vị trí đặt quặng được theo dõi bằng GPS—vào một mô hình học sâu có thể dự đoán sự phân bố đồng còn lại trong các đống quặng ngâm chiết.</w:t>
      </w:r>
    </w:p>
    <w:p>
      <w:pPr>
        <w:spacing w:after="80"/>
      </w:pPr>
      <w:r>
        <w:rPr>
          <w:b w:val="0"/>
          <w:i w:val="0"/>
        </w:rPr>
        <w:t>Họ cũng xây dựng các đường ống kỹ thuật dữ liệu độc quyền xử lý dấu vết GPS của xe tải vận chuyển và dữ liệu phân tích 3D, kết hợp chúng thành một mô hình khối không gian địa lý được xây dựng từ các đa giác mặt cắt đống quặng và lưới độ cao. Điều này giúp tạo ra các đặc trưng bổ sung và tối ưu hóa hoạt động ngâm chiết dựa trên dữ liệu phân tích ngâm chiết.</w:t>
      </w:r>
    </w:p>
    <w:p>
      <w:pPr>
        <w:spacing w:after="80"/>
      </w:pPr>
      <w:r>
        <w:rPr>
          <w:b w:val="0"/>
          <w:i w:val="0"/>
        </w:rPr>
        <w:t>Với HELENA, Freeport có khả năng dự báo và tối ưu hóa mạnh mẽ để cung cấp năng lượng cho sáng kiến Leach to the Last Drop của mình. Các dự báo chạy mỗi quý và phân tích đầu vào từ nhiều nguồn khác nhau: những gì đã được khai thác, mức độ phân mảnh của quặng dựa trên thực tiễn khoan và nổ mìn, lượng thuốc thử đã được áp dụng và ở đâu, loại quặng nào nằm trong đống quặng nào, số ngày thuốc thử ngâm chiết đã được áp dụng, v.v.</w:t>
      </w:r>
    </w:p>
    <w:p>
      <w:pPr>
        <w:spacing w:after="80"/>
      </w:pPr>
      <w:r>
        <w:rPr>
          <w:b w:val="0"/>
          <w:i w:val="0"/>
        </w:rPr>
        <w:t>Khả năng dự báo đã giúp Freeport theo nhiều cách quan trọng, bao gồm hiểu được nơi tốt nhất để phân bổ nguồn lực giữa việc ngâm chiết và các cách khác tiềm năng để xử lý quặng. Các nhóm cũng có thể chạy các kịch bản khác nhau để xem họ có thể cải thiện dự báo như thế nào. Ví dụ, các nhà lập kế hoạch có thể quyết định liệu việc cải thiện thu hồi có đáng với chi phí tăng axit hay không, hoặc liệu việc cải thiện thu hồi đồng từ thêm mười ngày ngâm chiết có đáng với tác động của việc không có đống quặng đó sẵn sàng để đặt quặng mới hay không.</w:t>
      </w:r>
    </w:p>
    <w:p>
      <w:pPr>
        <w:spacing w:after="80"/>
      </w:pPr>
      <w:r>
        <w:rPr>
          <w:b w:val="0"/>
          <w:i w:val="0"/>
        </w:rPr>
        <w:t>Tương tự, HELENA cung cấp phân tích “backcast” (dự báo ngược) hằng tháng để giúp các nhóm hiểu rõ cụ thể vì sao họ bỏ lỡ một dự báo: bao nhiêu là do thời tiết, do quặng có hàm lượng thấp hơn, do không có đúng luồng dung dịch, v.v.</w:t>
      </w:r>
    </w:p>
    <w:p>
      <w:pPr>
        <w:spacing w:after="80"/>
      </w:pPr>
      <w:r>
        <w:rPr>
          <w:b w:val="0"/>
          <w:i w:val="0"/>
        </w:rPr>
        <w:t>Góc nhìn dự báo ngược này cho phép Freeport xác định nguyên nhân gốc rễ, hiểu được giá trị của nó, và nhanh chóng xây dựng luận cứ kinh tế cho một giải pháp giúp khắc phục vấn đề.</w:t>
      </w:r>
    </w:p>
    <w:p>
      <w:pPr>
        <w:spacing w:after="80"/>
      </w:pPr>
      <w:r>
        <w:rPr>
          <w:b w:val="0"/>
          <w:i w:val="0"/>
        </w:rPr>
        <w:t>HELENA cũng có thể dựng mô hình 3D về nơi đồng có thể vẫn còn nằm trong các đống quặng, một số trong đó đã được khai thác hơn 30 năm trước và từng bị coi là “không thể thu hồi”.</w:t>
      </w:r>
    </w:p>
    <w:p>
      <w:pPr>
        <w:spacing w:after="80"/>
      </w:pPr>
      <w:r>
        <w:rPr>
          <w:b/>
          <w:i/>
        </w:rPr>
        <w:t>Bằng cách phân tích các biểu diễn kỹ thuật số của những đống quặng hiện có, HELENA đã giúp Freeport xây dựng các kế hoạch chiết xuất (leaching) cho hơn 39 tỷ pound đồng “chưa được chiết xuất” vẫn còn nằm trong các đống quặng cũ, phần lớn trong số đó có thể được khai thác bằng các phương pháp và kỹ thuật mới</w:t>
      </w:r>
      <w:r>
        <w:rPr>
          <w:b/>
          <w:i w:val="0"/>
        </w:rPr>
        <w:t>.</w:t>
      </w:r>
    </w:p>
    <w:p>
      <w:pPr>
        <w:pStyle w:val="Heading2"/>
      </w:pPr>
      <w:r>
        <w:rPr>
          <w:rFonts w:ascii="Calibri" w:hAnsi="Calibri"/>
          <w:b/>
          <w:i w:val="0"/>
          <w:sz w:val="32"/>
        </w:rPr>
        <w:t>Một nền tảng để phân tích và cộng tác</w:t>
      </w:r>
    </w:p>
    <w:p>
      <w:pPr>
        <w:spacing w:after="80"/>
      </w:pPr>
      <w:r>
        <w:rPr>
          <w:b w:val="0"/>
          <w:i w:val="0"/>
        </w:rPr>
        <w:t>Để cung cấp khả năng truy cập tốt hơn vào HELENA và các sản phẩm dữ liệu nền tảng của nó, Freeport đã xây dựng một nền tảng tận dụng Snowflake và Databricks.</w:t>
      </w:r>
    </w:p>
    <w:p>
      <w:pPr>
        <w:spacing w:after="80"/>
      </w:pPr>
      <w:r>
        <w:rPr>
          <w:b w:val="0"/>
          <w:i w:val="0"/>
        </w:rPr>
        <w:t>Nền tảng này cho phép cộng tác giữa các chuyên gia công nghệ và những người vận hành kinh doanh – những người thực sự sẽ sử dụng các mô hình này. Những người vận hành kinh doanh tại Freeport vốn dĩ là những người khá hoài nghi, không tự động chấp nhận một khuyến nghị mà một mô hình AI mới đưa ra. Họ cần được thuyết phục.</w:t>
      </w:r>
    </w:p>
    <w:p>
      <w:pPr>
        <w:spacing w:after="80"/>
      </w:pPr>
      <w:r>
        <w:rPr>
          <w:b/>
          <w:i/>
        </w:rPr>
        <w:t>Mỗi khi các nhà khoa học dữ liệu xây dựng một mô hình mới hoặc phát triển các tính năng mới cho một mô hình mà bộ phận kinh doanh mong muốn, họ sẽ cần phối hợp chặt chẽ với những người vận hành kinh doanh ngay từ đầu để đảm bảo kết quả đầu ra chính xác và có thể hành động được</w:t>
      </w:r>
      <w:r>
        <w:rPr>
          <w:b/>
          <w:i w:val="0"/>
        </w:rPr>
        <w:t>.</w:t>
      </w:r>
    </w:p>
    <w:p>
      <w:pPr>
        <w:spacing w:after="80"/>
      </w:pPr>
      <w:r>
        <w:rPr>
          <w:b w:val="0"/>
          <w:i w:val="0"/>
        </w:rPr>
        <w:t>Thông qua nền tảng này, các nhà khoa học dữ liệu có thể cho những người vận hành kinh doanh thấy kết quả kiểm thử, so sánh chúng với hiệu suất mô hình trong quá khứ, đào sâu vào các bộ dữ liệu khác nhau để xác định các vấn đề nguyên nhân gốc rễ, và chạy nhiều kịch bản khác nhau – tất cả trong thời gian thực.</w:t>
      </w:r>
    </w:p>
    <w:p>
      <w:pPr>
        <w:spacing w:after="80"/>
      </w:pPr>
      <w:r>
        <w:rPr>
          <w:b w:val="0"/>
          <w:i w:val="0"/>
        </w:rPr>
        <w:t>Để xây dựng thêm niềm tin, các kỹ sư học máy đã tự động hóa một loạt quy trình và mã hóa các rào chắn (guardrail) vào hệ thống để đảm bảo triển khai nhanh chóng và nhất quán trên mọi môi trường. Ví dụ, điều đó bao gồm kiểm tra chất lượng mã tự động (từ kiểm thử đơn vị đến tiêu chuẩn viết mã), quét lỗ hổng để phát hiện các sai sót bảo mật trên mọi giải pháp bao gồm cả thư viện nguồn, và một hệ thống đánh phiên bản để theo dõi và truy xuất các tính năng thuộc các bản sửa đổi mô hình. Bất kỳ mã nào không đáp ứng tiêu chí đều bị từ chối để có thể sửa lại.</w:t>
      </w:r>
    </w:p>
    <w:p>
      <w:pPr>
        <w:spacing w:after="80"/>
      </w:pPr>
      <w:r>
        <w:rPr>
          <w:b w:val="0"/>
          <w:i w:val="0"/>
        </w:rPr>
        <w:t>Kết quả của chương trình Leach to the Last Drop đã vượt xa mục tiêu ban đầu của Freeport là 200 triệu pound đồng tăng thêm mỗi năm. Đáng chú ý hơn là tốc độ tiến triển.</w:t>
      </w:r>
    </w:p>
    <w:p>
      <w:pPr>
        <w:spacing w:after="80"/>
      </w:pPr>
      <w:r>
        <w:rPr>
          <w:b/>
          <w:i/>
        </w:rPr>
        <w:t>Trong khoảng thời gian tương đương với chương trình Concentrator của châu Mỹ, quá trình chuyển đổi lĩnh vực Leach to the Last Drop đã đạt được giá trị cao hơn 50% dưới dạng sản lượng đồng và EBIDTA. Và công ty dự kiến có thể tăng gấp đôi con số đó một lần nữa, tiếp thêm dũng khí để các nhà lãnh đạo nâng cao tham vọng tìm thêm 800 triệu pound đồng tăng thêm mỗi năm</w:t>
      </w:r>
      <w:r>
        <w:rPr>
          <w:b/>
          <w:i w:val="0"/>
        </w:rPr>
        <w:t>.</w:t>
      </w:r>
    </w:p>
    <w:p>
      <w:pPr>
        <w:spacing w:after="80"/>
      </w:pPr>
      <w:r>
        <w:rPr>
          <w:b w:val="0"/>
          <w:i w:val="0"/>
        </w:rPr>
        <w:t>Điều này không có nghĩa là mọi thứ đều thuận buồm xuôi gió. Đôi khi kết quả kỳ vọng từ một mô hình mới không thành hiện thực, cần thay đổi nhân sự, hoặc một nhóm đơn giản là chưa sẵn sàng sử dụng một mô hình phân tích mới. Nhưng cam kết dựa vào dữ liệu khách quan và sự sẵn lòng thừa nhận những bước lùi đã cho phép Freeport điều chỉnh và thích nghi nhanh chóng, đồng thời giữ đà hướng tới các mục tiêu của mình.</w:t>
      </w:r>
    </w:p>
    <w:p>
      <w:pPr>
        <w:spacing w:after="80"/>
      </w:pPr>
      <w:r>
        <w:rPr>
          <w:b/>
          <w:i/>
        </w:rPr>
        <w:t>Ban lãnh đạo Freeport đã chủ động xây dựng dựa trên các năng lực AI của công ty bằng cách lấy những hạt giống từ các thành công này và gieo chúng vào những phần khác nhau của hoạt động kinh doanh</w:t>
      </w:r>
      <w:r>
        <w:rPr>
          <w:b/>
          <w:i w:val="0"/>
        </w:rPr>
        <w:t>.</w:t>
      </w:r>
    </w:p>
    <w:p>
      <w:pPr>
        <w:spacing w:after="80"/>
      </w:pPr>
      <w:r>
        <w:rPr>
          <w:b w:val="0"/>
          <w:i w:val="0"/>
        </w:rPr>
        <w:t>Tuy nhiên, để những hạt giống đó bén rễ, Freeport hiểu rằng chỉ đơn thuần trao công cụ mới cho mọi người là điều không thể thành công. Ban lãnh đạo đã học được rằng chìa khóa để giúp mọi người trong toàn bộ hoạt động kinh doanh làm việc hiệu quả với các công cụ AI là xây dựng một văn hóa nuôi dưỡng những hành vi sử dụng chúng một cách hiệu quả.</w:t>
      </w:r>
    </w:p>
    <w:p>
      <w:pPr>
        <w:pStyle w:val="Heading2"/>
      </w:pPr>
      <w:r>
        <w:rPr>
          <w:rFonts w:ascii="Calibri" w:hAnsi="Calibri"/>
          <w:b/>
          <w:i w:val="0"/>
          <w:sz w:val="32"/>
        </w:rPr>
        <w:t>Xây dựng một văn hóa khởi nghiệp</w:t>
      </w:r>
    </w:p>
    <w:p>
      <w:pPr>
        <w:spacing w:after="80"/>
      </w:pPr>
      <w:r>
        <w:rPr>
          <w:b w:val="0"/>
          <w:i w:val="0"/>
        </w:rPr>
        <w:t>Sự thay đổi này không phải là để tạo ra một nền văn hóa mới. Freeport vốn đã có một nền văn hóa mạnh mẽ, nơi các đội nhóm xuất sắc trong việc xây dựng lộ trình (roadmap), thử nghiệm một ý tưởng, mở rộng quy mô tại một địa điểm, tìm cách cải tiến—nhiều dấu ấn đặc trưng của một mô hình vận hành Công nghệ &amp; AI (Tech &amp; AI operating model). Nhưng với tư cách là một doanh nghiệp lấy kỹ thuật làm trung tâm, vận hành theo kiểu từ trên xuống và tập trung vào việc triển khai kế hoạch, Freeport không tự nhiên nuôi dưỡng hay khuyến khích ngọn lửa tinh thần khởi nghiệp mà công việc này đòi hỏi.</w:t>
      </w:r>
    </w:p>
    <w:p>
      <w:pPr>
        <w:spacing w:after="80"/>
      </w:pPr>
      <w:r>
        <w:rPr>
          <w:b w:val="0"/>
          <w:i w:val="0"/>
        </w:rPr>
        <w:t>Trước đây, Freeport đã xây dựng một chiến dịch nhằm khuyến khích những hành vi then chốt cho sự thành công mà họ đang theo đuổi, bao gồm có hoài bão lớn, theo đuổi giá trị, hợp tác, được trao quyền để hành động, và phát triển con người.</w:t>
      </w:r>
    </w:p>
    <w:p>
      <w:pPr>
        <w:spacing w:after="80"/>
      </w:pPr>
      <w:r>
        <w:rPr>
          <w:b/>
          <w:i/>
        </w:rPr>
        <w:t>Sự chuyển dịch văn hóa đã đóng vai trò then chốt trong việc tạo ra những tư duy và thói quen để mọi người có thể sử dụng—và phát triển tiếp từ—các năng lực số và AI đã được thiết lập, vượt xa phạm vi ban đầu của chương trình chiết xuất (leaching program)</w:t>
      </w:r>
      <w:r>
        <w:rPr>
          <w:b/>
          <w:i w:val="0"/>
        </w:rPr>
        <w:t>.</w:t>
      </w:r>
    </w:p>
    <w:p>
      <w:pPr>
        <w:spacing w:after="80"/>
      </w:pPr>
      <w:r>
        <w:rPr>
          <w:b w:val="0"/>
          <w:i w:val="0"/>
        </w:rPr>
        <w:t>Tinh thần khởi nghiệp mạnh mẽ hơn đó thể hiện rõ khi đội ngũ khoa học dữ liệu (data science) cốt lõi, chẳng hạn, đã mở rộng bộ công cụ từ chương trình Concentrators của châu Mỹ để tối ưu hóa khâu nghiền quặng (milling).</w:t>
      </w:r>
    </w:p>
    <w:p>
      <w:pPr>
        <w:spacing w:after="80"/>
      </w:pPr>
      <w:r>
        <w:rPr>
          <w:b w:val="0"/>
          <w:i w:val="0"/>
        </w:rPr>
        <w:t>Chẳng hạn, họ đã sử dụng các kỹ thuật AI tiên tiến để mô phỏng cách quặng chảy vào và ra khỏi các bãi chứa quặng (ore stockpiles) nhằm tối ưu hóa công thức cho những gì đi đến nhà máy nghiền. Họ đã xây dựng những mô hình hoàn toàn mới như "Frag AI" để tối ưu hóa hoạt động khoan và nổ mìn (drill and blast), cùng những mô hình khác tối ưu hóa vị trí và cách thức điều phối xe tải vận chuyển (haul trucks) đến các mỏ. Freeport còn đang tiên phong áp dụng các kỹ thuật AI để sản xuất thêm đồng với mức tiêu thụ nước và năng lượng thấp hơn nhiều, cùng chi phí thấp hơn.</w:t>
      </w:r>
    </w:p>
    <w:p>
      <w:pPr>
        <w:spacing w:after="80"/>
      </w:pPr>
      <w:r>
        <w:rPr>
          <w:b w:val="0"/>
          <w:i w:val="0"/>
        </w:rPr>
        <w:t>Sự tự tin và chuyên môn ngày càng tăng của Freeport đã dẫn dắt họ sử dụng một mô hình AI với phương pháp kiểm nghiệm tinh vi và nhanh chóng để đánh giá mức độ phù hợp của các chất phản ứng (reagents) tiềm năng mới trong việc nâng cao hiệu suất thu hồi qua chiết xuất (leach recoveries). Với việc Freeport có khoảng 39 tỷ pound đồng nằm trong các bãi chứa vốn từng bị coi là chất thải, giờ đây họ có tiềm năng khai thác chúng một cách kinh tế.</w:t>
      </w:r>
    </w:p>
    <w:p>
      <w:pPr>
        <w:spacing w:after="80"/>
      </w:pPr>
      <w:r>
        <w:rPr>
          <w:b w:val="0"/>
          <w:i w:val="0"/>
        </w:rPr>
        <w:t>Sáng kiến này đại diện cho một phần tiềm năng đáng kể trong danh mục đổi mới nhắm tới mục tiêu sản xuất gia tăng 800 triệu pound đồng mỗi năm. Chất phụ gia chiết xuất (leach additive) đầu tiên đang được chứng minh khái niệm (proof of concept) thông qua thử nghiệm thực địa tại Mỏ Morenci của Freeport, với những chất phụ gia có hiệu suất thậm chí còn cao hơn đang trong lộ trình phát triển.</w:t>
      </w:r>
    </w:p>
    <w:p>
      <w:pPr>
        <w:spacing w:after="80"/>
      </w:pPr>
      <w:r>
        <w:rPr>
          <w:b/>
          <w:i/>
        </w:rPr>
        <w:t>Với những nền tảng vững chắc và chuyên môn AI đang lớn dần, Freeport đang nhắm tới chương trình táo bạo nhất từ trước đến nay: tối ưu hóa toàn bộ chuỗi giá trị (value chain)</w:t>
      </w:r>
      <w:r>
        <w:rPr>
          <w:b/>
          <w:i w:val="0"/>
        </w:rPr>
        <w:t>.</w:t>
      </w:r>
    </w:p>
    <w:p>
      <w:pPr>
        <w:spacing w:after="80"/>
      </w:pPr>
      <w:r>
        <w:rPr>
          <w:b w:val="0"/>
          <w:i w:val="0"/>
        </w:rPr>
        <w:t>Công ty đang xây dựng một trung tâm vận hành tích hợp (integrated operations center) để tập hợp dữ liệu và chuyên môn xuyên suốt mọi bước trong chuỗi giá trị, đồng thời xác định các cơ hội tối ưu hóa sản lượng và chi phí tại từng điểm.</w:t>
      </w:r>
    </w:p>
    <w:p>
      <w:pPr>
        <w:spacing w:after="80"/>
      </w:pPr>
      <w:r>
        <w:rPr>
          <w:b w:val="0"/>
          <w:i w:val="0"/>
        </w:rPr>
        <w:t>Hành trình "Leach to the Last Drop" của Freeport là một ví dụ điển hình cho hiệu ứng bánh đà (flywheel effect), khi kinh nghiệm từ chương trình Concentrator của châu Mỹ tạo nền tảng để xây dựng những năng lực ngày càng tiên tiến hơn. Sức mạnh bồi đắp lên sức mạnh, cho phép doanh nghiệp tạo ra nhiều giá trị hơn.</w:t>
      </w:r>
    </w:p>
    <w:p>
      <w:pPr>
        <w:spacing w:after="80"/>
      </w:pPr>
      <w:r>
        <w:rPr>
          <w:b w:val="0"/>
          <w:i/>
        </w:rPr>
        <w:t>Các tác giả xin cảm ơn Cory Stevens, Chủ tịch kiêm Giám đốc Vận hành của Freeport Americas, và Bert Odinet, Phó Chủ tịch cấp cao kiêm Giám đốc Đổi mới, vì sự lãnh đạo của họ trong quá trình chuyển đổi này, cũng như sự hỗ trợ và hướng dẫn của họ đối với ví dụ tình huống này. Tình huống này được phát triển cho</w:t>
      </w:r>
      <w:r>
        <w:rPr>
          <w:b w:val="0"/>
          <w:i w:val="0"/>
        </w:rPr>
        <w:t xml:space="preserve"> Rewired </w:t>
      </w:r>
      <w:r>
        <w:rPr>
          <w:b w:val="0"/>
          <w:i/>
        </w:rPr>
        <w:t>với sự hợp tác của các nhà lãnh đạo McKinsey: Sean Buckley, Doug Huey, và Richard Sellschop</w:t>
      </w:r>
      <w:r>
        <w:rPr>
          <w:b w:val="0"/>
          <w:i w:val="0"/>
        </w:rPr>
        <w:t>.</w:t>
      </w:r>
    </w:p>
    <w:p>
      <w:pPr>
        <w:pStyle w:val="Heading2"/>
      </w:pPr>
      <w:r>
        <w:rPr>
          <w:rFonts w:ascii="Calibri" w:hAnsi="Calibri"/>
          <w:b/>
          <w:i w:val="0"/>
          <w:sz w:val="32"/>
        </w:rPr>
        <w:t>Ghi chú</w:t>
      </w:r>
    </w:p>
    <w:p>
      <w:pPr>
        <w:spacing w:after="80"/>
        <w:ind w:left="360"/>
      </w:pPr>
      <w:r>
        <w:t xml:space="preserve">1. </w:t>
      </w:r>
      <w:r>
        <w:rPr>
          <w:b w:val="0"/>
          <w:i w:val="0"/>
        </w:rPr>
        <w:t>1   Stevens sau đó đã được bổ nhiệm làm Chủ tịch kiêm Giám đốc Vận hành của Freeport-McMoRan Americas.</w:t>
      </w:r>
    </w:p>
    <w:p>
      <w:pPr>
        <w:pStyle w:val="Heading1"/>
      </w:pPr>
      <w:r>
        <w:rPr>
          <w:rFonts w:ascii="Calibri" w:hAnsi="Calibri"/>
          <w:b/>
          <w:i w:val="0"/>
          <w:sz w:val="40"/>
        </w:rPr>
        <w:t>CHƯƠNG 39</w:t>
      </w:r>
      <w:r>
        <w:rPr>
          <w:rFonts w:ascii="Calibri" w:hAnsi="Calibri"/>
          <w:b/>
          <w:i w:val="0"/>
          <w:sz w:val="40"/>
        </w:rPr>
      </w:r>
      <w:r>
        <w:rPr>
          <w:rFonts w:ascii="Calibri" w:hAnsi="Calibri"/>
          <w:b/>
          <w:i w:val="0"/>
          <w:sz w:val="40"/>
        </w:rPr>
        <w:t>DBS Bank: Một ngân hàng đa quốc gia dốc toàn lực vào AI</w:t>
      </w:r>
    </w:p>
    <w:p>
      <w:pPr>
        <w:spacing w:after="80"/>
      </w:pPr>
      <w:r>
        <w:rPr>
          <w:b w:val="0"/>
          <w:i w:val="0"/>
        </w:rPr>
        <w:t>Công nghiệp hóa AI để rút ngắn triệt để thời gian tạo ra giá trị</w:t>
      </w:r>
    </w:p>
    <w:p>
      <w:pPr>
        <w:pStyle w:val="Heading2"/>
      </w:pPr>
      <w:r>
        <w:rPr>
          <w:rFonts w:ascii="Calibri" w:hAnsi="Calibri"/>
          <w:b/>
          <w:i w:val="0"/>
          <w:sz w:val="32"/>
        </w:rPr>
        <w:t>Giới thiệu về DBS Bank</w:t>
      </w:r>
    </w:p>
    <w:p>
      <w:pPr>
        <w:spacing w:after="80"/>
      </w:pPr>
      <w:r>
        <w:rPr>
          <w:b/>
          <w:i w:val="0"/>
        </w:rPr>
        <w:t>Mô tả công ty:</w:t>
      </w:r>
      <w:r>
        <w:rPr>
          <w:b w:val="0"/>
          <w:i w:val="0"/>
        </w:rPr>
        <w:t xml:space="preserve"> DBS Group Holdings Ltd là tập đoàn ngân hàng lớn nhất Đông Nam Á tính theo tài sản. Tập đoàn cung cấp các dịch vụ ngân hàng bán lẻ, doanh nghiệp vừa và nhỏ, ngân hàng doanh nghiệp và ngân hàng đầu tư, chủ yếu tại châu Á. Công ty được thành lập năm 1968 và đặt trụ sở chính tại Singapore.</w:t>
      </w:r>
    </w:p>
    <w:p>
      <w:pPr>
        <w:spacing w:after="80"/>
      </w:pPr>
      <w:r>
        <w:rPr>
          <w:b/>
          <w:i w:val="0"/>
        </w:rPr>
        <w:t>Số lượng nhân viên:</w:t>
      </w:r>
      <w:r>
        <w:rPr>
          <w:b w:val="0"/>
          <w:i w:val="0"/>
        </w:rPr>
        <w:t xml:space="preserve"> Khoảng 41.000</w:t>
      </w:r>
    </w:p>
    <w:p>
      <w:pPr>
        <w:spacing w:after="80"/>
      </w:pPr>
      <w:r>
        <w:rPr>
          <w:b/>
          <w:i w:val="0"/>
        </w:rPr>
        <w:t>Vốn hóa thị trường:</w:t>
      </w:r>
      <w:r>
        <w:rPr>
          <w:b w:val="0"/>
          <w:i w:val="0"/>
        </w:rPr>
        <w:t xml:space="preserve"> 160 tỷ SGD (125 tỷ USD)</w:t>
      </w:r>
    </w:p>
    <w:p>
      <w:pPr>
        <w:spacing w:after="80"/>
      </w:pPr>
      <w:r>
        <w:rPr>
          <w:b/>
          <w:i w:val="0"/>
        </w:rPr>
        <w:t>Doanh thu</w:t>
      </w:r>
      <w:r>
        <w:rPr>
          <w:b w:val="0"/>
          <w:i w:val="0"/>
        </w:rPr>
        <w:t>: 22 tỷ SGD (17,4 tỷ USD) trong năm tài chính 2024</w:t>
      </w:r>
    </w:p>
    <w:p>
      <w:pPr>
        <w:spacing w:after="80"/>
      </w:pPr>
      <w:r>
        <w:rPr>
          <w:b/>
          <w:i w:val="0"/>
        </w:rPr>
        <w:t>Phạm vi địa lý:</w:t>
      </w:r>
      <w:r>
        <w:rPr>
          <w:b w:val="0"/>
          <w:i w:val="0"/>
        </w:rPr>
        <w:t xml:space="preserve"> Hoạt động tại 19 thị trường, bao gồm Trung Quốc, Hồng Kông, Ấn Độ, Indonesia, Nhật Bản, Malaysia, Singapore, Đài Loan và Các Tiểu vương quốc Ả Rập Thống nhất</w:t>
      </w:r>
    </w:p>
    <w:p>
      <w:pPr>
        <w:spacing w:after="80"/>
      </w:pPr>
      <w:r>
        <w:rPr>
          <w:b w:val="0"/>
          <w:i w:val="0"/>
        </w:rPr>
        <w:t>Năm 2018, đội ngũ lãnh đạo cấp cao nhất của DBS, ngân hàng có trụ sở tại Singapore, đã cùng nhau thảo luận về một ưu tiên then chốt trong khuôn khổ hội thảo lãnh đạo thường niên. Trọng tâm không phải là chiến lược hay AI hay mô hình kinh doanh (ít nhất là không trực tiếp). Không, những người có vị trí cao nhất trong ngân hàng đã cùng nhau bàn về chuyển đổi dữ liệu.</w:t>
      </w:r>
    </w:p>
    <w:p>
      <w:pPr>
        <w:spacing w:after="80"/>
      </w:pPr>
      <w:r>
        <w:rPr>
          <w:b w:val="0"/>
          <w:i w:val="0"/>
        </w:rPr>
        <w:t>Nhiều công ty hiểu được tầm quan trọng của dữ liệu, nhưng rất ít công ty biến nó thành ưu tiên hàng đầu của ban lãnh đạo như DBS đã làm (và vẫn đang tiếp tục làm). Đó là bởi vì DBS nhận ra vai trò then chốt của dữ liệu trong việc hiện thực hóa khát vọng trở thành ngân hàng tốt nhất thế giới.</w:t>
      </w:r>
    </w:p>
    <w:p>
      <w:pPr>
        <w:spacing w:after="80"/>
      </w:pPr>
      <w:r>
        <w:rPr>
          <w:b w:val="0"/>
          <w:i w:val="0"/>
        </w:rPr>
        <w:t>Bài học đó đã thể hiện rõ ràng trong giai đoạn đầu tiên của hành trình chuyển đổi DBS, khi ngân hàng tập trung vào việc trở thành số hóa từ cốt lõi (xem khung bên cạnh, "Giai đoạn đầu tiên của DBS").</w:t>
      </w:r>
    </w:p>
    <w:p>
      <w:pPr>
        <w:pStyle w:val="Heading2"/>
      </w:pPr>
      <w:r>
        <w:rPr>
          <w:rFonts w:ascii="Calibri" w:hAnsi="Calibri"/>
          <w:b/>
          <w:i w:val="0"/>
          <w:sz w:val="32"/>
        </w:rPr>
        <w:t>Giai đoạn đầu tiên của DBS: Chuyển đổi để trở thành số hóa từ cốt lõi</w:t>
      </w:r>
    </w:p>
    <w:p>
      <w:pPr>
        <w:spacing w:after="80"/>
      </w:pPr>
      <w:r>
        <w:rPr>
          <w:b w:val="0"/>
          <w:i w:val="0"/>
        </w:rPr>
        <w:t>Khi DBS bắt đầu hành trình chuyển đổi số và AI vào năm 2014, ban lãnh đạo ban đầu tập trung vào những hành trình khách hàng then chốt có tác động lớn nhất, chẳng hạn như mở tài khoản và thời gian chờ đợi tại ATM. Được gọi là "những hành trình khách hàng biểu tượng", các sáng kiến này tập trung vào toàn bộ trải nghiệm từ đầu đến cuối và đã thổi bùng năng lượng cho toàn tổ chức.</w:t>
      </w:r>
    </w:p>
    <w:p>
      <w:pPr>
        <w:spacing w:after="80"/>
      </w:pPr>
      <w:r>
        <w:rPr>
          <w:b w:val="0"/>
          <w:i w:val="0"/>
        </w:rPr>
        <w:t>Để biến nguồn năng lượng đó thành tiến bộ, ngân hàng đã tổ chức nhân sự của mình xoay quanh 28 nền tảng (platform) gắn với các phân khúc kinh doanh và sản phẩm. Mỗi nền tảng được đồng lãnh đạo bởi một lãnh đạo kinh doanh và một lãnh đạo IT, những người có quyền tự chủ ra quyết định và hành động nhanh chóng.</w:t>
      </w:r>
    </w:p>
    <w:p>
      <w:pPr>
        <w:spacing w:after="80"/>
      </w:pPr>
      <w:r>
        <w:rPr>
          <w:b w:val="0"/>
          <w:i w:val="0"/>
        </w:rPr>
        <w:t>Để đảm bảo các đội ngũ sản phẩm và nền tảng này có thể vận hành hiệu quả, DBS đã đưa ra quyết định chiến lược là đưa 70% nhân tài công nghệ về nội bộ, tăng từ mức 20% trước đây. Ngân hàng đã sử dụng các phương pháp phi truyền thống như hackathon để tìm kiếm và đào tạo nhân tài, đồng thời thiết lập ba trung tâm công nghệ để thu hút nhân tài ở nhiều địa điểm hơn.</w:t>
      </w:r>
    </w:p>
    <w:p>
      <w:pPr>
        <w:spacing w:after="80"/>
      </w:pPr>
      <w:r>
        <w:rPr>
          <w:b w:val="0"/>
          <w:i w:val="0"/>
        </w:rPr>
        <w:t>Đến năm 2021, 90% dịch vụ công nghệ của ngân hàng được thực hiện nội bộ, và 99% ứng dụng là cloud native (điện toán đám mây gốc). Để đảm bảo nhân tài công nghệ phát triển mạnh mẽ, ngân hàng đã ra mắt DBS Tech Academy nhằm cung cấp cho các chuyên gia công nghệ một chương trình học tập trung vào các lĩnh vực như kỹ thuật độ tin cậy trang web (site reliability engineering), an ninh mạng, học máy (machine learning) và GenAI.</w:t>
      </w:r>
    </w:p>
    <w:p>
      <w:pPr>
        <w:spacing w:after="80"/>
      </w:pPr>
      <w:r>
        <w:rPr>
          <w:b w:val="0"/>
          <w:i w:val="0"/>
        </w:rPr>
        <w:t>Các chương trình số đã dẫn đến việc hơn 60% khách hàng DBS sử dụng các công cụ và dịch vụ số, với khách hàng số tạo ra thu nhập gấp hơn hai lần so với khách hàng truyền thống. Những thành tựu này đã giúp DBS giành được sự công nhận rộng rãi, bao gồm giải Ngân hàng Tốt nhất Thế giới của Global Finance và giải Ngân hàng của Năm của The Banker vào năm 2018.</w:t>
      </w:r>
    </w:p>
    <w:p>
      <w:pPr>
        <w:pStyle w:val="Heading2"/>
      </w:pPr>
      <w:r>
        <w:rPr>
          <w:rFonts w:ascii="Calibri" w:hAnsi="Calibri"/>
          <w:b/>
          <w:i w:val="0"/>
          <w:sz w:val="32"/>
        </w:rPr>
        <w:t>Cân bằng giữa xây dựng năng lực dài hạn và tạo giá trị ngắn hạn</w:t>
      </w:r>
    </w:p>
    <w:p>
      <w:pPr>
        <w:spacing w:after="80"/>
      </w:pPr>
      <w:r>
        <w:rPr>
          <w:b w:val="0"/>
          <w:i w:val="0"/>
        </w:rPr>
        <w:t>Câu hỏi then chốt mà đội ngũ lãnh đạo giải quyết khi đó cũng chính là câu hỏi đang làm đau đầu nhiều công ty cho đến tận ngày nay khi nói đến dữ liệu và các vấn đề công nghệ rộng hơn: Làm thế nào để cân bằng giữa những khoản đầu tư thường rất lớn vào việc xây dựng năng lực dữ liệu dài hạn với nhu cầu tạo ra giá trị trong ngắn hạn.</w:t>
      </w:r>
    </w:p>
    <w:p>
      <w:pPr>
        <w:spacing w:after="80"/>
      </w:pPr>
      <w:r>
        <w:rPr>
          <w:b w:val="0"/>
          <w:i w:val="0"/>
        </w:rPr>
        <w:t>Sau rất nhiều tranh luận căng thẳng và các buổi thuyết trình chi tiết, ban lãnh đạo đã thống nhất theo cái mà họ gọi là “cách tiếp cận chữ T” (T-shaped approach) cho quá trình chuyển đổi dữ liệu của mình. Về bản chất, cách tiếp cận này có nghĩa là trong khi các đội ngũ DBS đi sâu để xây dựng một trường hợp sử dụng (use case) (thanh dọc của chữ “T”), họ vẫn chủ động thực hiện theo cách đồng thời xây dựng nền tảng dữ liệu doanh nghiệp rộng lớn hơn (thanh ngang).</w:t>
      </w:r>
    </w:p>
    <w:p>
      <w:pPr>
        <w:spacing w:after="80"/>
      </w:pPr>
      <w:r>
        <w:rPr>
          <w:b w:val="0"/>
          <w:i w:val="0"/>
        </w:rPr>
        <w:t>Cách tiếp cận này giúp tránh hai cái bẫy lớn mà nhiều công ty thường sa vào: Một là cố gắng thực hiện một cuộc chuyển đổi dữ liệu toàn doanh nghiệp vừa tốn thời gian vừa tốn kém. Hai là chỉ tập trung vào trường hợp sử dụng mà gây tổn hại đến lợi ích chung của toàn doanh nghiệp.</w:t>
      </w:r>
    </w:p>
    <w:p>
      <w:pPr>
        <w:spacing w:after="80"/>
      </w:pPr>
      <w:r>
        <w:rPr>
          <w:b w:val="0"/>
          <w:i w:val="0"/>
        </w:rPr>
        <w:t>Vào thời điểm đó, ít ai có thể đoán được bước đột phá về dữ liệu năm 2018 này lại có ý nghĩa nền tảng đến vậy đối với những thành công của DBS với AI ngày nay. Nhưng nó đã chứng minh là bước ngoặt then chốt giúp DBS thúc đẩy quy mô, giảm công sức và tăng tốc độ trong việc tạo ra giá trị đó.</w:t>
      </w:r>
    </w:p>
    <w:p>
      <w:pPr>
        <w:spacing w:after="80"/>
      </w:pPr>
      <w:r>
        <w:rPr>
          <w:b w:val="0"/>
          <w:i w:val="0"/>
        </w:rPr>
        <w:t>DBS là một trong số ít công ty tại thời điểm viết bài này đã liên tục tạo ra giá trị thực sự từ các sáng kiến AI của mình, và ước tính sẽ mang lại hơn 1 tỷ đô la Singapore (khoảng 772 triệu đô la Mỹ) tác động kinh tế vào năm 2025. Và họ đã có thể rút ngắn thời gian đạt được giá trị. Năm 2018, phải mất 12–18 tháng để triển khai các mô hình AI. Đến năm 2023, chỉ còn hai đến ba tháng. Thành công không ngừng này đã giúp DBS được vinh danh là Ngân hàng AI tốt nhất thế giới trong giải thưởng “AI In Finance” năm 2025 của Tạp chí Global Finance.</w:t>
      </w:r>
    </w:p>
    <w:p>
      <w:pPr>
        <w:spacing w:after="80"/>
      </w:pPr>
      <w:r>
        <w:rPr>
          <w:b w:val="0"/>
          <w:i w:val="0"/>
        </w:rPr>
        <w:t>Khoảng thời gian đó nhấn mạnh một điểm mấu chốt: không có đường tắt ở đây. Đây là công việc khó khăn nhưng cần thiết để cạnh tranh vượt trội trong kỷ nguyên AI.</w:t>
      </w:r>
    </w:p>
    <w:p>
      <w:pPr>
        <w:pStyle w:val="Heading2"/>
      </w:pPr>
      <w:r>
        <w:rPr>
          <w:rFonts w:ascii="Calibri" w:hAnsi="Calibri"/>
          <w:b/>
          <w:i w:val="0"/>
          <w:sz w:val="32"/>
        </w:rPr>
        <w:t>Làm chủ dữ liệu cho kỷ nguyên AI</w:t>
      </w:r>
    </w:p>
    <w:p>
      <w:pPr>
        <w:spacing w:after="80"/>
      </w:pPr>
      <w:r>
        <w:rPr>
          <w:b w:val="0"/>
          <w:i w:val="0"/>
        </w:rPr>
        <w:t>Một trong những động lực lớn cho hội thảo lãnh đạo năm 2018 là những nỗ lực ban đầu với AI đã cho thấy việc quản lý dữ liệu khó khăn đến mức nào. Vì dữ liệu được lưu trữ ở nhiều bộ phận khác nhau trong toàn bộ hoạt động kinh doanh, nên thường phải mất bốn đến sáu tháng chỉ để định vị dữ liệu, làm sạch nó và đảm bảo tất cả các thành viên đúng trong nhóm có quyền truy cập nó.</w:t>
      </w:r>
    </w:p>
    <w:p>
      <w:pPr>
        <w:spacing w:after="80"/>
      </w:pPr>
      <w:r>
        <w:rPr>
          <w:b w:val="0"/>
          <w:i w:val="0"/>
        </w:rPr>
        <w:t>Sau đó, khi các đội ngũ có thể truy cập được, dữ liệu lại không rõ ràng và chưa được cấu trúc đủ tốt. Hơn nữa, các đội ngũ xây dựng mô hình theo cách riêng lẻ, cản trở việc tái sử dụng các pipeline và tài sản cho những trường hợp sử dụng khác.</w:t>
      </w:r>
    </w:p>
    <w:p>
      <w:pPr>
        <w:spacing w:after="80"/>
      </w:pPr>
      <w:r>
        <w:rPr>
          <w:b w:val="0"/>
          <w:i w:val="0"/>
        </w:rPr>
        <w:t>Một nguồn chậm trễ khác là đội ngũ rủi ro chỉ tham gia và đề xuất những thay đổi cần thiết sau khi mô hình đã được xây dựng xong. Tuy nhiên, ở giai đoạn đó, việc thực hiện các thay đổi lại tốn kém và mất thời gian. Toàn bộ quá trình này thường mất hơn một năm trước khi mô hình AI thậm chí được đưa vào vận hành thực tế.</w:t>
      </w:r>
    </w:p>
    <w:p>
      <w:pPr>
        <w:spacing w:after="80"/>
      </w:pPr>
      <w:r>
        <w:rPr>
          <w:b/>
          <w:i/>
        </w:rPr>
        <w:t>DBS biết mình phải làm cho dữ liệu dễ tìm, dễ sử dụng và dễ bảo vệ. Điều đó không hề dễ dàng. Khắc phục vấn đề này là công việc nghiêm túc vượt xa việc chỉ đơn thuần tìm nguồn và di chuyển dữ liệu; DBS biết mình cần một cuộc chuyển đổi dữ liệu để tái cấu trúc toàn bộ cách tiếp cận dữ liệu của mình</w:t>
      </w:r>
      <w:r>
        <w:rPr>
          <w:b/>
          <w:i w:val="0"/>
        </w:rPr>
        <w:t>.</w:t>
      </w:r>
    </w:p>
    <w:p>
      <w:pPr>
        <w:spacing w:after="80"/>
      </w:pPr>
      <w:r>
        <w:rPr>
          <w:b w:val="0"/>
          <w:i w:val="0"/>
        </w:rPr>
        <w:t>Vì vậy, tổ chức đã tạo ra vai trò giám đốc phân tích (chief analytics officer), tập trung vào việc thúc đẩy chuyển đổi dữ liệu một cách tập trung. Một bước nữa để quản lý nỗ lực này là thành lập một đội ngũ “DataFirst” tập trung, chuyên về phân tích nâng cao, xây dựng văn hóa và năng lực, cho phép sử dụng dữ liệu và xây dựng một nền tảng dữ liệu phù hợp với mục đích. Điều này bao gồm việc cung cấp cho đội ngũ những chuyên gia chủ đề từ hoạt động kinh doanh. Đây là những người gần gũi nhất với dữ liệu, nên hiểu rõ nó là gì (mã giao dịch), điều gì quan trọng (các trường dữ liệu cho thông tin khách hàng quan trọng, chẳng hạn), và siêu dữ liệu (metadata) nào là hợp lý để đảm bảo dữ liệu có thể được khám phá.</w:t>
      </w:r>
    </w:p>
    <w:p>
      <w:pPr>
        <w:spacing w:after="80"/>
      </w:pPr>
      <w:r>
        <w:rPr>
          <w:b w:val="0"/>
          <w:i w:val="0"/>
        </w:rPr>
        <w:t>Quá trình xem xét và làm sạch dữ liệu này là công việc vô cùng mệt mỏi, đó là lý do nhiều công ty thuê ngoài cho các nhà cung cấp hoặc bộ phận IT. Nhưng các đội ngũ thuê ngoài có thể gặp khó khăn trong việc hiểu điều gì quan trọng đối với hoạt động kinh doanh, dẫn đến rủi ro là dữ liệu thu được không hữu ích.</w:t>
      </w:r>
    </w:p>
    <w:p>
      <w:pPr>
        <w:spacing w:after="80"/>
      </w:pPr>
      <w:r>
        <w:rPr>
          <w:b w:val="0"/>
          <w:i w:val="0"/>
        </w:rPr>
        <w:t>Quyết định của DBS trong việc cung cấp nguồn lực cho chương trình làm sạch và gắn thẻ dữ liệu này một cách tập trung thông qua một nhà máy dữ liệu (data factory) đã trở thành một yếu tố khác biệt hóa to lớn về chất lượng của cả dữ liệu lẫn các mô hình AI tiếp theo phụ thuộc vào nó. Việc đầu tư vào nền tảng chất lượng cao này đã mang lại cổ tức khổng lồ sau này dưới dạng các phân tích và kết quả đầu ra chất lượng cao mà các đội ngũ tin tưởng.</w:t>
      </w:r>
    </w:p>
    <w:p>
      <w:pPr>
        <w:spacing w:after="80"/>
      </w:pPr>
      <w:r>
        <w:rPr>
          <w:b w:val="0"/>
          <w:i w:val="0"/>
        </w:rPr>
        <w:t>Để đảm bảo các đội ngũ sử dụng dữ liệu nhanh chóng và hiệu quả, đội ngũ DataFirst trung tâm đã thiết lập một bộ thực hành cốt lõi, bao gồm việc đưa ra các yêu cầu về chất lượng dữ liệu, các quy tắc chuẩn hóa và bảo mật dữ liệu, cùng các tiêu chuẩn về nguồn gốc (lineage) để làm cho dữ liệu có thể được khám phá và truy vết. Họ cũng triển khai một tính năng tự động đơn giản hóa quyền truy cập dữ liệu dựa trên vai trò theo hồ sơ của người dùng, nhằm loại bỏ quy trình xin cấp quyền truy cập dữ liệu kéo dài.</w:t>
      </w:r>
    </w:p>
    <w:p>
      <w:pPr>
        <w:pStyle w:val="Heading2"/>
      </w:pPr>
      <w:r>
        <w:rPr>
          <w:rFonts w:ascii="Calibri" w:hAnsi="Calibri"/>
          <w:b/>
          <w:i w:val="0"/>
          <w:sz w:val="32"/>
        </w:rPr>
        <w:t>Nền tảng và sản phẩm: Chuẩn bị dữ liệu sẵn sàng để sử dụng</w:t>
      </w:r>
    </w:p>
    <w:p>
      <w:pPr>
        <w:spacing w:after="80"/>
      </w:pPr>
      <w:r>
        <w:rPr>
          <w:b w:val="0"/>
          <w:i w:val="0"/>
        </w:rPr>
        <w:t>Trong khi đội ngũ DataFirst làm sạch và di chuyển dữ liệu, một đội ngũ nền tảng đã xây dựng một nền tảng dữ liệu trung tâm để dữ liệu chảy vào đó. Được gọi là ADA, viết tắt của “advancing DBS through AI” (thúc đẩy DBS thông qua AI), nhưng cũng để tôn vinh nhà tiên phong công nghệ Ada Lovelace, nền tảng dữ liệu trung tâm này lưu trữ các bộ dữ liệu cốt lõi của DBS từ tất cả các đơn vị, cung cấp môi trường sandbox cho thử nghiệm nội bộ, và quảng bá các sản phẩm và dịch vụ dữ liệu đã sẵn sàng vận hành.</w:t>
      </w:r>
    </w:p>
    <w:p>
      <w:pPr>
        <w:spacing w:after="80"/>
      </w:pPr>
      <w:r>
        <w:rPr>
          <w:b w:val="0"/>
          <w:i w:val="0"/>
        </w:rPr>
        <w:t>Những thành phần này mang lại sự linh hoạt và khả năng phục hồi vốn rất quan trọng trong việc mở rộng quy mô hoạt động dữ liệu của ngân hàng. Cuối cùng, ADA sẽ có tới bảy petabyte dữ liệu và 45.000 bộ dữ liệu.</w:t>
      </w:r>
    </w:p>
    <w:p>
      <w:pPr>
        <w:spacing w:after="80"/>
      </w:pPr>
      <w:r>
        <w:rPr>
          <w:b/>
          <w:i/>
        </w:rPr>
        <w:t>Để kích hoạt một tập hợp các tình huống sử dụng bán hàng có mục tiêu cụ thể, bao gồm bán chéo và sản phẩm tiếp theo nên mua, DBS đã ưu tiên phát triển các sản phẩm dữ liệu như customer 360 (một sản phẩm dữ liệu cung cấp nguồn tập trung cho thông tin khách hàng có cấu trúc). Đây chính là cách tiếp cận hình chữ T đang được áp dụng vào thực tế</w:t>
      </w:r>
      <w:r>
        <w:rPr>
          <w:b/>
          <w:i w:val="0"/>
        </w:rPr>
        <w:t>.</w:t>
      </w:r>
    </w:p>
    <w:p>
      <w:pPr>
        <w:spacing w:after="80"/>
      </w:pPr>
      <w:r>
        <w:rPr>
          <w:b w:val="0"/>
          <w:i w:val="0"/>
        </w:rPr>
        <w:t>Khi xây dựng từng sản phẩm dữ liệu, nhóm chỉ tập trung vào các hệ thống nguồn cần thiết để cung cấp dữ liệu cần thiết cho sản phẩm đó (bỏ qua nhiều hệ thống khác trong toàn doanh nghiệp không liên quan). Bằng cách này, ngân hàng đã tránh được một khối lượng công việc lớn hơn nhiều.</w:t>
      </w:r>
    </w:p>
    <w:p>
      <w:pPr>
        <w:spacing w:after="80"/>
      </w:pPr>
      <w:r>
        <w:rPr>
          <w:b w:val="0"/>
          <w:i w:val="0"/>
        </w:rPr>
        <w:t>Đồng thời, thay vì chỉ kéo các bảng dữ liệu từ tập hợp hệ thống nguồn được nhắm mục tiêu cần thiết cho tình huống sử dụng cụ thể, họ đã đưa vào tất cả các bảng liên quan trong những hệ thống đó. Bằng cách này, DBS đã tạo ra một nền tảng toàn diện hơn để sản phẩm dữ liệu có thể dễ dàng được làm phong phú nhằm đáp ứng các tình huống sử dụng trong tương lai. Để hình dung về quy mô, sản phẩm dữ liệu customer 360 cuối cùng có khoảng 16.000 thuộc tính dữ liệu.</w:t>
      </w:r>
    </w:p>
    <w:p>
      <w:pPr>
        <w:pStyle w:val="Heading2"/>
      </w:pPr>
      <w:r>
        <w:rPr>
          <w:rFonts w:ascii="Calibri" w:hAnsi="Calibri"/>
          <w:b/>
          <w:i w:val="0"/>
          <w:sz w:val="32"/>
        </w:rPr>
        <w:t>Tăng tốc thời gian tạo ra giá trị với một nền tảng AI</w:t>
      </w:r>
    </w:p>
    <w:p>
      <w:pPr>
        <w:spacing w:after="80"/>
      </w:pPr>
      <w:r>
        <w:rPr>
          <w:b w:val="0"/>
          <w:i w:val="0"/>
        </w:rPr>
        <w:t>Với năng lực dữ liệu cốt lõi đã có sẵn, các nhóm của DBS có thể xây dựng nhiều mô hình AI hơn tạo ra giá trị thực sự cho doanh nghiệp. Nhưng quá trình phát triển mô hình lại gặp phải nhiều vấn đề tương tự như những vấn đề đã cản trở chương trình dữ liệu trước đó: ít tái sử dụng, quy mô hạn chế và quy trình phát triển chậm chạp.</w:t>
      </w:r>
    </w:p>
    <w:p>
      <w:pPr>
        <w:spacing w:after="80"/>
      </w:pPr>
      <w:r>
        <w:rPr>
          <w:b w:val="0"/>
          <w:i w:val="0"/>
        </w:rPr>
        <w:t>Kết quả tính toán thật đáng nản: Ngay cả với ADA, mỗi lĩnh vực vẫn mất hơn một năm (đôi khi lâu hơn) để tạo ra giá trị, và DBS đã nhắm mục tiêu 20–30 lĩnh vực. Đạt được giá trị là chưa đủ; DBS cần giảm mạnh thời gian để có được giá trị đó.</w:t>
      </w:r>
    </w:p>
    <w:p>
      <w:pPr>
        <w:spacing w:after="80"/>
      </w:pPr>
      <w:r>
        <w:rPr>
          <w:b/>
          <w:i/>
        </w:rPr>
        <w:t>Nhận thấy rằng việc tăng tốc đó chủ yếu là vấn đề về quy trình và là nguồn cảm hứng cho giai đoạn tiếp theo của quá trình chuyển đổi AI: tăng tốc thời gian tạo ra giá trị bằng cách công nghiệp hóa tự động hóa và tái sử dụng trong quá trình phát triển và triển khai giải pháp AI</w:t>
      </w:r>
      <w:r>
        <w:rPr>
          <w:b/>
          <w:i w:val="0"/>
        </w:rPr>
        <w:t>.</w:t>
      </w:r>
    </w:p>
    <w:p>
      <w:pPr>
        <w:spacing w:after="80"/>
      </w:pPr>
      <w:r>
        <w:rPr>
          <w:b w:val="0"/>
          <w:i w:val="0"/>
        </w:rPr>
        <w:t>Quan điểm này đã dẫn đến sự phát triển của ALAN, được đặt tên theo Alan Turing, một trong những người sáng lập đầu tiên của AI. ALAN là một nền tảng AI về cơ bản hoạt động như một thư viện mạnh mẽ và bao gồm hai phần chính: a) một kho tri thức nơi tất cả các dự án AI và học máy—bao gồm các đặc trưng, kỹ thuật và mã được sử dụng—đều được ghi lại và có thể tìm kiếm; và b) các tài sản có thể tái sử dụng, chẳng hạn như các thành phần mã và giải pháp được xây dựng sẵn có thể được truy cập và tái sử dụng across các tình huống sử dụng.</w:t>
      </w:r>
    </w:p>
    <w:p>
      <w:pPr>
        <w:spacing w:after="80"/>
      </w:pPr>
      <w:r>
        <w:rPr>
          <w:b w:val="0"/>
          <w:i w:val="0"/>
        </w:rPr>
        <w:t>Với việc các nhóm có thể truy cập ALAN để phát triển mô hình AI một cách nhanh chóng, DBS tập trung vào mảnh ghép cuối cùng của câu đố quy trình: triển khai. Một lĩnh vực được chú ý đặc biệt là rủi ro. DBS đảm bảo rằng các chuyên gia rủi ro làm việc với các nhà phát triển nền tảng AI ngay từ đầu để xác định các vấn đề rủi ro, phát triển các tiêu chuẩn và xác thực các giải pháp. Sau khi các nhóm đã thiết lập các giao thức này, nhóm đã nhúng các giao thức rủi ro và tuân thủ vào quy trình phát triển mô hình AI.</w:t>
      </w:r>
    </w:p>
    <w:p>
      <w:pPr>
        <w:spacing w:after="80"/>
      </w:pPr>
      <w:r>
        <w:rPr>
          <w:b w:val="0"/>
          <w:i w:val="0"/>
        </w:rPr>
        <w:t>Nhờ những thực hành này, khi mã đến từng cổng giai đoạn trên hành trình phát triển và triển khai, các kiểm tra rủi ro tự động diễn ra hoặc các tính năng rủi ro tự động được thêm vào mã.</w:t>
      </w:r>
    </w:p>
    <w:p>
      <w:pPr>
        <w:spacing w:after="80"/>
      </w:pPr>
      <w:r>
        <w:rPr>
          <w:b w:val="0"/>
          <w:i w:val="0"/>
        </w:rPr>
        <w:t>Việc tự động hóa này đã tạo nên bước ngoặt lớn vì các nhà phát triển có thể xây dựng mô hình AI và tạo ra giá trị dễ dàng và nhanh chóng hơn nhiều. Ví dụ, một nhóm đã phát triển hơn 200 mô hình AI/ML tận dụng khoảng 16.000 yếu tố dữ liệu để phát triển một giải pháp xác định các thông tin liên lạc và cuộc trò chuyện tốt nhất tiếp theo cho khách hàng mục tiêu. Giải pháp này đã tạo ra gần 124 triệu đô la Singapore (95,5 triệu đô la Mỹ) vào năm 2022.</w:t>
      </w:r>
    </w:p>
    <w:p>
      <w:pPr>
        <w:pStyle w:val="Heading2"/>
      </w:pPr>
      <w:r>
        <w:rPr>
          <w:rFonts w:ascii="Calibri" w:hAnsi="Calibri"/>
          <w:b/>
          <w:i w:val="0"/>
          <w:sz w:val="32"/>
        </w:rPr>
        <w:t>Cách tiếp cận rộng rãi để xây dựng kỹ năng AI</w:t>
      </w:r>
    </w:p>
    <w:p>
      <w:pPr>
        <w:spacing w:after="80"/>
      </w:pPr>
      <w:r>
        <w:rPr>
          <w:b w:val="0"/>
          <w:i w:val="0"/>
        </w:rPr>
        <w:t>Để đảm bảo DBS có con người và kỹ năng không chỉ để xây dựng những năng lực dữ liệu và AI này mà còn sử dụng chúng hiệu quả, DBS đã xem xét kỹ hơn mô hình nhân sự của công ty. Tổ chức vẫn duy trì cam kết có 90% nhân tài nội bộ, nhưng đặc biệt nhấn mạnh vào cách tổ chức và nâng cao kỹ năng cho nhân viên tốt hơn để họ có thể phát triển tốt hơn trong môi trường thấm đẫm AI mới của mình.</w:t>
      </w:r>
    </w:p>
    <w:p>
      <w:pPr>
        <w:spacing w:after="80"/>
      </w:pPr>
      <w:r>
        <w:rPr>
          <w:b w:val="0"/>
          <w:i w:val="0"/>
        </w:rPr>
        <w:t>Một quyết định lớn theo hướng này là chuyển từ một tập hợp các nhóm phân tích hoàn toàn liên kết phân tán sang cấu trúc "chương dữ liệu và AI" (bao gồm cả các chuyên gia AI). Chương dữ liệu hoạt động như một cộng đồng cho nhân tài dữ liệu và AI trong toàn tổ chức để tạo điều kiện cho họ học hỏi lẫn nhau và chia sẻ các thực hành tốt nhất.</w:t>
      </w:r>
    </w:p>
    <w:p>
      <w:pPr>
        <w:spacing w:after="80"/>
      </w:pPr>
      <w:r>
        <w:rPr>
          <w:b w:val="0"/>
          <w:i w:val="0"/>
        </w:rPr>
        <w:t>Các trưởng chương chịu trách nhiệm xây dựng kỹ năng của mọi người và tìm cơ hội để họ phát triển (bao gồm các vai trò mới ở các bộ phận khác nhau của ngân hàng để họ có thể hiểu thêm về hoạt động kinh doanh). Sự tập trung này một phần là kết quả của việc học hỏi rõ ràng về những gì nhân tài công nghệ coi trọng khi DBS đánh giá chuẩn mực không phải so với các ngân hàng khác mà so với các công ty công nghệ hàng đầu. Những thực hành này cuối cùng đã dẫn đến việc giữ chân nhân tài mạnh mẽ hơn trong toàn tổ chức. Đến năm 2023, DBS có 700 nhà phân tích dữ liệu và dữ liệu lớn, chuyên gia chuyển dịch dữ liệu và nhà khoa học dữ liệu nội bộ.</w:t>
      </w:r>
    </w:p>
    <w:p>
      <w:pPr>
        <w:spacing w:after="80"/>
      </w:pPr>
      <w:r>
        <w:rPr>
          <w:b w:val="0"/>
          <w:i w:val="0"/>
        </w:rPr>
        <w:t>DBS ý thức được rằng việc xây dựng năng lực công nghệ và dữ liệu phải vượt ra ngoài bản thân nhân tài công nghệ, nên ngân hàng đã chủ động khuyến khích mọi người trong tổ chức rèn luyện “cơ bắp công nghệ” của mình.</w:t>
      </w:r>
    </w:p>
    <w:p>
      <w:pPr>
        <w:spacing w:after="80"/>
      </w:pPr>
      <w:r>
        <w:rPr>
          <w:b/>
          <w:i/>
        </w:rPr>
        <w:t>Ở mức độ chính thức, ngân hàng đã thiết lập một loạt cơ hội học tập đa dạng, bao gồm chương trình “Data Heroes”, nơi nhân viên trên khắp các mảng kinh doanh có thể học cách đặt đúng câu hỏi khi giải quyết các vấn đề về dữ liệu cũng như thu thập, phân tích và hành động dựa trên dữ liệu</w:t>
      </w:r>
      <w:r>
        <w:rPr>
          <w:b/>
          <w:i w:val="0"/>
        </w:rPr>
        <w:t>.</w:t>
      </w:r>
    </w:p>
    <w:p>
      <w:pPr>
        <w:spacing w:after="80"/>
      </w:pPr>
      <w:r>
        <w:rPr>
          <w:b w:val="0"/>
          <w:i w:val="0"/>
        </w:rPr>
        <w:t>Nỗ lực Data Heroes này bao phủ rất nhiều quản lý cấp trung, chủ sở hữu kênh, quản lý sản phẩm, chủ sở hữu phân khúc, quản lý rủi ro, chủ sở hữu kỹ thuật số và những người khác, những người được yêu cầu bắt buộc phải trải qua khóa đào tạo này và nâng cao kỹ năng của bản thân.</w:t>
      </w:r>
    </w:p>
    <w:p>
      <w:pPr>
        <w:spacing w:after="80"/>
      </w:pPr>
      <w:r>
        <w:rPr>
          <w:b w:val="0"/>
          <w:i w:val="0"/>
        </w:rPr>
        <w:t>DBS bổ sung cho nỗ lực xây dựng kỹ năng này bằng nhiều hoạt động thực tiễn phi chính thức hơn. Ví dụ, các đội của DBS tham gia sáng kiến AWS DeepRacer để thi đấu với nhau và với các đội khác trong việc lập trình một chiếc xe tự lái. Mục tiêu là truyền cảm hứng để mọi người học về lập trình và AI.</w:t>
      </w:r>
    </w:p>
    <w:p>
      <w:pPr>
        <w:pStyle w:val="Heading2"/>
      </w:pPr>
      <w:r>
        <w:rPr>
          <w:rFonts w:ascii="Calibri" w:hAnsi="Calibri"/>
          <w:b/>
          <w:i w:val="0"/>
          <w:sz w:val="32"/>
        </w:rPr>
        <w:t>Đưa AI vào hành trình của khách hàng và người dùng</w:t>
      </w:r>
    </w:p>
    <w:p>
      <w:pPr>
        <w:spacing w:after="80"/>
      </w:pPr>
      <w:r>
        <w:rPr>
          <w:b w:val="0"/>
          <w:i w:val="0"/>
        </w:rPr>
        <w:t>Trong khi việc công nghiệp hóa giúp giảm thời gian tạo ra giá trị, thì việc đưa AI vào tổ chức lại đòi hỏi phải thay đổi mô hình vận hành trên toàn tổ chức. DBS đã có nền tảng với mô hình vận hành nền tảng mà họ đã thiết lập trước đó, khi doanh nghiệp tổ chức hơn 30 nền tảng. Nhưng doanh nghiệp vẫn có xu hướng vận hành theo chiều dọc trong các nền tảng này (ví dụ: nhóm sản phẩm, nhóm thẻ tín dụng, nhóm ngân hàng tiêu dùng). Tuy nhiên, khách hàng thì không như vậy. Ví dụ, khi họ muốn một khoản vay thế chấp hay thẻ tín dụng, họ không quan tâm đến các cấu trúc tổ chức miễn là họ có được thứ mình muốn.</w:t>
      </w:r>
    </w:p>
    <w:p>
      <w:pPr>
        <w:spacing w:after="80"/>
      </w:pPr>
      <w:r>
        <w:rPr>
          <w:b w:val="0"/>
          <w:i w:val="0"/>
        </w:rPr>
        <w:t>Để hướng đến khách hàng hơn và phản hồi nhanh hơn, DBS đã tự tổ chức lại theo cách làm việc theo chiều ngang vào năm 2022, mà công ty gọi là “Managing through Journeys” (MtJs) – Quản lý qua các hành trình.</w:t>
      </w:r>
    </w:p>
    <w:p>
      <w:pPr>
        <w:spacing w:after="80"/>
      </w:pPr>
      <w:r>
        <w:rPr>
          <w:b w:val="0"/>
          <w:i w:val="0"/>
        </w:rPr>
        <w:t>Mỗi đơn vị MtJ hoạt động như một ô hiệu suất duy nhất và bao gồm một tập hợp các đội liên chức năng cùng làm việc trên các trường hợp sử dụng liên quan cho hành trình cụ thể đó. Bằng cách tích hợp các đội thành những hành trình đầu-cuối, DBS có thể giảm bớt việc chuyển giao giữa các đội và các chức năng, đồng thời giải quyết các phụ thuộc về quy trình để có thể đạt tốc độ làm việc nhanh hơn.</w:t>
      </w:r>
    </w:p>
    <w:p>
      <w:pPr>
        <w:spacing w:after="80"/>
      </w:pPr>
      <w:r>
        <w:rPr>
          <w:b w:val="0"/>
          <w:i w:val="0"/>
        </w:rPr>
        <w:t>Điều then chốt để đảm bảo mỗi MtJ vận hành hiệu quả là cung cấp cho họ một bộ công cụ và thành phần chung, được chuẩn hóa và có thể dễ dàng tái sử dụng. Các đội MtJ sử dụng cùng những tháp điều khiển dựa trên dữ liệu – về cơ bản là các bảng điều khiển trực tiếp – để theo dõi ngân sách, KPI và tiến độ của mình, đồng thời chia sẻ mục tiêu chung là mang lại kết quả về khách hàng, tài chính, nhân viên cũng như rủi ro và kiểm soát.</w:t>
      </w:r>
    </w:p>
    <w:p>
      <w:pPr>
        <w:spacing w:after="80"/>
      </w:pPr>
      <w:r>
        <w:rPr>
          <w:b w:val="0"/>
          <w:i w:val="0"/>
        </w:rPr>
        <w:t>Các đội phát triển MtJ sử dụng “workbenches” – về cơ bản là các công cụ và ứng dụng – cùng một quy trình công việc được xây dựng quanh các tài sản có thể tái sử dụng. Những tài sản đó bao gồm widget (các chương trình nhỏ có thể dùng cùng các widget khác để tạo thành một ứng dụng lớn hơn), các thành phần tái sử dụng và API, tất cả đều được đặt ở một vị trí trung tâm mà lập trình viên có thể dễ dàng truy cập.</w:t>
      </w:r>
    </w:p>
    <w:p>
      <w:pPr>
        <w:spacing w:after="80"/>
      </w:pPr>
      <w:r>
        <w:rPr>
          <w:b w:val="0"/>
          <w:i w:val="0"/>
        </w:rPr>
        <w:t>Dẫn dắt mỗi MtJ là các trưởng ô hiệu suất và trưởng nhóm – về cơ bản là các chủ sở hữu lĩnh vực, những người chịu trách nhiệm hoàn toàn về kết quả trên toàn bộ hành trình. Những chủ sở hữu lĩnh vực này là những nhà lãnh đạo liên chức năng mạnh mẽ với kiến thức lĩnh vực sâu rộng, đồng thời có đủ kiến thức và kinh nghiệm để làm việc với các chuyên gia về sản phẩm, công nghệ, dữ liệu, thiết kế và vận hành nhằm thúc đẩy cải thiện kết quả.</w:t>
      </w:r>
    </w:p>
    <w:p>
      <w:pPr>
        <w:spacing w:after="80"/>
      </w:pPr>
      <w:r>
        <w:rPr>
          <w:b w:val="0"/>
          <w:i w:val="0"/>
        </w:rPr>
        <w:t>Để thấm nhuần tư duy lấy dữ liệu làm trung tâm vào tổ chức, ban lãnh đạo đã yêu cầu rằng tất cả các buổi thuyết trình và đánh giá nội bộ, càng nhiều càng tốt, phải được điều hành bằng các tháp điều khiển. Nhiều phòng họp và trung tâm vận hành của DBS hiện có màn hình lớn hiển thị dữ liệu trực tiếp, nhấn mạnh rằng dữ liệu là một công cụ chủ động để sử dụng mọi lúc, chứ không chỉ là một cách để tạo báo cáo.</w:t>
      </w:r>
    </w:p>
    <w:p>
      <w:pPr>
        <w:spacing w:after="80"/>
      </w:pPr>
      <w:r>
        <w:rPr>
          <w:b w:val="0"/>
          <w:i w:val="0"/>
        </w:rPr>
        <w:t>Nền tảng dữ liệu và công nghệ ADA cùng ALAN, được hỗ trợ bởi mô hình vận hành MtJ và các thực tiễn nhân tài mạnh mẽ, đã chứng minh là một sự kết hợp thắng lợi. Với thời gian cần để phát triển và triển khai các mô hình AI giảm từ 12–15 tháng xuống còn hai đến ba tháng, DBS đã có thể tăng tốc đáng kể thời gian tạo ra giá trị của mình.</w:t>
      </w:r>
    </w:p>
    <w:p>
      <w:pPr>
        <w:spacing w:after="80"/>
      </w:pPr>
      <w:r>
        <w:rPr>
          <w:b/>
          <w:i/>
        </w:rPr>
        <w:t>Vào năm 2023, các nhà khoa học dữ liệu đã có hơn 300 mô hình AI trong môi trường vận hành, tạo ra gần 454 triệu đô la Singapore (350 triệu đô la Mỹ). Đến năm 2025, DBS ước tính đã đạt hơn 1 tỷ đô la Singapore (gần 772 triệu đô la Mỹ) giá trị được tạo ra từ AI</w:t>
      </w:r>
      <w:r>
        <w:rPr>
          <w:b/>
          <w:i w:val="0"/>
        </w:rPr>
        <w:t>.</w:t>
      </w:r>
    </w:p>
    <w:p>
      <w:pPr>
        <w:spacing w:after="80"/>
      </w:pPr>
      <w:r>
        <w:rPr>
          <w:b w:val="0"/>
          <w:i w:val="0"/>
        </w:rPr>
        <w:t>Điều quan trọng là tiến bộ nhanh chóng này được củng cố bởi những rào chắn vững chắc cho việc sử dụng dữ liệu có trách nhiệm, được định hướng bởi khung PURE của DBS: có mục đích, không gây bất ngờ, tôn trọng và có thể giải thích. Những nguyên tắc này đảm bảo rằng việc sử dụng dữ liệu là chính đáng, được khách hàng mong đợi, có trách nhiệm với xã hội và minh bạch, đồng thời đưa niềm tin và trách nhiệm giải trình vào cốt lõi của quá trình chuyển đổi do AI dẫn dắt của DBS.</w:t>
      </w:r>
    </w:p>
    <w:p>
      <w:pPr>
        <w:pStyle w:val="Heading2"/>
      </w:pPr>
      <w:r>
        <w:rPr>
          <w:rFonts w:ascii="Calibri" w:hAnsi="Calibri"/>
          <w:b/>
          <w:i w:val="0"/>
          <w:sz w:val="32"/>
        </w:rPr>
        <w:t>Bước vào GenAI nhờ nền tảng vững chắc</w:t>
      </w:r>
    </w:p>
    <w:p>
      <w:pPr>
        <w:spacing w:after="80"/>
      </w:pPr>
      <w:r>
        <w:rPr>
          <w:b w:val="0"/>
          <w:i w:val="0"/>
        </w:rPr>
        <w:t>Khoản đầu tư vào công nghiệp hóa AI đã đưa DBS vào vị thế vững mạnh khi GenAI bùng nổ trong nhận thức cộng đồng. Lặp lại cách tiếp cận với dữ liệu và AI, DBS đã tổ chức các buổi hội thảo với đội ngũ lãnh đạo vào năm 2023 để tìm ra cách ngân hàng sẽ phát triển cùng GenAI. Ngân hàng đã ưu tiên các quy trình công việc xoay quanh trung tâm cuộc gọi, vận hành, quản lý quan hệ khách hàng, và các quy trình phát triển hệ thống nội bộ như viết mã và kiểm thử người dùng.</w:t>
      </w:r>
    </w:p>
    <w:p>
      <w:pPr>
        <w:spacing w:after="80"/>
      </w:pPr>
      <w:r>
        <w:rPr>
          <w:b w:val="0"/>
          <w:i w:val="0"/>
        </w:rPr>
        <w:t>Trọng tâm ban đầu là đạt được lợi ích hiệu quả từ GenAI. Vì vậy, DBS đã phát triển DBS-GPT, một trợ lý AI nội bộ an toàn được thiết kế để giúp nhân viên giảm bớt công việc nặng nhọc quanh các tác vụ như viết, tóm tắt, dịch, và nghiên cứu, được nâng cao nhờ tích hợp kiến thức của DBS.</w:t>
      </w:r>
    </w:p>
    <w:p>
      <w:pPr>
        <w:spacing w:after="80"/>
      </w:pPr>
      <w:r>
        <w:rPr>
          <w:b w:val="0"/>
          <w:i w:val="0"/>
        </w:rPr>
        <w:t>Ngân hàng cũng ra mắt Trợ lý CSO (nhân viên dịch vụ khách hàng), giúp các nhân viên ghi lại truy vấn của khách hàng, thực hiện tìm kiếm "trực tiếp" để truy xuất thông tin cụ thể theo truy vấn, và hỗ trợ tài liệu hóa sau cuộc gọi bằng cách cung cấp tóm tắt cuộc gọi tức thì và điền trước các trường yêu cầu dịch vụ.</w:t>
      </w:r>
    </w:p>
    <w:p>
      <w:pPr>
        <w:spacing w:after="80"/>
      </w:pPr>
      <w:r>
        <w:rPr>
          <w:b w:val="0"/>
          <w:i w:val="0"/>
        </w:rPr>
        <w:t>Những cải thiện năng suất thu được đã giải phóng năng lực, khiến DBS quyết định đào tạo lại một số nhân viên dịch vụ khách hàng để trở thành quản lý quan hệ khách hàng cho các khách hàng doanh nghiệp vừa và nhỏ, chuyển họ sang các vai trò tạo doanh thu.</w:t>
      </w:r>
    </w:p>
    <w:p>
      <w:pPr>
        <w:spacing w:after="80"/>
      </w:pPr>
      <w:r>
        <w:rPr>
          <w:b w:val="0"/>
          <w:i w:val="0"/>
        </w:rPr>
        <w:t>Những cựu nhân viên dịch vụ khách hàng này mang theo kiến thức sẵn có về ngân hàng và kinh nghiệm tương tác với khách hàng vào vai trò mới của họ. Các công cụ GenAI có thể bổ trợ kinh nghiệm của họ bằng cách cung cấp một loạt hỗ trợ, chẳng hạn như đề xuất kịch bản trò chuyện tốt nhất tiếp theo và cung cấp bản tổng hợp các tương tác trước đó với khách hàng.</w:t>
      </w:r>
    </w:p>
    <w:p>
      <w:pPr>
        <w:spacing w:after="80"/>
      </w:pPr>
      <w:r>
        <w:rPr>
          <w:b/>
          <w:i/>
        </w:rPr>
        <w:t>Một yếu tố nền tảng then chốt cho sự phát triển nhanh chóng của các giải pháp GenAI trên toàn ngân hàng là kiến trúc mô-đun và việc đưa vào nhiều mô hình GenAI mà các đội ngũ có thể dễ dàng truy cập để tạo nguyên mẫu nhanh và thử nghiệm</w:t>
      </w:r>
      <w:r>
        <w:rPr>
          <w:b/>
          <w:i w:val="0"/>
        </w:rPr>
        <w:t>.</w:t>
      </w:r>
    </w:p>
    <w:p>
      <w:pPr>
        <w:spacing w:after="80"/>
      </w:pPr>
      <w:r>
        <w:rPr>
          <w:b w:val="0"/>
          <w:i w:val="0"/>
        </w:rPr>
        <w:t>Những lợi ích quy trình này giúp DBS nhận ra rằng việc nắm bắt lợi ích của GenAI không chỉ là triển khai các trường hợp sử dụng, mà còn là thay đổi mô hình vận hành.</w:t>
      </w:r>
    </w:p>
    <w:p>
      <w:pPr>
        <w:spacing w:after="80"/>
      </w:pPr>
      <w:r>
        <w:rPr>
          <w:b w:val="0"/>
          <w:i w:val="0"/>
        </w:rPr>
        <w:t>Ngay cả khi DBS lao mình vào thế giới AI tạo sinh và AI tác tử đang chuyển động nhanh, ngân hàng vẫn duy trì tư duy "công nghiệp hóa AI" đã thúc đẩy thành công của mình. Kỷ luật đó xoay quanh sứ mệnh trở thành ngân hàng tốt nhất thế giới bằng cách xây dựng những năng lực không chỉ nắm bắt giá trị, mà còn làm điều đó nhanh hơn các đối thủ.</w:t>
      </w:r>
    </w:p>
    <w:p>
      <w:pPr>
        <w:spacing w:after="80"/>
      </w:pPr>
      <w:r>
        <w:rPr>
          <w:b w:val="0"/>
          <w:i/>
        </w:rPr>
        <w:t>Các tác giả xin cảm ơn Tan Su Shan, Tổng Giám đốc Tập đoàn DBS, ban lãnh đạo, và các đội ngũ dữ liệu, AI, và công nghệ vì sự lãnh đạo của họ trong quá trình chuyển đổi này, cũng như sự hỗ trợ và hướng dẫn của họ với ví dụ tình huống này. Tình huống này được phát triển cho</w:t>
      </w:r>
      <w:r>
        <w:rPr>
          <w:b w:val="0"/>
          <w:i w:val="0"/>
        </w:rPr>
        <w:t xml:space="preserve"> Rewired </w:t>
      </w:r>
      <w:r>
        <w:rPr>
          <w:b w:val="0"/>
          <w:i/>
        </w:rPr>
        <w:t>với sự hợp tác của các nhà lãnh đạo McKinsey là Vinayak HV, Sudhakar Kakulavarapu, Joydeep Sengupta, và Archana Seshadrinathan</w:t>
      </w:r>
      <w:r>
        <w:rPr>
          <w:b w:val="0"/>
          <w:i w:val="0"/>
        </w:rPr>
        <w:t>.</w:t>
      </w:r>
    </w:p>
    <w:p>
      <w:pPr>
        <w:pStyle w:val="Heading2"/>
      </w:pPr>
      <w:r>
        <w:rPr>
          <w:rFonts w:ascii="Calibri" w:hAnsi="Calibri"/>
          <w:b/>
          <w:i w:val="0"/>
          <w:sz w:val="32"/>
        </w:rPr>
        <w:t>Ghi chú</w:t>
      </w:r>
    </w:p>
    <w:p>
      <w:pPr>
        <w:spacing w:after="80"/>
        <w:ind w:left="360"/>
      </w:pPr>
      <w:r>
        <w:t xml:space="preserve">1. </w:t>
      </w:r>
      <w:r>
        <w:rPr>
          <w:b w:val="0"/>
          <w:i w:val="0"/>
        </w:rPr>
        <w:t>1   Về mặt kỹ thuật, đây được gọi là "chương dữ liệu" nhưng vì nó cũng bao gồm cả nhân sự AI, chúng tôi đã mở rộng thuật ngữ cho rõ ràng hơn.</w:t>
      </w:r>
    </w:p>
    <w:p>
      <w:pPr>
        <w:spacing w:after="80"/>
        <w:ind w:left="360"/>
      </w:pPr>
      <w:r>
        <w:t xml:space="preserve">2. </w:t>
      </w:r>
      <w:r>
        <w:rPr>
          <w:b w:val="0"/>
          <w:i w:val="0"/>
        </w:rPr>
        <w:t>2   Feng Zhu, Harold Zhu, và Adina Wong, "Hành trình AI của DBS," Harvard Business School, ngày 21 tháng 8 năm 2024.</w:t>
      </w:r>
    </w:p>
    <w:p>
      <w:pPr>
        <w:pStyle w:val="Heading1"/>
      </w:pPr>
      <w:r>
        <w:rPr>
          <w:rFonts w:ascii="Calibri" w:hAnsi="Calibri"/>
          <w:b/>
          <w:i w:val="0"/>
          <w:sz w:val="40"/>
        </w:rPr>
        <w:t>LỜI CẢM ƠN</w:t>
      </w:r>
    </w:p>
    <w:p>
      <w:pPr>
        <w:pStyle w:val="Heading2"/>
      </w:pPr>
      <w:r>
        <w:rPr>
          <w:rFonts w:ascii="Calibri" w:hAnsi="Calibri"/>
          <w:b/>
          <w:i w:val="0"/>
          <w:sz w:val="32"/>
        </w:rPr>
        <w:t>Từ chúng tôi</w:t>
      </w:r>
    </w:p>
    <w:p>
      <w:pPr>
        <w:spacing w:after="80"/>
      </w:pPr>
      <w:r>
        <w:rPr>
          <w:b w:val="0"/>
          <w:i/>
        </w:rPr>
        <w:t>Rewired</w:t>
      </w:r>
      <w:r>
        <w:rPr>
          <w:b w:val="0"/>
          <w:i w:val="0"/>
        </w:rPr>
        <w:t>, đối với chúng tôi, là một công trình chan chứa tình yêu. Thật là một đặc ân to lớn khi được ngồi ở hàng ghế đầu chứng kiến một số cuộc chuyển đổi Công nghệ &amp; AI ấn tượng nhất trong những năm qua. Cuốn sách này là câu chuyện của họ. Nó phản ánh sự đổi mới, chăm chỉ, và thực dụng của họ trong việc xây dựng các năng lực doanh nghiệp mới để cạnh tranh vượt trội trong kỷ nguyên Công nghệ &amp; AI.</w:t>
      </w:r>
    </w:p>
    <w:p>
      <w:pPr>
        <w:spacing w:after="80"/>
      </w:pPr>
      <w:r>
        <w:rPr>
          <w:b w:val="0"/>
          <w:i w:val="0"/>
        </w:rPr>
        <w:t xml:space="preserve">Chúng tôi đặc biệt cảm ơn bốn công ty—DBS Bank, Freeport-McMoRan, LATAM Airlines, và Toyota Motor North America—đã chia sẻ hành trình từ đầu đến cuối của họ, qua bao thăng trầm, như nguồn hướng dẫn và cảm hứng cho cuốn sách này. Chúng tôi cũng muốn cảm ơn rất nhiều công ty khác đã lấy </w:t>
      </w:r>
      <w:r>
        <w:rPr>
          <w:b w:val="0"/>
          <w:i/>
        </w:rPr>
        <w:t>Rewired</w:t>
      </w:r>
      <w:r>
        <w:rPr>
          <w:b w:val="0"/>
          <w:i w:val="0"/>
        </w:rPr>
        <w:t xml:space="preserve"> làm cảm hứng cho hành trình của chính họ, trải khắp các ngành, khu vực địa lý, và điểm xuất phát.</w:t>
      </w:r>
    </w:p>
    <w:p>
      <w:pPr>
        <w:spacing w:after="80"/>
      </w:pPr>
      <w:r>
        <w:rPr>
          <w:b w:val="0"/>
          <w:i w:val="0"/>
        </w:rPr>
        <w:t>Việc chia sẻ những trải nghiệm, thành công, cạm bẫy và những nước đi đặc trưng này đã khiến tất cả trở nên xứng đáng, và với chúng tôi trên cương vị tác giả, được góp phần vào đó là một điều vô cùng khiêm nhường, nên xin cảm ơn các bạn.</w:t>
      </w:r>
    </w:p>
    <w:p>
      <w:pPr>
        <w:spacing w:after="80"/>
      </w:pPr>
      <w:r>
        <w:rPr>
          <w:b w:val="0"/>
          <w:i w:val="0"/>
        </w:rPr>
        <w:t>Nội dung mới trong ấn bản thứ hai này sẽ không thể ra đời nếu không có sự hỗ trợ, hướng dẫn và những hiểu biết sâu sắc từ các đồng nghiệp và hơn 200 đội ngũ phục vụ khách hàng của chúng tôi. Trong đó có một nhóm tuyệt vời gồm hàng nghìn chuyên gia công nghệ tiên phong; những chuyên gia đẳng cấp thế giới về phát triển phần mềm, AI và kỹ thuật AI tác tử (agentic AI), cloud, agile, quản lý sản phẩm, thiết kế trải nghiệm người dùng và các chuyên môn khác; cùng những nhà lãnh đạo chuyển đổi kinh doanh dày dạn kinh nghiệm.</w:t>
      </w:r>
    </w:p>
    <w:p>
      <w:pPr>
        <w:spacing w:after="80"/>
      </w:pPr>
      <w:r>
        <w:rPr>
          <w:b w:val="0"/>
          <w:i w:val="0"/>
        </w:rPr>
        <w:t>Chúng tôi đã dựa vào tất cả công sức của họ để đúc kết các bài học qua hàng nghìn giờ trong hơn tám năm, và mang lại những hiểu biết sâu sắc về điều gì đang hiệu quả, đang tạo được tiếng vang, và đang chinh phục được trái tim lẫn khối óc. Cùng nhau, họ đã thách thức và mở rộng tư duy được phản ánh trong ấn bản mới này. Chúng tôi mang ơn rất nhiều người này và xin cảm ơn họ vì sự đồng hành.</w:t>
      </w:r>
    </w:p>
    <w:p>
      <w:pPr>
        <w:spacing w:after="80"/>
      </w:pPr>
      <w:r>
        <w:rPr>
          <w:b w:val="0"/>
          <w:i w:val="0"/>
        </w:rPr>
        <w:t>Xin gửi lời cảm ơn đặc biệt đến đồng nghiệp của chúng tôi, Barr Seitz, người đã đóng vai trò quan trọng trong việc biên tập cuốn sách này, mài giũa tư duy của chúng tôi và mang đến góc nhìn của độc giả xuyên suốt quá trình này. Cuốn sách này sẽ không thể ra đời nếu không có anh. Và xin cảm ơn Richard Narramore, Bill Falloon cùng đội ngũ tại nhà xuất bản Wiley, những người đã nhìn thấy đủ giá trị trong những suy nghĩ của chúng tôi để không chỉ biến những trăn trở ấy thành một cuốn sách, mà còn cho chúng tôi cơ hội cập nhật chúng hai năm sau đó.</w:t>
      </w:r>
    </w:p>
    <w:p>
      <w:pPr>
        <w:pStyle w:val="Heading2"/>
      </w:pPr>
      <w:r>
        <w:rPr>
          <w:rFonts w:ascii="Calibri" w:hAnsi="Calibri"/>
          <w:b/>
          <w:i w:val="0"/>
          <w:sz w:val="32"/>
        </w:rPr>
        <w:t>Từ Eric</w:t>
      </w:r>
    </w:p>
    <w:p>
      <w:pPr>
        <w:spacing w:after="80"/>
      </w:pPr>
      <w:r>
        <w:rPr>
          <w:b w:val="0"/>
          <w:i w:val="0"/>
        </w:rPr>
        <w:t>Gửi vợ tôi, Marie-Lyse—một trong những người tinh tường và tò mò nhất mà tôi từng biết. Em đã giúp tôi neo mình lại bằng những câu hỏi sắc bén về tác động thực sự của AI trong đời sống hằng ngày. Gửi các con gái tôi, Anne-Marie và Claire: được làm bố của các con là thành tựu lớn nhất và niềm vui lớn nhất của đời tôi. Để tưởng nhớ cha tôi, François, giá như tôi có thể thảo luận cuốn sách này với ông.</w:t>
      </w:r>
    </w:p>
    <w:p>
      <w:pPr>
        <w:pStyle w:val="Heading2"/>
      </w:pPr>
      <w:r>
        <w:rPr>
          <w:rFonts w:ascii="Calibri" w:hAnsi="Calibri"/>
          <w:b/>
          <w:i w:val="0"/>
          <w:sz w:val="32"/>
        </w:rPr>
        <w:t>Từ Kate</w:t>
      </w:r>
    </w:p>
    <w:p>
      <w:pPr>
        <w:spacing w:after="80"/>
      </w:pPr>
      <w:r>
        <w:rPr>
          <w:b w:val="0"/>
          <w:i w:val="0"/>
        </w:rPr>
        <w:t>Gửi nửa kia tuyệt vời của tôi, Ben (lần này tôi hứa sẽ tặng anh một bản), và gửi hai cậu con trai tuyệt vời của tôi, Harry và Zac. Tất cả các bạn khiến tôi cười mỗi ngày; các bạn không ngừng nuôi dưỡng tinh thần tò mò và con người geek (không chỉ bên trong) của tôi; và các bạn giúp tôi vừa giữ đầu trên mây vừa giữ chân trên mặt đất. Tôi trân trọng các bạn. Và gửi những khách hàng cùng các đội ngũ đang sát cánh cùng tôi trên đấu trường: cảm ơn vì sự tin tưởng, sự táo bạo, sự sáng tạo và niềm vui trên chặng đường.</w:t>
      </w:r>
    </w:p>
    <w:p>
      <w:pPr>
        <w:pStyle w:val="Heading2"/>
      </w:pPr>
      <w:r>
        <w:rPr>
          <w:rFonts w:ascii="Calibri" w:hAnsi="Calibri"/>
          <w:b/>
          <w:i w:val="0"/>
          <w:sz w:val="32"/>
        </w:rPr>
        <w:t>Từ Rob</w:t>
      </w:r>
    </w:p>
    <w:p>
      <w:pPr>
        <w:spacing w:after="80"/>
      </w:pPr>
      <w:r>
        <w:rPr>
          <w:b w:val="0"/>
          <w:i w:val="0"/>
        </w:rPr>
        <w:t>Gửi vợ tôi, Cait, người mỗi ngày lại tái định hình tôi bằng tinh thần hào phóng vô tận của em. Gửi các con tôi, Elliot, Winslow và Caleb, những người truyền cảm hứng cho tôi bằng tài năng, sự tò mò về thế giới và sự sẵn lòng tham gia thảo luận mọi điều khiến tôi hứng thú, kể cả AI. Và gửi cha mẹ tôi, Richard và Louise, một luật sư và một nhà xuất bản, những người đã nuôi dạy tôi biết lý luận và tranh biện.</w:t>
      </w:r>
    </w:p>
    <w:p>
      <w:pPr>
        <w:pStyle w:val="Heading2"/>
      </w:pPr>
      <w:r>
        <w:rPr>
          <w:rFonts w:ascii="Calibri" w:hAnsi="Calibri"/>
          <w:b/>
          <w:i w:val="0"/>
          <w:sz w:val="32"/>
        </w:rPr>
        <w:t>Từ Alex</w:t>
      </w:r>
    </w:p>
    <w:p>
      <w:pPr>
        <w:spacing w:after="80"/>
      </w:pPr>
      <w:r>
        <w:rPr>
          <w:b w:val="0"/>
          <w:i w:val="0"/>
        </w:rPr>
        <w:t>Gửi Parita, Dylan, Kiran và Anaya, cảm ơn các con vì đã kiên nhẫn và cổ vũ bố trong một thế giới mà AI đã và đang thay đổi từng ngày. Các con đã định hình cách bố nhìn thế giới. Và gửi cha mẹ tôi, những người có ảnh hưởng thầm lặng vẫn còn mãi với tôi, tôi muốn nghĩ rằng họ đang mỉm cười trước cách sự ủng hộ của họ vẫn dẫn dắt tôi.</w:t>
      </w:r>
    </w:p>
    <w:p>
      <w:pPr>
        <w:pStyle w:val="Heading2"/>
      </w:pPr>
      <w:r>
        <w:rPr>
          <w:rFonts w:ascii="Calibri" w:hAnsi="Calibri"/>
          <w:b/>
          <w:i w:val="0"/>
          <w:sz w:val="32"/>
        </w:rPr>
        <w:t>Từ Alexander</w:t>
      </w:r>
    </w:p>
    <w:p>
      <w:pPr>
        <w:spacing w:after="80"/>
      </w:pPr>
      <w:r>
        <w:rPr>
          <w:b w:val="0"/>
          <w:i w:val="0"/>
        </w:rPr>
        <w:t>Tái định hình người khác bắt đầu từ việc tái định hình chính mình. Gửi gia đình tôi—Maria, Anna và Dmitrii—vì đã truyền cảm hứng để tôi theo đuổi sự phát triển bản thân không ngừng, mỗi người theo cách riêng đặc biệt của mình. Và gửi cha mẹ tôi, Inesa và Arkady, những người mà tôi đã cùng dựng chiếc máy tính đầu tiên vào năm 1986 và luôn ủng hộ vô điều kiện cho những đam mê của tôi.</w:t>
      </w:r>
    </w:p>
    <w:p>
      <w:pPr>
        <w:pStyle w:val="Heading2"/>
      </w:pPr>
      <w:r>
        <w:rPr>
          <w:rFonts w:ascii="Calibri" w:hAnsi="Calibri"/>
          <w:b/>
          <w:i w:val="0"/>
          <w:sz w:val="32"/>
        </w:rPr>
        <w:t>Các nhà lãnh đạo đóng góp</w:t>
      </w:r>
    </w:p>
    <w:p>
      <w:pPr>
        <w:spacing w:after="80"/>
      </w:pPr>
      <w:r>
        <w:rPr>
          <w:b w:val="0"/>
          <w:i w:val="0"/>
        </w:rPr>
        <w:t>Chúng tôi muốn ghi nhận những nhà lãnh đạo và những người thực hành đã đóng góp chuyên môn và dành thời gian (hẳn là cả mồ hôi và nước mắt nữa) để giúp hoàn thành cuốn sách này.</w:t>
      </w:r>
    </w:p>
    <w:p>
      <w:pPr>
        <w:pStyle w:val="Heading3"/>
      </w:pPr>
      <w:r>
        <w:rPr>
          <w:rFonts w:ascii="Calibri" w:hAnsi="Calibri"/>
          <w:b/>
          <w:i w:val="0"/>
          <w:sz w:val="26"/>
        </w:rPr>
        <w:t>Hướng dẫn và lãnh đạo tổng thể</w:t>
      </w:r>
    </w:p>
    <w:p>
      <w:pPr>
        <w:spacing w:after="80"/>
      </w:pPr>
      <w:r>
        <w:rPr>
          <w:b w:val="0"/>
          <w:i w:val="0"/>
        </w:rPr>
        <w:t>Chúng tôi muốn ghi nhận người đồng nghiệp kiêm đồng tác giả cũ của mình, Rodney Zemmel, vì sự lãnh đạo và nguồn cảm hứng của ông khi chúng tôi bắt đầu viết ấn bản thứ hai này. Chúng tôi cũng cảm ơn Johannes-Tobias Lorenz vì sự hướng dẫn liên tục và những hiểu biết sâu sắc của ông trong việc giúp định hình để cuốn sách này thành hình.</w:t>
      </w:r>
    </w:p>
    <w:p>
      <w:pPr>
        <w:pStyle w:val="Heading3"/>
      </w:pPr>
      <w:r>
        <w:rPr>
          <w:rFonts w:ascii="Calibri" w:hAnsi="Calibri"/>
          <w:b/>
          <w:i w:val="0"/>
          <w:sz w:val="26"/>
        </w:rPr>
        <w:t>Mục Một: Tạo lộ trình chuyển đổi</w:t>
      </w:r>
    </w:p>
    <w:p>
      <w:pPr>
        <w:spacing w:after="80"/>
      </w:pPr>
      <w:r>
        <w:rPr>
          <w:b w:val="0"/>
          <w:i w:val="0"/>
        </w:rPr>
        <w:t>Johannes-Tobias Lorenz</w:t>
      </w:r>
    </w:p>
    <w:p>
      <w:pPr>
        <w:pStyle w:val="Heading3"/>
      </w:pPr>
      <w:r>
        <w:rPr>
          <w:rFonts w:ascii="Calibri" w:hAnsi="Calibri"/>
          <w:b/>
          <w:i w:val="0"/>
          <w:sz w:val="26"/>
        </w:rPr>
        <w:t>Mục Hai: Xây dựng đội ngũ nhân tài của bạn</w:t>
      </w:r>
    </w:p>
    <w:p>
      <w:pPr>
        <w:spacing w:after="80"/>
      </w:pPr>
      <w:r>
        <w:rPr>
          <w:b w:val="0"/>
          <w:i w:val="0"/>
        </w:rPr>
        <w:t>Sanda Durth, Suman Thareja</w:t>
      </w:r>
    </w:p>
    <w:p>
      <w:pPr>
        <w:pStyle w:val="Heading3"/>
      </w:pPr>
      <w:r>
        <w:rPr>
          <w:rFonts w:ascii="Calibri" w:hAnsi="Calibri"/>
          <w:b/>
          <w:i w:val="0"/>
          <w:sz w:val="26"/>
        </w:rPr>
        <w:t>Mục Ba: Mô hình vận hành vượt trội so với đối thủ</w:t>
      </w:r>
    </w:p>
    <w:p>
      <w:pPr>
        <w:spacing w:after="80"/>
      </w:pPr>
      <w:r>
        <w:rPr>
          <w:b w:val="0"/>
          <w:i w:val="0"/>
        </w:rPr>
        <w:t>Julie Goran, Stacey Haas, Deepak Mahadevan, Lama Sabbagh</w:t>
      </w:r>
    </w:p>
    <w:p>
      <w:pPr>
        <w:pStyle w:val="Heading3"/>
      </w:pPr>
      <w:r>
        <w:rPr>
          <w:rFonts w:ascii="Calibri" w:hAnsi="Calibri"/>
          <w:b/>
          <w:i w:val="0"/>
          <w:sz w:val="26"/>
        </w:rPr>
        <w:t>Mục Bốn: Công nghệ cho tốc độ và đổi mới phân tán</w:t>
      </w:r>
    </w:p>
    <w:p>
      <w:pPr>
        <w:spacing w:after="80"/>
      </w:pPr>
      <w:r>
        <w:rPr>
          <w:b w:val="0"/>
          <w:i w:val="0"/>
        </w:rPr>
        <w:t>Martin Harrysson, Brent Pabst</w:t>
      </w:r>
    </w:p>
    <w:p>
      <w:pPr>
        <w:pStyle w:val="Heading3"/>
      </w:pPr>
      <w:r>
        <w:rPr>
          <w:rFonts w:ascii="Calibri" w:hAnsi="Calibri"/>
          <w:b/>
          <w:i w:val="0"/>
          <w:sz w:val="26"/>
        </w:rPr>
        <w:t>Mục Năm: Nhúng dữ liệu vào mọi nơi</w:t>
      </w:r>
    </w:p>
    <w:p>
      <w:pPr>
        <w:spacing w:after="80"/>
      </w:pPr>
      <w:r>
        <w:rPr>
          <w:b w:val="0"/>
          <w:i w:val="0"/>
        </w:rPr>
        <w:t>Antonio Castro, Holger Harreis, Kayvaun Rowshankish</w:t>
      </w:r>
    </w:p>
    <w:p>
      <w:pPr>
        <w:pStyle w:val="Heading3"/>
      </w:pPr>
      <w:r>
        <w:rPr>
          <w:rFonts w:ascii="Calibri" w:hAnsi="Calibri"/>
          <w:b/>
          <w:i w:val="0"/>
          <w:sz w:val="26"/>
        </w:rPr>
        <w:t>Mục Sáu: Chấp nhận và mở rộng quy mô—Những đòn bẩy sức mạnh của bạn</w:t>
      </w:r>
    </w:p>
    <w:p>
      <w:pPr>
        <w:spacing w:after="80"/>
      </w:pPr>
      <w:r>
        <w:rPr>
          <w:b w:val="0"/>
          <w:i w:val="0"/>
        </w:rPr>
        <w:t>Sandra Durth, Brooke Weddle</w:t>
      </w:r>
    </w:p>
    <w:p>
      <w:pPr>
        <w:pStyle w:val="Heading3"/>
      </w:pPr>
      <w:r>
        <w:rPr>
          <w:rFonts w:ascii="Calibri" w:hAnsi="Calibri"/>
          <w:b/>
          <w:i w:val="0"/>
          <w:sz w:val="26"/>
        </w:rPr>
        <w:t>Mục Bảy: Những câu chuyện hành trình chuyển đổi</w:t>
      </w:r>
    </w:p>
    <w:p>
      <w:pPr>
        <w:spacing w:after="80"/>
      </w:pPr>
      <w:r>
        <w:rPr>
          <w:b w:val="0"/>
          <w:i w:val="0"/>
        </w:rPr>
        <w:t>Chương 36: Jaime Szigethi, Juan Vasquez</w:t>
      </w:r>
    </w:p>
    <w:p>
      <w:pPr>
        <w:spacing w:after="80"/>
      </w:pPr>
      <w:r>
        <w:rPr>
          <w:b w:val="0"/>
          <w:i w:val="0"/>
        </w:rPr>
        <w:t>Chương 37: Marco Cilento, Luca Colombo, Ewan Duncan, Steffen Fuchs, Ali Sankur, Paul Welling</w:t>
      </w:r>
    </w:p>
    <w:p>
      <w:pPr>
        <w:spacing w:after="80"/>
      </w:pPr>
      <w:r>
        <w:rPr>
          <w:b w:val="0"/>
          <w:i w:val="0"/>
        </w:rPr>
        <w:t>Chương 38: Sean Buckley, Doug Huey, Richard Sellschop</w:t>
      </w:r>
    </w:p>
    <w:p>
      <w:pPr>
        <w:spacing w:after="80"/>
      </w:pPr>
      <w:r>
        <w:rPr>
          <w:b w:val="0"/>
          <w:i w:val="0"/>
        </w:rPr>
        <w:t>Chương 39: Vinayak HV, Sudhakar Kakulavarapu, Joydeep Sengupta, Archana Seshadrinathan</w:t>
      </w:r>
    </w:p>
    <w:p>
      <w:pPr>
        <w:pStyle w:val="Heading2"/>
      </w:pPr>
      <w:r>
        <w:rPr>
          <w:rFonts w:ascii="Calibri" w:hAnsi="Calibri"/>
          <w:b/>
          <w:i w:val="0"/>
          <w:sz w:val="32"/>
        </w:rPr>
        <w:t>Ngoài ra, chúng tôi cũng xin cảm ơn những người đóng góp sau đây cho nỗ lực này:</w:t>
      </w:r>
    </w:p>
    <w:p>
      <w:pPr>
        <w:spacing w:after="80"/>
      </w:pPr>
      <w:r>
        <w:rPr>
          <w:b w:val="0"/>
          <w:i w:val="0"/>
        </w:rPr>
        <w:t>Joshan Cherian Abraham, Noah Andersen, Aamer Baig, Kim Baroudy, Kimberly Beals, Adhya Beesam, Jonathon Berlin, Sven Blumberg, Karen Braden, Tanguy Catlin, Josephine Chen, Michael Chui, Becca Coggins, Ryan Cox, Aarushi Dham, Gibson Donohue, Kent Gryskiewicz, Bryce Hall, Christine Hall, Katharine Haynes, Klemens Hjartar, Craig Jones, Basel Kayyali, Dave Kerr, Won Kim, Eric Kutcher, Jeffrey Lewis, Ashley Lucchese, Molly Meisenzahl, Kerrie Milhizer, Raju Narisetti, Florian Niedermann, Bruno Oliveira, Kobby Owusu, Asutosh Padhi, Alex Panas, Chaanukya Babu Poojari, Dan Swan, Dan Tinkoff, Lieven Van Der Veken, Maya Voelkel, Russell Woo, và Douglas Ziman. Xin cảm ơn!</w:t>
      </w:r>
    </w:p>
    <w:p>
      <w:pPr>
        <w:pStyle w:val="Heading1"/>
      </w:pPr>
      <w:r>
        <w:rPr>
          <w:rFonts w:ascii="Calibri" w:hAnsi="Calibri"/>
          <w:b/>
          <w:i w:val="0"/>
          <w:sz w:val="40"/>
        </w:rPr>
        <w:t>MỤC LỤC</w:t>
      </w:r>
    </w:p>
    <w:p>
      <w:pPr>
        <w:spacing w:after="80"/>
      </w:pPr>
      <w:r>
        <w:rPr>
          <w:b w:val="0"/>
          <w:i w:val="0"/>
        </w:rPr>
        <w:t xml:space="preserve">Số trang theo sau bởi </w:t>
      </w:r>
      <w:r>
        <w:rPr>
          <w:b w:val="0"/>
          <w:i/>
        </w:rPr>
        <w:t>e</w:t>
      </w:r>
      <w:r>
        <w:rPr>
          <w:b w:val="0"/>
          <w:i w:val="0"/>
        </w:rPr>
        <w:t xml:space="preserve"> là chỉ các hình minh họa; </w:t>
      </w:r>
      <w:r>
        <w:rPr>
          <w:b w:val="0"/>
          <w:i/>
        </w:rPr>
        <w:t>n</w:t>
      </w:r>
      <w:r>
        <w:rPr>
          <w:b w:val="0"/>
          <w:i w:val="0"/>
        </w:rPr>
        <w:t xml:space="preserve"> là chỉ chú thích cuối trang</w:t>
      </w:r>
    </w:p>
    <w:p>
      <w:pPr>
        <w:spacing w:after="80"/>
        <w:ind w:left="360"/>
      </w:pPr>
      <w:r>
        <w:t xml:space="preserve">• </w:t>
      </w:r>
      <w:r>
        <w:rPr>
          <w:b/>
          <w:i w:val="0"/>
        </w:rPr>
        <w:t>A</w:t>
      </w:r>
    </w:p>
    <w:p>
      <w:pPr>
        <w:spacing w:after="80"/>
        <w:ind w:left="360"/>
      </w:pPr>
      <w:r>
        <w:t xml:space="preserve">• </w:t>
      </w:r>
      <w:r>
        <w:rPr>
          <w:b w:val="0"/>
          <w:i w:val="0"/>
        </w:rPr>
        <w:t>Abbott (xây dựng doanh nghiệp mới), 265–266, 268–269</w:t>
      </w:r>
    </w:p>
    <w:p>
      <w:pPr>
        <w:spacing w:after="80"/>
        <w:ind w:left="360"/>
      </w:pPr>
      <w:r>
        <w:t xml:space="preserve">• </w:t>
      </w:r>
      <w:r>
        <w:rPr>
          <w:b w:val="0"/>
          <w:i w:val="0"/>
        </w:rPr>
        <w:t>Adobe, 393</w:t>
      </w:r>
    </w:p>
    <w:p>
      <w:pPr>
        <w:spacing w:after="80"/>
        <w:ind w:left="360"/>
      </w:pPr>
      <w:r>
        <w:t xml:space="preserve">• </w:t>
      </w:r>
      <w:r>
        <w:rPr>
          <w:b w:val="0"/>
          <w:i w:val="0"/>
        </w:rPr>
        <w:t>Việc áp dụng, 457–466</w:t>
      </w:r>
    </w:p>
    <w:p>
      <w:pPr>
        <w:spacing w:after="80"/>
        <w:ind w:left="720"/>
      </w:pPr>
      <w:r>
        <w:t xml:space="preserve">• </w:t>
      </w:r>
      <w:r>
        <w:rPr>
          <w:b w:val="0"/>
          <w:i w:val="0"/>
        </w:rPr>
        <w:t>các mô hình kinh doanh cho việc này, 463–464</w:t>
      </w:r>
    </w:p>
    <w:p>
      <w:pPr>
        <w:spacing w:after="80"/>
        <w:ind w:left="720"/>
      </w:pPr>
      <w:r>
        <w:t xml:space="preserve">• </w:t>
      </w:r>
      <w:r>
        <w:rPr>
          <w:b w:val="0"/>
          <w:i w:val="0"/>
        </w:rPr>
        <w:t>trong phân phối từ miền đến giá trị (domain-to-value delivery - DVD), 65</w:t>
      </w:r>
    </w:p>
    <w:p>
      <w:pPr>
        <w:spacing w:after="80"/>
        <w:ind w:left="720"/>
      </w:pPr>
      <w:r>
        <w:t xml:space="preserve">• </w:t>
      </w:r>
      <w:r>
        <w:rPr>
          <w:b w:val="0"/>
          <w:i w:val="0"/>
        </w:rPr>
        <w:t>mức độ dễ dàng của, 57</w:t>
      </w:r>
    </w:p>
    <w:p>
      <w:pPr>
        <w:spacing w:after="80"/>
        <w:ind w:left="720"/>
      </w:pPr>
      <w:r>
        <w:t xml:space="preserve">• </w:t>
      </w:r>
      <w:r>
        <w:rPr>
          <w:b w:val="0"/>
          <w:i w:val="0"/>
        </w:rPr>
        <w:t>đánh giá tác động quy trình đầu-cuối trong, 464</w:t>
      </w:r>
      <w:r>
        <w:rPr>
          <w:b w:val="0"/>
          <w:i/>
        </w:rPr>
        <w:t>e</w:t>
      </w:r>
    </w:p>
    <w:p>
      <w:pPr>
        <w:spacing w:after="80"/>
        <w:ind w:left="720"/>
      </w:pPr>
      <w:r>
        <w:t xml:space="preserve">• </w:t>
      </w:r>
      <w:r>
        <w:rPr>
          <w:b w:val="0"/>
          <w:i w:val="0"/>
        </w:rPr>
        <w:t>copilot cho người dùng cuối trong, 459–463</w:t>
      </w:r>
    </w:p>
    <w:p>
      <w:pPr>
        <w:spacing w:after="80"/>
        <w:ind w:left="720"/>
      </w:pPr>
      <w:r>
        <w:t xml:space="preserve">• </w:t>
      </w:r>
      <w:r>
        <w:rPr>
          <w:b w:val="0"/>
          <w:i w:val="0"/>
        </w:rPr>
        <w:t>Các phương pháp GenAI đối với, 465–466</w:t>
      </w:r>
    </w:p>
    <w:p>
      <w:pPr>
        <w:spacing w:after="80"/>
        <w:ind w:left="720"/>
      </w:pPr>
      <w:r>
        <w:t xml:space="preserve">• </w:t>
      </w:r>
      <w:r>
        <w:rPr>
          <w:b w:val="0"/>
          <w:i w:val="0"/>
        </w:rPr>
        <w:t>mô hình ảnh hưởng cho, 462</w:t>
      </w:r>
      <w:r>
        <w:rPr>
          <w:b w:val="0"/>
          <w:i/>
        </w:rPr>
        <w:t>e</w:t>
      </w:r>
    </w:p>
    <w:p>
      <w:pPr>
        <w:spacing w:after="80"/>
        <w:ind w:left="360"/>
      </w:pPr>
      <w:r>
        <w:t xml:space="preserve">• </w:t>
      </w:r>
      <w:r>
        <w:rPr>
          <w:b w:val="0"/>
          <w:i w:val="0"/>
        </w:rPr>
        <w:t>Huấn luyện viên tác nhân (Agent coaches), 181–182, 186</w:t>
      </w:r>
    </w:p>
    <w:p>
      <w:pPr>
        <w:spacing w:after="80"/>
        <w:ind w:left="360"/>
      </w:pPr>
      <w:r>
        <w:t xml:space="preserve">• </w:t>
      </w:r>
      <w:r>
        <w:rPr>
          <w:b w:val="0"/>
          <w:i w:val="0"/>
        </w:rPr>
        <w:t>Tự động hóa dạng tác nhân (Agentic automation), 4, 81–85, 88, 146</w:t>
      </w:r>
    </w:p>
    <w:p>
      <w:pPr>
        <w:spacing w:after="80"/>
        <w:ind w:left="360"/>
      </w:pPr>
      <w:r>
        <w:t xml:space="preserve">• </w:t>
      </w:r>
      <w:r>
        <w:rPr>
          <w:b w:val="0"/>
          <w:i w:val="0"/>
        </w:rPr>
        <w:t>Năng lực tác nhân (Agentic competencies), 339</w:t>
      </w:r>
      <w:r>
        <w:rPr>
          <w:b w:val="0"/>
          <w:i/>
        </w:rPr>
        <w:t>e</w:t>
      </w:r>
    </w:p>
    <w:p>
      <w:pPr>
        <w:spacing w:after="80"/>
        <w:ind w:left="360"/>
      </w:pPr>
      <w:r>
        <w:t xml:space="preserve">• </w:t>
      </w:r>
      <w:r>
        <w:rPr>
          <w:b w:val="0"/>
          <w:i w:val="0"/>
        </w:rPr>
        <w:t>Kỹ thuật tác nhân (Agentic engineering), 17, 148</w:t>
      </w:r>
    </w:p>
    <w:p>
      <w:pPr>
        <w:spacing w:after="80"/>
        <w:ind w:left="360"/>
      </w:pPr>
      <w:r>
        <w:t xml:space="preserve">• </w:t>
      </w:r>
      <w:r>
        <w:rPr>
          <w:b w:val="0"/>
          <w:i w:val="0"/>
        </w:rPr>
        <w:t>Hệ thống tác nhân (Agentic systems), 337–356</w:t>
      </w:r>
    </w:p>
    <w:p>
      <w:pPr>
        <w:spacing w:after="80"/>
        <w:ind w:left="720"/>
      </w:pPr>
      <w:r>
        <w:t xml:space="preserve">• </w:t>
      </w:r>
      <w:r>
        <w:rPr>
          <w:b w:val="0"/>
          <w:i w:val="0"/>
        </w:rPr>
        <w:t>các thực hành tốt nhất cho, 332, 348</w:t>
      </w:r>
    </w:p>
    <w:p>
      <w:pPr>
        <w:spacing w:after="80"/>
        <w:ind w:left="720"/>
      </w:pPr>
      <w:r>
        <w:t xml:space="preserve">• </w:t>
      </w:r>
      <w:r>
        <w:rPr>
          <w:b w:val="0"/>
          <w:i w:val="0"/>
        </w:rPr>
        <w:t>đánh đổi giữa mua và tự xây dựng (buy vs. build trade-offs), 349–350</w:t>
      </w:r>
    </w:p>
    <w:p>
      <w:pPr>
        <w:spacing w:after="80"/>
        <w:ind w:left="720"/>
      </w:pPr>
      <w:r>
        <w:t xml:space="preserve">• </w:t>
      </w:r>
      <w:r>
        <w:rPr>
          <w:b w:val="0"/>
          <w:i w:val="0"/>
        </w:rPr>
        <w:t>bị ràng buộc (constrained), 343–345</w:t>
      </w:r>
    </w:p>
    <w:p>
      <w:pPr>
        <w:spacing w:after="80"/>
        <w:ind w:left="720"/>
      </w:pPr>
      <w:r>
        <w:t xml:space="preserve">• </w:t>
      </w:r>
      <w:r>
        <w:rPr>
          <w:b w:val="0"/>
          <w:i w:val="0"/>
        </w:rPr>
        <w:t>các đầu vào cho, 345–346</w:t>
      </w:r>
    </w:p>
    <w:p>
      <w:pPr>
        <w:spacing w:after="80"/>
        <w:ind w:left="720"/>
      </w:pPr>
      <w:r>
        <w:t xml:space="preserve">• </w:t>
      </w:r>
      <w:r>
        <w:rPr>
          <w:b w:val="0"/>
          <w:i w:val="0"/>
        </w:rPr>
        <w:t>nhiều, 353–355, 354</w:t>
      </w:r>
      <w:r>
        <w:rPr>
          <w:b w:val="0"/>
          <w:i/>
        </w:rPr>
        <w:t>e</w:t>
      </w:r>
    </w:p>
    <w:p>
      <w:pPr>
        <w:spacing w:after="80"/>
        <w:ind w:left="720"/>
      </w:pPr>
      <w:r>
        <w:t xml:space="preserve">• </w:t>
      </w:r>
      <w:r>
        <w:rPr>
          <w:b w:val="0"/>
          <w:i w:val="0"/>
        </w:rPr>
        <w:t>các thành phần tái sử dụng được cho, 351</w:t>
      </w:r>
      <w:r>
        <w:rPr>
          <w:b w:val="0"/>
          <w:i/>
        </w:rPr>
        <w:t>e</w:t>
      </w:r>
    </w:p>
    <w:p>
      <w:pPr>
        <w:spacing w:after="80"/>
        <w:ind w:left="720"/>
      </w:pPr>
      <w:r>
        <w:t xml:space="preserve">• </w:t>
      </w:r>
      <w:r>
        <w:rPr>
          <w:b w:val="0"/>
          <w:i w:val="0"/>
        </w:rPr>
        <w:t>các rủi ro của, 347</w:t>
      </w:r>
    </w:p>
    <w:p>
      <w:pPr>
        <w:spacing w:after="80"/>
        <w:ind w:left="720"/>
      </w:pPr>
      <w:r>
        <w:t xml:space="preserve">• </w:t>
      </w:r>
      <w:r>
        <w:rPr>
          <w:b w:val="0"/>
          <w:i w:val="0"/>
        </w:rPr>
        <w:t>góc nhìn ở cấp độ tác vụ của, 339</w:t>
      </w:r>
      <w:r>
        <w:rPr>
          <w:b w:val="0"/>
          <w:i/>
        </w:rPr>
        <w:t>e</w:t>
      </w:r>
    </w:p>
    <w:p>
      <w:pPr>
        <w:spacing w:after="80"/>
        <w:ind w:left="720"/>
      </w:pPr>
      <w:r>
        <w:t xml:space="preserve">• </w:t>
      </w:r>
      <w:r>
        <w:rPr>
          <w:b w:val="0"/>
          <w:i w:val="0"/>
        </w:rPr>
        <w:t>kiểm thử cho, 346</w:t>
      </w:r>
    </w:p>
    <w:p>
      <w:pPr>
        <w:spacing w:after="80"/>
        <w:ind w:left="720"/>
      </w:pPr>
      <w:r>
        <w:t xml:space="preserve">• </w:t>
      </w:r>
      <w:r>
        <w:rPr>
          <w:b w:val="0"/>
          <w:i w:val="0"/>
        </w:rPr>
        <w:t>các loại cách dùng, 342</w:t>
      </w:r>
      <w:r>
        <w:rPr>
          <w:b w:val="0"/>
          <w:i/>
        </w:rPr>
        <w:t>e</w:t>
      </w:r>
    </w:p>
    <w:p>
      <w:pPr>
        <w:spacing w:after="80"/>
        <w:ind w:left="720"/>
      </w:pPr>
      <w:r>
        <w:t xml:space="preserve">• </w:t>
      </w:r>
      <w:r>
        <w:rPr>
          <w:b w:val="0"/>
          <w:i w:val="0"/>
        </w:rPr>
        <w:t>các quy trình làm việc cho, 79–84, 344</w:t>
      </w:r>
      <w:r>
        <w:rPr>
          <w:b w:val="0"/>
          <w:i/>
        </w:rPr>
        <w:t>e</w:t>
      </w:r>
    </w:p>
    <w:p>
      <w:pPr>
        <w:spacing w:after="80"/>
        <w:ind w:left="360"/>
      </w:pPr>
      <w:r>
        <w:t xml:space="preserve">• </w:t>
      </w:r>
      <w:r>
        <w:rPr>
          <w:b w:val="0"/>
          <w:i w:val="0"/>
        </w:rPr>
        <w:t>các nhiệm vụ sẵn sàng cho agent (agent-ready), 319–320</w:t>
      </w:r>
    </w:p>
    <w:p>
      <w:pPr>
        <w:spacing w:after="80"/>
        <w:ind w:left="360"/>
      </w:pPr>
      <w:r>
        <w:t xml:space="preserve">• </w:t>
      </w:r>
      <w:r>
        <w:rPr>
          <w:b w:val="0"/>
          <w:i w:val="0"/>
        </w:rPr>
        <w:t>các huấn luyện viên Agile, 203, 490, 572</w:t>
      </w:r>
    </w:p>
    <w:p>
      <w:pPr>
        <w:spacing w:after="80"/>
        <w:ind w:left="360"/>
      </w:pPr>
      <w:r>
        <w:t xml:space="preserve">• </w:t>
      </w:r>
      <w:r>
        <w:rPr>
          <w:b w:val="0"/>
          <w:i w:val="0"/>
        </w:rPr>
        <w:t>phát triển phần mềm Agile, 132, 207, 209</w:t>
      </w:r>
      <w:r>
        <w:rPr>
          <w:b w:val="0"/>
          <w:i/>
        </w:rPr>
        <w:t>e</w:t>
      </w:r>
    </w:p>
    <w:p>
      <w:pPr>
        <w:spacing w:after="80"/>
        <w:ind w:left="360"/>
      </w:pPr>
      <w:r>
        <w:t xml:space="preserve">• </w:t>
      </w:r>
      <w:r>
        <w:rPr>
          <w:b w:val="0"/>
          <w:i w:val="0"/>
        </w:rPr>
        <w:t>các nhóm Agile, 14, 203, 215, 233, 233</w:t>
      </w:r>
      <w:r>
        <w:rPr>
          <w:b w:val="0"/>
          <w:i/>
        </w:rPr>
        <w:t>e</w:t>
      </w:r>
      <w:r>
        <w:rPr>
          <w:b w:val="0"/>
          <w:i w:val="0"/>
        </w:rPr>
        <w:t>, 253</w:t>
      </w:r>
    </w:p>
    <w:p>
      <w:pPr>
        <w:spacing w:after="80"/>
        <w:ind w:left="360"/>
      </w:pPr>
      <w:r>
        <w:t xml:space="preserve">• </w:t>
      </w:r>
      <w:r>
        <w:rPr>
          <w:b w:val="0"/>
          <w:i w:val="0"/>
        </w:rPr>
        <w:t>các AI agent, 79–85, 175–187</w:t>
      </w:r>
    </w:p>
    <w:p>
      <w:pPr>
        <w:spacing w:after="80"/>
        <w:ind w:left="720"/>
      </w:pPr>
      <w:r>
        <w:t xml:space="preserve">• </w:t>
      </w:r>
      <w:r>
        <w:rPr>
          <w:b w:val="0"/>
          <w:i w:val="0"/>
        </w:rPr>
        <w:t>giải phẫu của, 86</w:t>
      </w:r>
      <w:r>
        <w:rPr>
          <w:b w:val="0"/>
          <w:i/>
        </w:rPr>
        <w:t>e</w:t>
      </w:r>
    </w:p>
    <w:p>
      <w:pPr>
        <w:spacing w:after="80"/>
        <w:ind w:left="720"/>
      </w:pPr>
      <w:r>
        <w:t xml:space="preserve">• </w:t>
      </w:r>
      <w:r>
        <w:rPr>
          <w:b w:val="0"/>
          <w:i w:val="0"/>
        </w:rPr>
        <w:t>đánh đổi giữa mua và tự xây dựng với, 349–350</w:t>
      </w:r>
    </w:p>
    <w:p>
      <w:pPr>
        <w:spacing w:after="80"/>
        <w:ind w:left="720"/>
      </w:pPr>
      <w:r>
        <w:t xml:space="preserve">• </w:t>
      </w:r>
      <w:r>
        <w:rPr>
          <w:b w:val="0"/>
          <w:i w:val="0"/>
        </w:rPr>
        <w:t>các ràng buộc đối với, 343, 347</w:t>
      </w:r>
    </w:p>
    <w:p>
      <w:pPr>
        <w:spacing w:after="80"/>
        <w:ind w:left="720"/>
      </w:pPr>
      <w:r>
        <w:t xml:space="preserve">• </w:t>
      </w:r>
      <w:r>
        <w:rPr>
          <w:b w:val="0"/>
          <w:i w:val="0"/>
        </w:rPr>
        <w:t>chi phí của, 352</w:t>
      </w:r>
    </w:p>
    <w:p>
      <w:pPr>
        <w:spacing w:after="80"/>
        <w:ind w:left="720"/>
      </w:pPr>
      <w:r>
        <w:t xml:space="preserve">• </w:t>
      </w:r>
      <w:r>
        <w:rPr>
          <w:b w:val="0"/>
          <w:i w:val="0"/>
        </w:rPr>
        <w:t>các định nghĩa, 81</w:t>
      </w:r>
    </w:p>
    <w:p>
      <w:pPr>
        <w:spacing w:after="80"/>
        <w:ind w:left="720"/>
      </w:pPr>
      <w:r>
        <w:t xml:space="preserve">• </w:t>
      </w:r>
      <w:r>
        <w:rPr>
          <w:b w:val="0"/>
          <w:i w:val="0"/>
        </w:rPr>
        <w:t>các loại đánh giá của, 94</w:t>
      </w:r>
    </w:p>
    <w:p>
      <w:pPr>
        <w:spacing w:after="80"/>
        <w:ind w:left="720"/>
      </w:pPr>
      <w:r>
        <w:t xml:space="preserve">• </w:t>
      </w:r>
      <w:r>
        <w:rPr>
          <w:b w:val="0"/>
          <w:i w:val="0"/>
        </w:rPr>
        <w:t>sự tiến hóa của, 183–184</w:t>
      </w:r>
    </w:p>
    <w:p>
      <w:pPr>
        <w:spacing w:after="80"/>
        <w:ind w:left="720"/>
      </w:pPr>
      <w:r>
        <w:t xml:space="preserve">• </w:t>
      </w:r>
      <w:r>
        <w:rPr>
          <w:b w:val="0"/>
          <w:i w:val="0"/>
        </w:rPr>
        <w:t>nhà máy của, 318–322</w:t>
      </w:r>
    </w:p>
    <w:p>
      <w:pPr>
        <w:spacing w:after="80"/>
        <w:ind w:left="720"/>
      </w:pPr>
      <w:r>
        <w:t xml:space="preserve">• </w:t>
      </w:r>
      <w:r>
        <w:rPr>
          <w:b w:val="0"/>
          <w:i w:val="0"/>
        </w:rPr>
        <w:t>các khuyến nghị về nhân sự (HR), 185–187</w:t>
      </w:r>
    </w:p>
    <w:p>
      <w:pPr>
        <w:spacing w:after="80"/>
        <w:ind w:left="720"/>
      </w:pPr>
      <w:r>
        <w:t xml:space="preserve">• </w:t>
      </w:r>
      <w:r>
        <w:rPr>
          <w:b w:val="0"/>
          <w:i w:val="0"/>
        </w:rPr>
        <w:t>mô hình làm việc của con người, 552–553</w:t>
      </w:r>
    </w:p>
    <w:p>
      <w:pPr>
        <w:spacing w:after="80"/>
        <w:ind w:left="720"/>
      </w:pPr>
      <w:r>
        <w:t xml:space="preserve">• </w:t>
      </w:r>
      <w:r>
        <w:rPr>
          <w:b w:val="0"/>
          <w:i w:val="0"/>
        </w:rPr>
        <w:t>vai trò và kỹ năng của con người, 178–183, 180</w:t>
      </w:r>
      <w:r>
        <w:rPr>
          <w:b w:val="0"/>
          <w:i/>
        </w:rPr>
        <w:t>e</w:t>
      </w:r>
    </w:p>
    <w:p>
      <w:pPr>
        <w:spacing w:after="80"/>
        <w:ind w:left="720"/>
      </w:pPr>
      <w:r>
        <w:t xml:space="preserve">• </w:t>
      </w:r>
      <w:r>
        <w:rPr>
          <w:b w:val="0"/>
          <w:i w:val="0"/>
        </w:rPr>
        <w:t>việc thuê nội bộ (insourcing), 146</w:t>
      </w:r>
    </w:p>
    <w:p>
      <w:pPr>
        <w:spacing w:after="80"/>
        <w:ind w:left="720"/>
      </w:pPr>
      <w:r>
        <w:t xml:space="preserve">• </w:t>
      </w:r>
      <w:r>
        <w:rPr>
          <w:b w:val="0"/>
          <w:i w:val="0"/>
        </w:rPr>
        <w:t>bài học, 91–93</w:t>
      </w:r>
    </w:p>
    <w:p>
      <w:pPr>
        <w:spacing w:after="80"/>
        <w:ind w:left="720"/>
      </w:pPr>
      <w:r>
        <w:t xml:space="preserve">• </w:t>
      </w:r>
      <w:r>
        <w:rPr>
          <w:b w:val="0"/>
          <w:i w:val="0"/>
        </w:rPr>
        <w:t>và sự linh hoạt trong vận hành, 177</w:t>
      </w:r>
    </w:p>
    <w:p>
      <w:pPr>
        <w:spacing w:after="80"/>
        <w:ind w:left="720"/>
      </w:pPr>
      <w:r>
        <w:t xml:space="preserve">• </w:t>
      </w:r>
      <w:r>
        <w:rPr>
          <w:b w:val="0"/>
          <w:i w:val="0"/>
        </w:rPr>
        <w:t>các mô hình tổ chức của, 183–185</w:t>
      </w:r>
    </w:p>
    <w:p>
      <w:pPr>
        <w:spacing w:after="80"/>
        <w:ind w:left="720"/>
      </w:pPr>
      <w:r>
        <w:t xml:space="preserve">• </w:t>
      </w:r>
      <w:r>
        <w:rPr>
          <w:b w:val="0"/>
          <w:i w:val="0"/>
        </w:rPr>
        <w:t>tổng quan về, 178</w:t>
      </w:r>
      <w:r>
        <w:rPr>
          <w:b w:val="0"/>
          <w:i/>
        </w:rPr>
        <w:t>e</w:t>
      </w:r>
    </w:p>
    <w:p>
      <w:pPr>
        <w:spacing w:after="80"/>
        <w:ind w:left="720"/>
      </w:pPr>
      <w:r>
        <w:t xml:space="preserve">• </w:t>
      </w:r>
      <w:r>
        <w:rPr>
          <w:b w:val="0"/>
          <w:i w:val="0"/>
        </w:rPr>
        <w:t>khả năng mở rộng của, 452–453</w:t>
      </w:r>
    </w:p>
    <w:p>
      <w:pPr>
        <w:spacing w:after="80"/>
        <w:ind w:left="720"/>
      </w:pPr>
      <w:r>
        <w:t xml:space="preserve">• </w:t>
      </w:r>
      <w:r>
        <w:rPr>
          <w:b w:val="0"/>
          <w:i w:val="0"/>
        </w:rPr>
        <w:t>các kỹ năng trong, 178–179</w:t>
      </w:r>
    </w:p>
    <w:p>
      <w:pPr>
        <w:spacing w:after="80"/>
        <w:ind w:left="720"/>
      </w:pPr>
      <w:r>
        <w:t xml:space="preserve">• </w:t>
      </w:r>
      <w:r>
        <w:rPr>
          <w:b w:val="0"/>
          <w:i w:val="0"/>
        </w:rPr>
        <w:t>sự chuyển dịch kỹ năng ở các vai trò then chốt, 180–183</w:t>
      </w:r>
    </w:p>
    <w:p>
      <w:pPr>
        <w:spacing w:after="80"/>
        <w:ind w:left="720"/>
      </w:pPr>
      <w:r>
        <w:t xml:space="preserve">• </w:t>
      </w:r>
      <w:r>
        <w:rPr>
          <w:b w:val="0"/>
          <w:i w:val="0"/>
        </w:rPr>
        <w:t>các yếu tố thành công, 95</w:t>
      </w:r>
    </w:p>
    <w:p>
      <w:pPr>
        <w:spacing w:after="80"/>
        <w:ind w:left="720"/>
      </w:pPr>
      <w:r>
        <w:t xml:space="preserve">• </w:t>
      </w:r>
      <w:r>
        <w:rPr>
          <w:b w:val="0"/>
          <w:i w:val="0"/>
        </w:rPr>
        <w:t>mức độ phù hợp của, 340–341</w:t>
      </w:r>
    </w:p>
    <w:p>
      <w:pPr>
        <w:spacing w:after="80"/>
        <w:ind w:left="720"/>
      </w:pPr>
      <w:r>
        <w:t xml:space="preserve">• </w:t>
      </w:r>
      <w:r>
        <w:rPr>
          <w:b w:val="0"/>
          <w:i w:val="0"/>
        </w:rPr>
        <w:t>các loại, 81–85</w:t>
      </w:r>
    </w:p>
    <w:p>
      <w:pPr>
        <w:spacing w:after="80"/>
        <w:ind w:left="720"/>
      </w:pPr>
      <w:r>
        <w:t xml:space="preserve">• </w:t>
      </w:r>
      <w:r>
        <w:rPr>
          <w:b w:val="0"/>
          <w:i w:val="0"/>
        </w:rPr>
        <w:t>kiểm thử, 348</w:t>
      </w:r>
    </w:p>
    <w:p>
      <w:pPr>
        <w:spacing w:after="80"/>
        <w:ind w:left="720"/>
      </w:pPr>
      <w:r>
        <w:t xml:space="preserve">• </w:t>
      </w:r>
      <w:r>
        <w:rPr>
          <w:b w:val="0"/>
          <w:i w:val="0"/>
        </w:rPr>
        <w:t>đánh giá loại hình sử dụng của, 342</w:t>
      </w:r>
      <w:r>
        <w:rPr>
          <w:b w:val="0"/>
          <w:i/>
        </w:rPr>
        <w:t>e</w:t>
      </w:r>
    </w:p>
    <w:p>
      <w:pPr>
        <w:spacing w:after="80"/>
        <w:ind w:left="720"/>
      </w:pPr>
      <w:r>
        <w:t xml:space="preserve">• </w:t>
      </w:r>
      <w:r>
        <w:rPr>
          <w:b w:val="0"/>
          <w:i w:val="0"/>
        </w:rPr>
        <w:t>so với các công cụ khác, 92</w:t>
      </w:r>
      <w:r>
        <w:rPr>
          <w:b w:val="0"/>
          <w:i/>
        </w:rPr>
        <w:t>e</w:t>
      </w:r>
    </w:p>
    <w:p>
      <w:pPr>
        <w:spacing w:after="80"/>
        <w:ind w:left="720"/>
      </w:pPr>
      <w:r>
        <w:t xml:space="preserve">• </w:t>
      </w:r>
      <w:r>
        <w:rPr>
          <w:b w:val="0"/>
          <w:i w:val="0"/>
        </w:rPr>
        <w:t>quy trình làm việc cho, 88–90</w:t>
      </w:r>
    </w:p>
    <w:p>
      <w:pPr>
        <w:spacing w:after="80"/>
        <w:ind w:left="720"/>
      </w:pPr>
      <w:r>
        <w:t xml:space="preserve">• </w:t>
      </w:r>
      <w:r>
        <w:rPr>
          <w:b w:val="0"/>
          <w:i w:val="0"/>
        </w:rPr>
        <w:t>cách vận hành của, 85–88</w:t>
      </w:r>
    </w:p>
    <w:p>
      <w:pPr>
        <w:spacing w:after="80"/>
        <w:ind w:left="360"/>
      </w:pPr>
      <w:r>
        <w:t xml:space="preserve">• </w:t>
      </w:r>
      <w:r>
        <w:rPr>
          <w:b w:val="0"/>
          <w:i w:val="0"/>
        </w:rPr>
        <w:t>lưới AI, 330, 332</w:t>
      </w:r>
    </w:p>
    <w:p>
      <w:pPr>
        <w:spacing w:after="80"/>
        <w:ind w:left="360"/>
      </w:pPr>
      <w:r>
        <w:t xml:space="preserve">• </w:t>
      </w:r>
      <w:r>
        <w:rPr>
          <w:b w:val="0"/>
          <w:i w:val="0"/>
        </w:rPr>
        <w:t>mô hình phát triển bản địa AI, 316, 527, 529, 531</w:t>
      </w:r>
    </w:p>
    <w:p>
      <w:pPr>
        <w:spacing w:after="80"/>
        <w:ind w:left="360"/>
      </w:pPr>
      <w:r>
        <w:t xml:space="preserve">• </w:t>
      </w:r>
      <w:r>
        <w:rPr>
          <w:b w:val="0"/>
          <w:i w:val="0"/>
        </w:rPr>
        <w:t>Air Canada, 67, 106</w:t>
      </w:r>
    </w:p>
    <w:p>
      <w:pPr>
        <w:spacing w:after="80"/>
        <w:ind w:left="360"/>
      </w:pPr>
      <w:r>
        <w:t xml:space="preserve">• </w:t>
      </w:r>
      <w:r>
        <w:rPr>
          <w:b w:val="0"/>
          <w:i w:val="0"/>
        </w:rPr>
        <w:t>Al Dhawyani, Saud, 297</w:t>
      </w:r>
    </w:p>
    <w:p>
      <w:pPr>
        <w:spacing w:after="80"/>
        <w:ind w:left="360"/>
      </w:pPr>
      <w:r>
        <w:t xml:space="preserve">• </w:t>
      </w:r>
      <w:r>
        <w:rPr>
          <w:b w:val="0"/>
          <w:i w:val="0"/>
        </w:rPr>
        <w:t>nền tảng ALAN AI (DBS Bank), 586–587, 590</w:t>
      </w:r>
    </w:p>
    <w:p>
      <w:pPr>
        <w:spacing w:after="80"/>
        <w:ind w:left="360"/>
      </w:pPr>
      <w:r>
        <w:t xml:space="preserve">• </w:t>
      </w:r>
      <w:r>
        <w:rPr>
          <w:b w:val="0"/>
          <w:i w:val="0"/>
        </w:rPr>
        <w:t>Alibaba, 71</w:t>
      </w:r>
    </w:p>
    <w:p>
      <w:pPr>
        <w:spacing w:after="80"/>
        <w:ind w:left="360"/>
      </w:pPr>
      <w:r>
        <w:t xml:space="preserve">• </w:t>
      </w:r>
      <w:r>
        <w:rPr>
          <w:b w:val="0"/>
          <w:i w:val="0"/>
        </w:rPr>
        <w:t>Alvo, Roberto, 298, 547</w:t>
      </w:r>
    </w:p>
    <w:p>
      <w:pPr>
        <w:spacing w:after="80"/>
        <w:ind w:left="360"/>
      </w:pPr>
      <w:r>
        <w:t xml:space="preserve">• </w:t>
      </w:r>
      <w:r>
        <w:rPr>
          <w:b w:val="0"/>
          <w:i w:val="0"/>
        </w:rPr>
        <w:t>Amazon, 71, 146, 194, 229, 293, 523, 545, 556</w:t>
      </w:r>
    </w:p>
    <w:p>
      <w:pPr>
        <w:spacing w:after="80"/>
        <w:ind w:left="360"/>
      </w:pPr>
      <w:r>
        <w:t xml:space="preserve">• </w:t>
      </w:r>
      <w:r>
        <w:rPr>
          <w:b w:val="0"/>
          <w:i w:val="0"/>
        </w:rPr>
        <w:t>nỗ lực Concentrator của châu Mỹ, 568, 571</w:t>
      </w:r>
    </w:p>
    <w:p>
      <w:pPr>
        <w:spacing w:after="80"/>
        <w:ind w:left="360"/>
      </w:pPr>
      <w:r>
        <w:t xml:space="preserve">• </w:t>
      </w:r>
      <w:r>
        <w:rPr>
          <w:b w:val="0"/>
          <w:i w:val="0"/>
        </w:rPr>
        <w:t>tuyển dụng vị trí chủ chốt, 162</w:t>
      </w:r>
    </w:p>
    <w:p>
      <w:pPr>
        <w:spacing w:after="80"/>
        <w:ind w:left="360"/>
      </w:pPr>
      <w:r>
        <w:t xml:space="preserve">• </w:t>
      </w:r>
      <w:r>
        <w:rPr>
          <w:b w:val="0"/>
          <w:i w:val="0"/>
        </w:rPr>
        <w:t>Andreessen, Marc, 160</w:t>
      </w:r>
    </w:p>
    <w:p>
      <w:pPr>
        <w:spacing w:after="80"/>
        <w:ind w:left="360"/>
      </w:pPr>
      <w:r>
        <w:t xml:space="preserve">• </w:t>
      </w:r>
      <w:r>
        <w:rPr>
          <w:b w:val="0"/>
          <w:i w:val="0"/>
        </w:rPr>
        <w:t>Apple, 520</w:t>
      </w:r>
    </w:p>
    <w:p>
      <w:pPr>
        <w:spacing w:after="80"/>
        <w:ind w:left="360"/>
      </w:pPr>
      <w:r>
        <w:t xml:space="preserve">• </w:t>
      </w:r>
      <w:r>
        <w:rPr>
          <w:b w:val="0"/>
          <w:i w:val="0"/>
        </w:rPr>
        <w:t>Giao diện lập trình ứng dụng (API), 293–299</w:t>
      </w:r>
    </w:p>
    <w:p>
      <w:pPr>
        <w:spacing w:after="80"/>
        <w:ind w:left="720"/>
      </w:pPr>
      <w:r>
        <w:t xml:space="preserve">• </w:t>
      </w:r>
      <w:r>
        <w:rPr>
          <w:b w:val="0"/>
          <w:i w:val="0"/>
        </w:rPr>
        <w:t>việc áp dụng chúng, 294–297</w:t>
      </w:r>
    </w:p>
    <w:p>
      <w:pPr>
        <w:spacing w:after="80"/>
        <w:ind w:left="720"/>
      </w:pPr>
      <w:r>
        <w:t xml:space="preserve">• </w:t>
      </w:r>
      <w:r>
        <w:rPr>
          <w:b w:val="0"/>
          <w:i w:val="0"/>
        </w:rPr>
        <w:t>building, 296–297</w:t>
      </w:r>
    </w:p>
    <w:p>
      <w:pPr>
        <w:spacing w:after="80"/>
        <w:ind w:left="720"/>
      </w:pPr>
      <w:r>
        <w:t xml:space="preserve">• </w:t>
      </w:r>
      <w:r>
        <w:rPr>
          <w:b w:val="0"/>
          <w:i w:val="0"/>
        </w:rPr>
        <w:t>các kiến trúc sư doanh nghiệp cho, 298–299</w:t>
      </w:r>
    </w:p>
    <w:p>
      <w:pPr>
        <w:spacing w:after="80"/>
        <w:ind w:left="720"/>
      </w:pPr>
      <w:r>
        <w:t xml:space="preserve">• </w:t>
      </w:r>
      <w:r>
        <w:rPr>
          <w:b w:val="0"/>
          <w:i w:val="0"/>
        </w:rPr>
        <w:t>giao thức ngữ cảnh mô hình cho, 295</w:t>
      </w:r>
    </w:p>
    <w:p>
      <w:pPr>
        <w:spacing w:after="80"/>
        <w:ind w:left="720"/>
      </w:pPr>
      <w:r>
        <w:t xml:space="preserve">• </w:t>
      </w:r>
      <w:r>
        <w:rPr>
          <w:b w:val="0"/>
          <w:i w:val="0"/>
        </w:rPr>
        <w:t>nền tảng, 289</w:t>
      </w:r>
    </w:p>
    <w:p>
      <w:pPr>
        <w:spacing w:after="80"/>
        <w:ind w:left="360"/>
      </w:pPr>
      <w:r>
        <w:t xml:space="preserve">• </w:t>
      </w:r>
      <w:r>
        <w:rPr>
          <w:b w:val="0"/>
          <w:i w:val="0"/>
        </w:rPr>
        <w:t>Học nghề, 148, 183, 222, 460</w:t>
      </w:r>
    </w:p>
    <w:p>
      <w:pPr>
        <w:spacing w:after="80"/>
        <w:ind w:left="360"/>
      </w:pPr>
      <w:r>
        <w:t xml:space="preserve">• </w:t>
      </w:r>
      <w:r>
        <w:rPr>
          <w:b w:val="0"/>
          <w:i w:val="0"/>
        </w:rPr>
        <w:t>Các buổi hội thảo Nghệ thuật của những điều khả thi (học tập của đội ngũ lãnh đạo), 27</w:t>
      </w:r>
    </w:p>
    <w:p>
      <w:pPr>
        <w:spacing w:after="80"/>
        <w:ind w:left="360"/>
      </w:pPr>
      <w:r>
        <w:t xml:space="preserve">• </w:t>
      </w:r>
      <w:r>
        <w:rPr>
          <w:b w:val="0"/>
          <w:i/>
        </w:rPr>
        <w:t>Ask Your Developer</w:t>
      </w:r>
      <w:r>
        <w:rPr>
          <w:b w:val="0"/>
          <w:i w:val="0"/>
        </w:rPr>
        <w:t xml:space="preserve"> (Lawson), 199</w:t>
      </w:r>
    </w:p>
    <w:p>
      <w:pPr>
        <w:spacing w:after="80"/>
        <w:ind w:left="360"/>
      </w:pPr>
      <w:r>
        <w:t xml:space="preserve">• </w:t>
      </w:r>
      <w:r>
        <w:rPr>
          <w:b w:val="0"/>
          <w:i w:val="0"/>
        </w:rPr>
        <w:t>Tài sản hóa, 471, 474–476, 478, 479</w:t>
      </w:r>
      <w:r>
        <w:rPr>
          <w:b w:val="0"/>
          <w:i/>
        </w:rPr>
        <w:t>e</w:t>
      </w:r>
    </w:p>
    <w:p>
      <w:pPr>
        <w:spacing w:after="80"/>
        <w:ind w:left="360"/>
      </w:pPr>
      <w:r>
        <w:t xml:space="preserve">• </w:t>
      </w:r>
      <w:r>
        <w:rPr>
          <w:b w:val="0"/>
          <w:i w:val="0"/>
        </w:rPr>
        <w:t>Bề mặt tấn công (rủi ro), 347, 512</w:t>
      </w:r>
    </w:p>
    <w:p>
      <w:pPr>
        <w:spacing w:after="80"/>
        <w:ind w:left="360"/>
      </w:pPr>
      <w:r>
        <w:t xml:space="preserve">• </w:t>
      </w:r>
      <w:r>
        <w:rPr>
          <w:b w:val="0"/>
          <w:i w:val="0"/>
        </w:rPr>
        <w:t>Khả năng kiểm toán, 90, 309</w:t>
      </w:r>
    </w:p>
    <w:p>
      <w:pPr>
        <w:spacing w:after="80"/>
        <w:ind w:left="360"/>
      </w:pPr>
      <w:r>
        <w:t xml:space="preserve">• </w:t>
      </w:r>
      <w:r>
        <w:rPr>
          <w:b w:val="0"/>
          <w:i w:val="0"/>
        </w:rPr>
        <w:t>Austin, Kevin, 555, 564</w:t>
      </w:r>
    </w:p>
    <w:p>
      <w:pPr>
        <w:spacing w:after="80"/>
        <w:ind w:left="360"/>
      </w:pPr>
      <w:r>
        <w:t xml:space="preserve">• </w:t>
      </w:r>
      <w:r>
        <w:rPr>
          <w:b w:val="0"/>
          <w:i w:val="0"/>
        </w:rPr>
        <w:t>Ra quyết định tự chủ, 347, 515</w:t>
      </w:r>
    </w:p>
    <w:p>
      <w:pPr>
        <w:spacing w:after="80"/>
        <w:ind w:left="360"/>
      </w:pPr>
      <w:r>
        <w:t xml:space="preserve">• </w:t>
      </w:r>
      <w:r>
        <w:rPr>
          <w:b w:val="0"/>
          <w:i w:val="0"/>
        </w:rPr>
        <w:t>Aviva, 460</w:t>
      </w:r>
    </w:p>
    <w:p>
      <w:pPr>
        <w:spacing w:after="80"/>
        <w:ind w:left="360"/>
      </w:pPr>
      <w:r>
        <w:t xml:space="preserve">• </w:t>
      </w:r>
      <w:r>
        <w:rPr>
          <w:b/>
          <w:i w:val="0"/>
        </w:rPr>
        <w:t>B</w:t>
      </w:r>
    </w:p>
    <w:p>
      <w:pPr>
        <w:spacing w:after="80"/>
        <w:ind w:left="360"/>
      </w:pPr>
      <w:r>
        <w:t xml:space="preserve">• </w:t>
      </w:r>
      <w:r>
        <w:rPr>
          <w:b w:val="0"/>
          <w:i w:val="0"/>
        </w:rPr>
        <w:t>Baker, David, 15</w:t>
      </w:r>
    </w:p>
    <w:p>
      <w:pPr>
        <w:spacing w:after="80"/>
        <w:ind w:left="360"/>
      </w:pPr>
      <w:r>
        <w:t xml:space="preserve">• </w:t>
      </w:r>
      <w:r>
        <w:rPr>
          <w:b w:val="0"/>
          <w:i w:val="0"/>
        </w:rPr>
        <w:t>Barra, Mary, 144</w:t>
      </w:r>
    </w:p>
    <w:p>
      <w:pPr>
        <w:spacing w:after="80"/>
        <w:ind w:left="360"/>
      </w:pPr>
      <w:r>
        <w:t xml:space="preserve">• </w:t>
      </w:r>
      <w:r>
        <w:rPr>
          <w:b w:val="0"/>
          <w:i w:val="0"/>
        </w:rPr>
        <w:t>Các chỉ số đánh giá (benchmark), 56, 69–70, 165, 169, 319, 338, 414</w:t>
      </w:r>
    </w:p>
    <w:p>
      <w:pPr>
        <w:spacing w:after="80"/>
        <w:ind w:left="360"/>
      </w:pPr>
      <w:r>
        <w:t xml:space="preserve">• </w:t>
      </w:r>
      <w:r>
        <w:rPr>
          <w:b w:val="0"/>
          <w:i w:val="0"/>
        </w:rPr>
        <w:t>Bezos, Jeff, 11, 146, 293</w:t>
      </w:r>
    </w:p>
    <w:p>
      <w:pPr>
        <w:spacing w:after="80"/>
        <w:ind w:left="360"/>
      </w:pPr>
      <w:r>
        <w:t xml:space="preserve">• </w:t>
      </w:r>
      <w:r>
        <w:rPr>
          <w:b w:val="0"/>
          <w:i w:val="0"/>
        </w:rPr>
        <w:t>Phát hiện thiên lệch (loại "eval" của GenAI), 94</w:t>
      </w:r>
    </w:p>
    <w:p>
      <w:pPr>
        <w:spacing w:after="80"/>
        <w:ind w:left="360"/>
      </w:pPr>
      <w:r>
        <w:t xml:space="preserve">• </w:t>
      </w:r>
      <w:r>
        <w:rPr>
          <w:b w:val="0"/>
          <w:i w:val="0"/>
        </w:rPr>
        <w:t>Cách tiếp cận "big bang" (mở rộng quy mô giải pháp), 470</w:t>
      </w:r>
    </w:p>
    <w:p>
      <w:pPr>
        <w:spacing w:after="80"/>
        <w:ind w:left="360"/>
      </w:pPr>
      <w:r>
        <w:t xml:space="preserve">• </w:t>
      </w:r>
      <w:r>
        <w:rPr>
          <w:b w:val="0"/>
          <w:i w:val="0"/>
        </w:rPr>
        <w:t>Bản thiết kế (blueprint), 237–254</w:t>
      </w:r>
    </w:p>
    <w:p>
      <w:pPr>
        <w:spacing w:after="80"/>
        <w:ind w:left="720"/>
      </w:pPr>
      <w:r>
        <w:t xml:space="preserve">• </w:t>
      </w:r>
      <w:r>
        <w:rPr>
          <w:b w:val="0"/>
          <w:i w:val="0"/>
        </w:rPr>
        <w:t>bản thiết kế kiến trúc, 298, 399</w:t>
      </w:r>
    </w:p>
    <w:p>
      <w:pPr>
        <w:spacing w:after="80"/>
        <w:ind w:left="720"/>
      </w:pPr>
      <w:r>
        <w:t xml:space="preserve">• </w:t>
      </w:r>
      <w:r>
        <w:rPr>
          <w:b w:val="0"/>
          <w:i w:val="0"/>
        </w:rPr>
        <w:t>cấu trúc lập luận kinh doanh (business case) cho, 241</w:t>
      </w:r>
      <w:r>
        <w:rPr>
          <w:b w:val="0"/>
          <w:i/>
        </w:rPr>
        <w:t>e</w:t>
      </w:r>
    </w:p>
    <w:p>
      <w:pPr>
        <w:spacing w:after="80"/>
        <w:ind w:left="720"/>
      </w:pPr>
      <w:r>
        <w:t xml:space="preserve">• </w:t>
      </w:r>
      <w:r>
        <w:rPr>
          <w:b w:val="0"/>
          <w:i w:val="0"/>
        </w:rPr>
        <w:t>các yếu tố của, 238</w:t>
      </w:r>
      <w:r>
        <w:rPr>
          <w:b w:val="0"/>
          <w:i/>
        </w:rPr>
        <w:t>e</w:t>
      </w:r>
    </w:p>
    <w:p>
      <w:pPr>
        <w:spacing w:after="80"/>
        <w:ind w:left="720"/>
      </w:pPr>
      <w:r>
        <w:t xml:space="preserve">• </w:t>
      </w:r>
      <w:r>
        <w:rPr>
          <w:b w:val="0"/>
          <w:i w:val="0"/>
        </w:rPr>
        <w:t>và cơ sở hạ tầng dưới dạng mã (infrastructure-as-code), 304</w:t>
      </w:r>
    </w:p>
    <w:p>
      <w:pPr>
        <w:spacing w:after="80"/>
        <w:ind w:left="720"/>
      </w:pPr>
      <w:r>
        <w:t xml:space="preserve">• </w:t>
      </w:r>
      <w:r>
        <w:rPr>
          <w:b w:val="0"/>
          <w:i w:val="0"/>
        </w:rPr>
        <w:t>hệ thống quản lý cho, 246–252</w:t>
      </w:r>
    </w:p>
    <w:p>
      <w:pPr>
        <w:spacing w:after="80"/>
        <w:ind w:left="720"/>
      </w:pPr>
      <w:r>
        <w:t xml:space="preserve">• </w:t>
      </w:r>
      <w:r>
        <w:rPr>
          <w:b w:val="0"/>
          <w:i w:val="0"/>
        </w:rPr>
        <w:t>cho các mô hình vận hành (operating model), 237, 506</w:t>
      </w:r>
    </w:p>
    <w:p>
      <w:pPr>
        <w:spacing w:after="80"/>
        <w:ind w:left="720"/>
      </w:pPr>
      <w:r>
        <w:t xml:space="preserve">• </w:t>
      </w:r>
      <w:r>
        <w:rPr>
          <w:b w:val="0"/>
          <w:i w:val="0"/>
        </w:rPr>
        <w:t>phạm vi và thiết kế đơn vị cho, 243</w:t>
      </w:r>
    </w:p>
    <w:p>
      <w:pPr>
        <w:spacing w:after="80"/>
        <w:ind w:left="720"/>
      </w:pPr>
      <w:r>
        <w:t xml:space="preserve">• </w:t>
      </w:r>
      <w:r>
        <w:rPr>
          <w:b w:val="0"/>
          <w:i w:val="0"/>
        </w:rPr>
        <w:t>các cách làm việc trong, 252–254</w:t>
      </w:r>
    </w:p>
    <w:p>
      <w:pPr>
        <w:spacing w:after="80"/>
        <w:ind w:left="360"/>
      </w:pPr>
      <w:r>
        <w:t xml:space="preserve">• </w:t>
      </w:r>
      <w:r>
        <w:rPr>
          <w:b w:val="0"/>
          <w:i w:val="0"/>
        </w:rPr>
        <w:t>Boyd, Adam, 131, 134, 136, 172</w:t>
      </w:r>
    </w:p>
    <w:p>
      <w:pPr>
        <w:spacing w:after="80"/>
        <w:ind w:left="360"/>
      </w:pPr>
      <w:r>
        <w:t xml:space="preserve">• </w:t>
      </w:r>
      <w:r>
        <w:rPr>
          <w:b w:val="0"/>
          <w:i w:val="0"/>
        </w:rPr>
        <w:t>Chiến lược tự xây dựng so với mua sẵn (build vs. buy), 106, 330, 349–350, 352, 355</w:t>
      </w:r>
    </w:p>
    <w:p>
      <w:pPr>
        <w:spacing w:after="80"/>
        <w:ind w:left="360"/>
      </w:pPr>
      <w:r>
        <w:t xml:space="preserve">• </w:t>
      </w:r>
      <w:r>
        <w:rPr>
          <w:b w:val="0"/>
          <w:i w:val="0"/>
        </w:rPr>
        <w:t>Tỷ lệ xây dựng trên kiểm thử (build-to-test) (các luồng công việc tác tử), 346</w:t>
      </w:r>
    </w:p>
    <w:p>
      <w:pPr>
        <w:spacing w:after="80"/>
        <w:ind w:left="360"/>
      </w:pPr>
      <w:r>
        <w:t xml:space="preserve">• </w:t>
      </w:r>
      <w:r>
        <w:rPr>
          <w:b w:val="0"/>
          <w:i w:val="0"/>
        </w:rPr>
        <w:t>Các trường hợp kinh doanh:</w:t>
      </w:r>
    </w:p>
    <w:p>
      <w:pPr>
        <w:spacing w:after="80"/>
        <w:ind w:left="720"/>
      </w:pPr>
      <w:r>
        <w:t xml:space="preserve">• </w:t>
      </w:r>
      <w:r>
        <w:rPr>
          <w:b w:val="0"/>
          <w:i w:val="0"/>
        </w:rPr>
        <w:t>và sự liên kết, 40</w:t>
      </w:r>
    </w:p>
    <w:p>
      <w:pPr>
        <w:spacing w:after="80"/>
        <w:ind w:left="720"/>
      </w:pPr>
      <w:r>
        <w:t xml:space="preserve">• </w:t>
      </w:r>
      <w:r>
        <w:rPr>
          <w:b w:val="0"/>
          <w:i w:val="0"/>
        </w:rPr>
        <w:t>vai trò của CFO trong đó, 117</w:t>
      </w:r>
    </w:p>
    <w:p>
      <w:pPr>
        <w:spacing w:after="80"/>
        <w:ind w:left="720"/>
      </w:pPr>
      <w:r>
        <w:t xml:space="preserve">• </w:t>
      </w:r>
      <w:r>
        <w:rPr>
          <w:b w:val="0"/>
          <w:i w:val="0"/>
        </w:rPr>
        <w:t>những thách thức về quản lý thay đổi của nó, 514</w:t>
      </w:r>
    </w:p>
    <w:p>
      <w:pPr>
        <w:spacing w:after="80"/>
        <w:ind w:left="720"/>
      </w:pPr>
      <w:r>
        <w:t xml:space="preserve">• </w:t>
      </w:r>
      <w:r>
        <w:rPr>
          <w:b w:val="0"/>
          <w:i w:val="0"/>
        </w:rPr>
        <w:t>cấu trúc cho, 241</w:t>
      </w:r>
      <w:r>
        <w:rPr>
          <w:b w:val="0"/>
          <w:i/>
        </w:rPr>
        <w:t>e</w:t>
      </w:r>
    </w:p>
    <w:p>
      <w:pPr>
        <w:spacing w:after="80"/>
        <w:ind w:left="720"/>
      </w:pPr>
      <w:r>
        <w:t xml:space="preserve">• </w:t>
      </w:r>
      <w:r>
        <w:rPr>
          <w:b w:val="0"/>
          <w:i w:val="0"/>
        </w:rPr>
        <w:t>việc thu thập dữ liệu cho, 441</w:t>
      </w:r>
    </w:p>
    <w:p>
      <w:pPr>
        <w:spacing w:after="80"/>
        <w:ind w:left="720"/>
      </w:pPr>
      <w:r>
        <w:t xml:space="preserve">• </w:t>
      </w:r>
      <w:r>
        <w:rPr>
          <w:b w:val="0"/>
          <w:i w:val="0"/>
        </w:rPr>
        <w:t>các sản phẩm dữ liệu cho, 379–380, 382, 410</w:t>
      </w:r>
    </w:p>
    <w:p>
      <w:pPr>
        <w:spacing w:after="80"/>
        <w:ind w:left="720"/>
      </w:pPr>
      <w:r>
        <w:t xml:space="preserve">• </w:t>
      </w:r>
      <w:r>
        <w:rPr>
          <w:b w:val="0"/>
          <w:i w:val="0"/>
        </w:rPr>
        <w:t>việc xác định, 243</w:t>
      </w:r>
    </w:p>
    <w:p>
      <w:pPr>
        <w:spacing w:after="80"/>
        <w:ind w:left="720"/>
      </w:pPr>
      <w:r>
        <w:t xml:space="preserve">• </w:t>
      </w:r>
      <w:r>
        <w:rPr>
          <w:b w:val="0"/>
          <w:i w:val="0"/>
        </w:rPr>
        <w:t>nguồn tài trợ cho, 248, 506</w:t>
      </w:r>
    </w:p>
    <w:p>
      <w:pPr>
        <w:spacing w:after="80"/>
        <w:ind w:left="720"/>
      </w:pPr>
      <w:r>
        <w:t xml:space="preserve">• </w:t>
      </w:r>
      <w:r>
        <w:rPr>
          <w:b w:val="0"/>
          <w:i w:val="0"/>
        </w:rPr>
        <w:t>và rủi ro, 76</w:t>
      </w:r>
    </w:p>
    <w:p>
      <w:pPr>
        <w:spacing w:after="80"/>
        <w:ind w:left="720"/>
      </w:pPr>
      <w:r>
        <w:t xml:space="preserve">• </w:t>
      </w:r>
      <w:r>
        <w:rPr>
          <w:b w:val="0"/>
          <w:i w:val="0"/>
        </w:rPr>
        <w:t>ROI của nó, 488</w:t>
      </w:r>
    </w:p>
    <w:p>
      <w:pPr>
        <w:spacing w:after="80"/>
        <w:ind w:left="720"/>
      </w:pPr>
      <w:r>
        <w:t xml:space="preserve">• </w:t>
      </w:r>
      <w:r>
        <w:rPr>
          <w:b w:val="0"/>
          <w:i w:val="0"/>
        </w:rPr>
        <w:t>những thách thức về công nghệ của nó, 508</w:t>
      </w:r>
    </w:p>
    <w:p>
      <w:pPr>
        <w:spacing w:after="80"/>
        <w:ind w:left="720"/>
      </w:pPr>
      <w:r>
        <w:t xml:space="preserve">• </w:t>
      </w:r>
      <w:r>
        <w:rPr>
          <w:b w:val="0"/>
          <w:i w:val="0"/>
        </w:rPr>
        <w:t>và trải nghiệm người dùng, 545</w:t>
      </w:r>
    </w:p>
    <w:p>
      <w:pPr>
        <w:spacing w:after="80"/>
        <w:ind w:left="360"/>
      </w:pPr>
      <w:r>
        <w:t xml:space="preserve">• </w:t>
      </w:r>
      <w:r>
        <w:rPr>
          <w:b w:val="0"/>
          <w:i w:val="0"/>
        </w:rPr>
        <w:t>Các lĩnh vực kinh doanh, 49–61</w:t>
      </w:r>
    </w:p>
    <w:p>
      <w:pPr>
        <w:spacing w:after="80"/>
        <w:ind w:left="720"/>
      </w:pPr>
      <w:r>
        <w:t xml:space="preserve">• </w:t>
      </w:r>
      <w:r>
        <w:rPr>
          <w:b w:val="0"/>
          <w:i w:val="0"/>
        </w:rPr>
        <w:t>những cơ hội đột phá cho, 59</w:t>
      </w:r>
      <w:r>
        <w:rPr>
          <w:b w:val="0"/>
          <w:i/>
        </w:rPr>
        <w:t>e</w:t>
      </w:r>
    </w:p>
    <w:p>
      <w:pPr>
        <w:spacing w:after="80"/>
        <w:ind w:left="720"/>
      </w:pPr>
      <w:r>
        <w:t xml:space="preserve">• </w:t>
      </w:r>
      <w:r>
        <w:rPr>
          <w:b w:val="0"/>
          <w:i w:val="0"/>
        </w:rPr>
        <w:t>việc xây dựng, 58–60</w:t>
      </w:r>
    </w:p>
    <w:p>
      <w:pPr>
        <w:spacing w:after="80"/>
        <w:ind w:left="720"/>
      </w:pPr>
      <w:r>
        <w:t xml:space="preserve">• </w:t>
      </w:r>
      <w:r>
        <w:rPr>
          <w:b w:val="0"/>
          <w:i w:val="0"/>
        </w:rPr>
        <w:t>và các yếu tố dữ liệu, 381</w:t>
      </w:r>
      <w:r>
        <w:rPr>
          <w:b w:val="0"/>
          <w:i/>
        </w:rPr>
        <w:t>e</w:t>
      </w:r>
    </w:p>
    <w:p>
      <w:pPr>
        <w:spacing w:after="80"/>
        <w:ind w:left="720"/>
      </w:pPr>
      <w:r>
        <w:t xml:space="preserve">• </w:t>
      </w:r>
      <w:r>
        <w:rPr>
          <w:b w:val="0"/>
          <w:i w:val="0"/>
        </w:rPr>
        <w:t>trong mô hình phân tán, 219</w:t>
      </w:r>
    </w:p>
    <w:p>
      <w:pPr>
        <w:spacing w:after="80"/>
        <w:ind w:left="720"/>
      </w:pPr>
      <w:r>
        <w:t xml:space="preserve">• </w:t>
      </w:r>
      <w:r>
        <w:rPr>
          <w:b w:val="0"/>
          <w:i w:val="0"/>
        </w:rPr>
        <w:t>cách tiếp cận dựa trên lĩnh vực đối với, 50–52</w:t>
      </w:r>
    </w:p>
    <w:p>
      <w:pPr>
        <w:spacing w:after="80"/>
        <w:ind w:left="720"/>
      </w:pPr>
      <w:r>
        <w:t xml:space="preserve">• </w:t>
      </w:r>
      <w:r>
        <w:rPr>
          <w:b w:val="0"/>
          <w:i w:val="0"/>
        </w:rPr>
        <w:t>cách tiếp cận DVD (domain-to-value delivery - chuyển giao từ lĩnh vực đến giá trị) đối với, 64–66</w:t>
      </w:r>
    </w:p>
    <w:p>
      <w:pPr>
        <w:spacing w:after="80"/>
        <w:ind w:left="720"/>
      </w:pPr>
      <w:r>
        <w:t xml:space="preserve">• </w:t>
      </w:r>
      <w:r>
        <w:rPr>
          <w:b w:val="0"/>
          <w:i w:val="0"/>
        </w:rPr>
        <w:t>các ngọn hải đăng cho (chuyển dịch văn hóa), 528</w:t>
      </w:r>
    </w:p>
    <w:p>
      <w:pPr>
        <w:spacing w:after="80"/>
        <w:ind w:left="720"/>
      </w:pPr>
      <w:r>
        <w:t xml:space="preserve">• </w:t>
      </w:r>
      <w:r>
        <w:rPr>
          <w:b w:val="0"/>
          <w:i w:val="0"/>
        </w:rPr>
        <w:t>ưu tiên hóa, 55–58</w:t>
      </w:r>
    </w:p>
    <w:p>
      <w:pPr>
        <w:spacing w:after="80"/>
        <w:ind w:left="720"/>
      </w:pPr>
      <w:r>
        <w:t xml:space="preserve">• </w:t>
      </w:r>
      <w:r>
        <w:rPr>
          <w:b w:val="0"/>
          <w:i w:val="0"/>
        </w:rPr>
        <w:t>tỷ lệ vượt qua stage-gate cho, 61</w:t>
      </w:r>
      <w:r>
        <w:rPr>
          <w:b w:val="0"/>
          <w:i/>
        </w:rPr>
        <w:t>e</w:t>
      </w:r>
    </w:p>
    <w:p>
      <w:pPr>
        <w:spacing w:after="80"/>
        <w:ind w:left="720"/>
      </w:pPr>
      <w:r>
        <w:t xml:space="preserve">• </w:t>
      </w:r>
      <w:r>
        <w:rPr>
          <w:b w:val="0"/>
          <w:i w:val="0"/>
        </w:rPr>
        <w:t>kiến trúc chuyển đổi của, 54</w:t>
      </w:r>
      <w:r>
        <w:rPr>
          <w:b w:val="0"/>
          <w:i/>
        </w:rPr>
        <w:t>e</w:t>
      </w:r>
    </w:p>
    <w:p>
      <w:pPr>
        <w:spacing w:after="80"/>
        <w:ind w:left="720"/>
      </w:pPr>
      <w:r>
        <w:t xml:space="preserve">• </w:t>
      </w:r>
      <w:r>
        <w:rPr>
          <w:b w:val="0"/>
          <w:i w:val="0"/>
        </w:rPr>
        <w:t>các yếu tố chuyển đổi của, 53</w:t>
      </w:r>
    </w:p>
    <w:p>
      <w:pPr>
        <w:spacing w:after="80"/>
        <w:ind w:left="360"/>
      </w:pPr>
      <w:r>
        <w:t xml:space="preserve">• </w:t>
      </w:r>
      <w:r>
        <w:rPr>
          <w:b w:val="0"/>
          <w:i w:val="0"/>
        </w:rPr>
        <w:t>Mô hình kinh doanh, 31, 265–272</w:t>
      </w:r>
    </w:p>
    <w:p>
      <w:pPr>
        <w:spacing w:after="80"/>
        <w:ind w:left="360"/>
      </w:pPr>
      <w:r>
        <w:t xml:space="preserve">• </w:t>
      </w:r>
      <w:r>
        <w:rPr>
          <w:b w:val="0"/>
          <w:i w:val="0"/>
        </w:rPr>
        <w:t>Chuyển giao do doanh nghiệp dẫn dắt, 139</w:t>
      </w:r>
    </w:p>
    <w:p>
      <w:pPr>
        <w:spacing w:after="80"/>
        <w:ind w:left="360"/>
      </w:pPr>
      <w:r>
        <w:t xml:space="preserve">• </w:t>
      </w:r>
      <w:r>
        <w:rPr>
          <w:b/>
          <w:i w:val="0"/>
        </w:rPr>
        <w:t>C</w:t>
      </w:r>
    </w:p>
    <w:p>
      <w:pPr>
        <w:spacing w:after="80"/>
        <w:ind w:left="360"/>
      </w:pPr>
      <w:r>
        <w:t xml:space="preserve">• </w:t>
      </w:r>
      <w:r>
        <w:rPr>
          <w:b w:val="0"/>
          <w:i w:val="0"/>
        </w:rPr>
        <w:t>Lỗi hiệu chuẩn (loại “eval”), 94</w:t>
      </w:r>
    </w:p>
    <w:p>
      <w:pPr>
        <w:spacing w:after="80"/>
        <w:ind w:left="360"/>
      </w:pPr>
      <w:r>
        <w:t xml:space="preserve">• </w:t>
      </w:r>
      <w:r>
        <w:rPr>
          <w:b w:val="0"/>
          <w:i w:val="0"/>
        </w:rPr>
        <w:t>Xây dựng năng lực, 97–109</w:t>
      </w:r>
    </w:p>
    <w:p>
      <w:pPr>
        <w:spacing w:after="80"/>
        <w:ind w:left="720"/>
      </w:pPr>
      <w:r>
        <w:t xml:space="preserve">• </w:t>
      </w:r>
      <w:r>
        <w:rPr>
          <w:b w:val="0"/>
          <w:i w:val="0"/>
        </w:rPr>
        <w:t>các bootcamp cho, 77</w:t>
      </w:r>
    </w:p>
    <w:p>
      <w:pPr>
        <w:spacing w:after="80"/>
        <w:ind w:left="720"/>
      </w:pPr>
      <w:r>
        <w:t xml:space="preserve">• </w:t>
      </w:r>
      <w:r>
        <w:rPr>
          <w:b w:val="0"/>
          <w:i w:val="0"/>
        </w:rPr>
        <w:t>công nghệ build vs. buy cho, 106</w:t>
      </w:r>
    </w:p>
    <w:p>
      <w:pPr>
        <w:spacing w:after="80"/>
        <w:ind w:left="720"/>
      </w:pPr>
      <w:r>
        <w:t xml:space="preserve">• </w:t>
      </w:r>
      <w:r>
        <w:rPr>
          <w:b w:val="0"/>
          <w:i w:val="0"/>
        </w:rPr>
        <w:t>ví dụ về, 102</w:t>
      </w:r>
      <w:r>
        <w:rPr>
          <w:b w:val="0"/>
          <w:i/>
        </w:rPr>
        <w:t>e</w:t>
      </w:r>
    </w:p>
    <w:p>
      <w:pPr>
        <w:spacing w:after="80"/>
        <w:ind w:left="720"/>
      </w:pPr>
      <w:r>
        <w:t xml:space="preserve">• </w:t>
      </w:r>
      <w:r>
        <w:rPr>
          <w:b w:val="0"/>
          <w:i w:val="0"/>
        </w:rPr>
        <w:t>động lực cho, 138</w:t>
      </w:r>
    </w:p>
    <w:p>
      <w:pPr>
        <w:spacing w:after="80"/>
        <w:ind w:left="720"/>
      </w:pPr>
      <w:r>
        <w:t xml:space="preserve">• </w:t>
      </w:r>
      <w:r>
        <w:rPr>
          <w:b w:val="0"/>
          <w:i w:val="0"/>
        </w:rPr>
        <w:t>đội ngũ nội bộ so với thuê ngoài cho, 103–106</w:t>
      </w:r>
    </w:p>
    <w:p>
      <w:pPr>
        <w:spacing w:after="80"/>
        <w:ind w:left="720"/>
      </w:pPr>
      <w:r>
        <w:t xml:space="preserve">• </w:t>
      </w:r>
      <w:r>
        <w:rPr>
          <w:b w:val="0"/>
          <w:i w:val="0"/>
        </w:rPr>
        <w:t>các dấu hiệu trưởng thành cho, 100</w:t>
      </w:r>
      <w:r>
        <w:rPr>
          <w:b w:val="0"/>
          <w:i/>
        </w:rPr>
        <w:t>e</w:t>
      </w:r>
    </w:p>
    <w:p>
      <w:pPr>
        <w:spacing w:after="80"/>
        <w:ind w:left="720"/>
      </w:pPr>
      <w:r>
        <w:t xml:space="preserve">• </w:t>
      </w:r>
      <w:r>
        <w:rPr>
          <w:b w:val="0"/>
          <w:i w:val="0"/>
        </w:rPr>
        <w:t>các chỉ số cho, 492</w:t>
      </w:r>
    </w:p>
    <w:p>
      <w:pPr>
        <w:spacing w:after="80"/>
        <w:ind w:left="720"/>
      </w:pPr>
      <w:r>
        <w:t xml:space="preserve">• </w:t>
      </w:r>
      <w:r>
        <w:rPr>
          <w:b w:val="0"/>
          <w:i w:val="0"/>
        </w:rPr>
        <w:t>theo thời gian, 102</w:t>
      </w:r>
      <w:r>
        <w:rPr>
          <w:b w:val="0"/>
          <w:i/>
        </w:rPr>
        <w:t>e</w:t>
      </w:r>
    </w:p>
    <w:p>
      <w:pPr>
        <w:spacing w:after="80"/>
        <w:ind w:left="720"/>
      </w:pPr>
      <w:r>
        <w:t xml:space="preserve">• </w:t>
      </w:r>
      <w:r>
        <w:rPr>
          <w:b w:val="0"/>
          <w:i w:val="0"/>
        </w:rPr>
        <w:t>hợp tác cho, 107–109</w:t>
      </w:r>
    </w:p>
    <w:p>
      <w:pPr>
        <w:spacing w:after="80"/>
        <w:ind w:left="360"/>
      </w:pPr>
      <w:r>
        <w:t xml:space="preserve">• </w:t>
      </w:r>
      <w:r>
        <w:rPr>
          <w:b w:val="0"/>
          <w:i w:val="0"/>
        </w:rPr>
        <w:t>Nền tảng năng lực dưới dạng dịch vụ (Capability-as-a-service - CaaS), 286</w:t>
      </w:r>
    </w:p>
    <w:p>
      <w:pPr>
        <w:spacing w:after="80"/>
        <w:ind w:left="360"/>
      </w:pPr>
      <w:r>
        <w:t xml:space="preserve">• </w:t>
      </w:r>
      <w:r>
        <w:rPr>
          <w:b w:val="0"/>
          <w:i w:val="0"/>
        </w:rPr>
        <w:t>Chakravarthy, Anil, 393</w:t>
      </w:r>
    </w:p>
    <w:p>
      <w:pPr>
        <w:spacing w:after="80"/>
        <w:ind w:left="360"/>
      </w:pPr>
      <w:r>
        <w:t xml:space="preserve">• </w:t>
      </w:r>
      <w:r>
        <w:rPr>
          <w:b w:val="0"/>
          <w:i w:val="0"/>
        </w:rPr>
        <w:t>Các nhân tố thay đổi, 206</w:t>
      </w:r>
      <w:r>
        <w:rPr>
          <w:b w:val="0"/>
          <w:i/>
        </w:rPr>
        <w:t>n</w:t>
      </w:r>
      <w:r>
        <w:rPr>
          <w:b w:val="0"/>
          <w:i w:val="0"/>
        </w:rPr>
        <w:t>2, 206</w:t>
      </w:r>
      <w:r>
        <w:rPr>
          <w:b w:val="0"/>
          <w:i/>
        </w:rPr>
        <w:t>e</w:t>
      </w:r>
      <w:r>
        <w:rPr>
          <w:b w:val="0"/>
          <w:i w:val="0"/>
        </w:rPr>
        <w:t>, 532</w:t>
      </w:r>
    </w:p>
    <w:p>
      <w:pPr>
        <w:spacing w:after="80"/>
        <w:ind w:left="360"/>
      </w:pPr>
      <w:r>
        <w:t xml:space="preserve">• </w:t>
      </w:r>
      <w:r>
        <w:rPr>
          <w:b w:val="0"/>
          <w:i w:val="0"/>
        </w:rPr>
        <w:t>Quản lý thay đổi:</w:t>
      </w:r>
    </w:p>
    <w:p>
      <w:pPr>
        <w:spacing w:after="80"/>
        <w:ind w:left="720"/>
      </w:pPr>
      <w:r>
        <w:t xml:space="preserve">• </w:t>
      </w:r>
      <w:r>
        <w:rPr>
          <w:b w:val="0"/>
          <w:i w:val="0"/>
        </w:rPr>
        <w:t>kỹ năng chấp nhận cho, 465</w:t>
      </w:r>
    </w:p>
    <w:p>
      <w:pPr>
        <w:spacing w:after="80"/>
        <w:ind w:left="720"/>
      </w:pPr>
      <w:r>
        <w:t xml:space="preserve">• </w:t>
      </w:r>
      <w:r>
        <w:rPr>
          <w:b w:val="0"/>
          <w:i w:val="0"/>
        </w:rPr>
        <w:t>những thách thức của, 508–509</w:t>
      </w:r>
    </w:p>
    <w:p>
      <w:pPr>
        <w:spacing w:after="80"/>
        <w:ind w:left="720"/>
      </w:pPr>
      <w:r>
        <w:t xml:space="preserve">• </w:t>
      </w:r>
      <w:r>
        <w:rPr>
          <w:b w:val="0"/>
          <w:i w:val="0"/>
        </w:rPr>
        <w:t>trong các lĩnh vực, 52</w:t>
      </w:r>
    </w:p>
    <w:p>
      <w:pPr>
        <w:spacing w:after="80"/>
        <w:ind w:left="720"/>
      </w:pPr>
      <w:r>
        <w:t xml:space="preserve">• </w:t>
      </w:r>
      <w:r>
        <w:rPr>
          <w:b w:val="0"/>
          <w:i w:val="0"/>
        </w:rPr>
        <w:t>đầu-cuối, 133</w:t>
      </w:r>
    </w:p>
    <w:p>
      <w:pPr>
        <w:spacing w:after="80"/>
        <w:ind w:left="720"/>
      </w:pPr>
      <w:r>
        <w:t xml:space="preserve">• </w:t>
      </w:r>
      <w:r>
        <w:rPr>
          <w:b w:val="0"/>
          <w:i w:val="0"/>
        </w:rPr>
        <w:t>trong các kế hoạch triển khai, 90, 111</w:t>
      </w:r>
    </w:p>
    <w:p>
      <w:pPr>
        <w:spacing w:after="80"/>
        <w:ind w:left="720"/>
      </w:pPr>
      <w:r>
        <w:t xml:space="preserve">• </w:t>
      </w:r>
      <w:r>
        <w:rPr>
          <w:b w:val="0"/>
          <w:i w:val="0"/>
        </w:rPr>
        <w:t>tầm quan trọng của, 75</w:t>
      </w:r>
    </w:p>
    <w:p>
      <w:pPr>
        <w:spacing w:after="80"/>
        <w:ind w:left="720"/>
      </w:pPr>
      <w:r>
        <w:t xml:space="preserve">• </w:t>
      </w:r>
      <w:r>
        <w:rPr>
          <w:b w:val="0"/>
          <w:i w:val="0"/>
        </w:rPr>
        <w:t>các chỉ số cho, 492</w:t>
      </w:r>
    </w:p>
    <w:p>
      <w:pPr>
        <w:spacing w:after="80"/>
        <w:ind w:left="720"/>
      </w:pPr>
      <w:r>
        <w:t xml:space="preserve">• </w:t>
      </w:r>
      <w:r>
        <w:rPr>
          <w:b w:val="0"/>
          <w:i w:val="0"/>
        </w:rPr>
        <w:t>quyền sở hữu đối với, 132</w:t>
      </w:r>
    </w:p>
    <w:p>
      <w:pPr>
        <w:spacing w:after="80"/>
        <w:ind w:left="720"/>
      </w:pPr>
      <w:r>
        <w:t xml:space="preserve">• </w:t>
      </w:r>
      <w:r>
        <w:rPr>
          <w:b w:val="0"/>
          <w:i w:val="0"/>
        </w:rPr>
        <w:t>trong giai đoạn sản xuất, 205</w:t>
      </w:r>
    </w:p>
    <w:p>
      <w:pPr>
        <w:spacing w:after="80"/>
        <w:ind w:left="720"/>
      </w:pPr>
      <w:r>
        <w:t xml:space="preserve">• </w:t>
      </w:r>
      <w:r>
        <w:rPr>
          <w:b w:val="0"/>
          <w:i w:val="0"/>
        </w:rPr>
        <w:t>nâng cao kỹ năng trong, 138</w:t>
      </w:r>
    </w:p>
    <w:p>
      <w:pPr>
        <w:spacing w:after="80"/>
        <w:ind w:left="720"/>
      </w:pPr>
      <w:r>
        <w:t xml:space="preserve">• </w:t>
      </w:r>
      <w:r>
        <w:rPr>
          <w:b w:val="0"/>
          <w:i w:val="0"/>
        </w:rPr>
        <w:t>và trải nghiệm người dùng, 462–463</w:t>
      </w:r>
    </w:p>
    <w:p>
      <w:pPr>
        <w:spacing w:after="80"/>
        <w:ind w:left="360"/>
      </w:pPr>
      <w:r>
        <w:t xml:space="preserve">• </w:t>
      </w:r>
      <w:r>
        <w:rPr>
          <w:b w:val="0"/>
          <w:i w:val="0"/>
        </w:rPr>
        <w:t>Phạm vi thay đổi so với vận hành (mô hình hoạt động), 242</w:t>
      </w:r>
    </w:p>
    <w:p>
      <w:pPr>
        <w:spacing w:after="80"/>
        <w:ind w:left="360"/>
      </w:pPr>
      <w:r>
        <w:t xml:space="preserve">• </w:t>
      </w:r>
      <w:r>
        <w:rPr>
          <w:b w:val="0"/>
          <w:i w:val="0"/>
        </w:rPr>
        <w:t>Các chương, 222–223, 243, 252, 262, 270, 587</w:t>
      </w:r>
    </w:p>
    <w:p>
      <w:pPr>
        <w:spacing w:after="80"/>
        <w:ind w:left="360"/>
      </w:pPr>
      <w:r>
        <w:t xml:space="preserve">• </w:t>
      </w:r>
      <w:r>
        <w:rPr>
          <w:b w:val="0"/>
          <w:i w:val="0"/>
        </w:rPr>
        <w:t>ChatGPT, 83</w:t>
      </w:r>
    </w:p>
    <w:p>
      <w:pPr>
        <w:spacing w:after="80"/>
        <w:ind w:left="360"/>
      </w:pPr>
      <w:r>
        <w:t xml:space="preserve">• </w:t>
      </w:r>
      <w:r>
        <w:rPr>
          <w:b w:val="0"/>
          <w:i w:val="0"/>
        </w:rPr>
        <w:t>Giám đốc AI (Chief AI officers), 21, 116</w:t>
      </w:r>
    </w:p>
    <w:p>
      <w:pPr>
        <w:spacing w:after="80"/>
        <w:ind w:left="360"/>
      </w:pPr>
      <w:r>
        <w:t xml:space="preserve">• </w:t>
      </w:r>
      <w:r>
        <w:rPr>
          <w:b w:val="0"/>
          <w:i w:val="0"/>
        </w:rPr>
        <w:t>Giám đốc dữ liệu và AI (CDAIOs), 418</w:t>
      </w:r>
    </w:p>
    <w:p>
      <w:pPr>
        <w:spacing w:after="80"/>
        <w:ind w:left="360"/>
      </w:pPr>
      <w:r>
        <w:t xml:space="preserve">• </w:t>
      </w:r>
      <w:r>
        <w:rPr>
          <w:b w:val="0"/>
          <w:i w:val="0"/>
        </w:rPr>
        <w:t>Giám đốc dữ liệu (Chief data officers), 116, 418, 423</w:t>
      </w:r>
    </w:p>
    <w:p>
      <w:pPr>
        <w:spacing w:after="80"/>
        <w:ind w:left="360"/>
      </w:pPr>
      <w:r>
        <w:t xml:space="preserve">• </w:t>
      </w:r>
      <w:r>
        <w:rPr>
          <w:b w:val="0"/>
          <w:i w:val="0"/>
        </w:rPr>
        <w:t>Giám đốc kỹ thuật số (Chief digital officers), 115</w:t>
      </w:r>
    </w:p>
    <w:p>
      <w:pPr>
        <w:spacing w:after="80"/>
        <w:ind w:left="360"/>
      </w:pPr>
      <w:r>
        <w:t xml:space="preserve">• </w:t>
      </w:r>
      <w:r>
        <w:rPr>
          <w:b w:val="0"/>
          <w:i w:val="0"/>
        </w:rPr>
        <w:t>Giám đốc điều hành (CEOs), 20–21, 113, 194, 286, 465, 506, 508, 526</w:t>
      </w:r>
    </w:p>
    <w:p>
      <w:pPr>
        <w:spacing w:after="80"/>
        <w:ind w:left="360"/>
      </w:pPr>
      <w:r>
        <w:t xml:space="preserve">• </w:t>
      </w:r>
      <w:r>
        <w:rPr>
          <w:b w:val="0"/>
          <w:i w:val="0"/>
        </w:rPr>
        <w:t>Giám đốc tài chính (CFOs), 20, 117, 248, 258, 379, 498, 569</w:t>
      </w:r>
    </w:p>
    <w:p>
      <w:pPr>
        <w:spacing w:after="80"/>
        <w:ind w:left="360"/>
      </w:pPr>
      <w:r>
        <w:t xml:space="preserve">• </w:t>
      </w:r>
      <w:r>
        <w:rPr>
          <w:b w:val="0"/>
          <w:i w:val="0"/>
        </w:rPr>
        <w:t>Giám đốc nhân sự (CHROs), 116–117, 164, 172–173, 185</w:t>
      </w:r>
    </w:p>
    <w:p>
      <w:pPr>
        <w:spacing w:after="80"/>
        <w:ind w:left="360"/>
      </w:pPr>
      <w:r>
        <w:t xml:space="preserve">• </w:t>
      </w:r>
      <w:r>
        <w:rPr>
          <w:b w:val="0"/>
          <w:i w:val="0"/>
        </w:rPr>
        <w:t>Giám đốc thông tin (CIO), 20–21, 115, 141–142, 148, 153, 172, 434, 506</w:t>
      </w:r>
    </w:p>
    <w:p>
      <w:pPr>
        <w:spacing w:after="80"/>
        <w:ind w:left="360"/>
      </w:pPr>
      <w:r>
        <w:t xml:space="preserve">• </w:t>
      </w:r>
      <w:r>
        <w:rPr>
          <w:b w:val="0"/>
          <w:i w:val="0"/>
        </w:rPr>
        <w:t>Giám đốc rủi ro (CRO), 118</w:t>
      </w:r>
    </w:p>
    <w:p>
      <w:pPr>
        <w:spacing w:after="80"/>
        <w:ind w:left="360"/>
      </w:pPr>
      <w:r>
        <w:t xml:space="preserve">• </w:t>
      </w:r>
      <w:r>
        <w:rPr>
          <w:b w:val="0"/>
          <w:i w:val="0"/>
        </w:rPr>
        <w:t>Giám đốc công nghệ, 115</w:t>
      </w:r>
    </w:p>
    <w:p>
      <w:pPr>
        <w:spacing w:after="80"/>
        <w:ind w:left="360"/>
      </w:pPr>
      <w:r>
        <w:t xml:space="preserve">• </w:t>
      </w:r>
      <w:r>
        <w:rPr>
          <w:b w:val="0"/>
          <w:i w:val="0"/>
        </w:rPr>
        <w:t>Giám đốc chuyển đổi, 114</w:t>
      </w:r>
    </w:p>
    <w:p>
      <w:pPr>
        <w:spacing w:after="80"/>
        <w:ind w:left="360"/>
      </w:pPr>
      <w:r>
        <w:t xml:space="preserve">• </w:t>
      </w:r>
      <w:r>
        <w:rPr>
          <w:b w:val="0"/>
          <w:i w:val="0"/>
        </w:rPr>
        <w:t>Đường ống CI/CD (tích hợp liên tục và chuyển giao liên tục), 304–305, 309, 353</w:t>
      </w:r>
    </w:p>
    <w:p>
      <w:pPr>
        <w:spacing w:after="80"/>
        <w:ind w:left="360"/>
      </w:pPr>
      <w:r>
        <w:t xml:space="preserve">• </w:t>
      </w:r>
      <w:r>
        <w:rPr>
          <w:b w:val="0"/>
          <w:i w:val="0"/>
        </w:rPr>
        <w:t>Cisco, 80, 184</w:t>
      </w:r>
    </w:p>
    <w:p>
      <w:pPr>
        <w:spacing w:after="80"/>
        <w:ind w:left="360"/>
      </w:pPr>
      <w:r>
        <w:t xml:space="preserve">• </w:t>
      </w:r>
      <w:r>
        <w:rPr>
          <w:b w:val="0"/>
          <w:i w:val="0"/>
        </w:rPr>
        <w:t>Citizens Bank, 131–132</w:t>
      </w:r>
    </w:p>
    <w:p>
      <w:pPr>
        <w:spacing w:after="80"/>
        <w:ind w:left="360"/>
      </w:pPr>
      <w:r>
        <w:t xml:space="preserve">• </w:t>
      </w:r>
      <w:r>
        <w:rPr>
          <w:b w:val="0"/>
          <w:i w:val="0"/>
        </w:rPr>
        <w:t>Xét duyệt yêu cầu bồi thường, 90, 343, 344</w:t>
      </w:r>
      <w:r>
        <w:rPr>
          <w:b w:val="0"/>
          <w:i/>
        </w:rPr>
        <w:t>e</w:t>
      </w:r>
    </w:p>
    <w:p>
      <w:pPr>
        <w:spacing w:after="80"/>
        <w:ind w:left="360"/>
      </w:pPr>
      <w:r>
        <w:t xml:space="preserve">• </w:t>
      </w:r>
      <w:r>
        <w:rPr>
          <w:b w:val="0"/>
          <w:i w:val="0"/>
        </w:rPr>
        <w:t>Kỹ sư đám mây, 170, 171</w:t>
      </w:r>
      <w:r>
        <w:rPr>
          <w:b w:val="0"/>
          <w:i/>
        </w:rPr>
        <w:t>e</w:t>
      </w:r>
      <w:r>
        <w:rPr>
          <w:b w:val="0"/>
          <w:i w:val="0"/>
        </w:rPr>
        <w:t>, 204</w:t>
      </w:r>
      <w:r>
        <w:rPr>
          <w:b w:val="0"/>
          <w:i/>
        </w:rPr>
        <w:t>n</w:t>
      </w:r>
      <w:r>
        <w:rPr>
          <w:b w:val="0"/>
          <w:i w:val="0"/>
        </w:rPr>
        <w:t>1</w:t>
      </w:r>
    </w:p>
    <w:p>
      <w:pPr>
        <w:spacing w:after="80"/>
        <w:ind w:left="360"/>
      </w:pPr>
      <w:r>
        <w:t xml:space="preserve">• </w:t>
      </w:r>
      <w:r>
        <w:rPr>
          <w:b w:val="0"/>
          <w:i w:val="0"/>
        </w:rPr>
        <w:t>Nhà cung cấp dịch vụ đám mây (CSP), 108, 308, 349</w:t>
      </w:r>
    </w:p>
    <w:p>
      <w:pPr>
        <w:spacing w:after="80"/>
        <w:ind w:left="360"/>
      </w:pPr>
      <w:r>
        <w:t xml:space="preserve">• </w:t>
      </w:r>
      <w:r>
        <w:rPr>
          <w:b w:val="0"/>
          <w:i w:val="0"/>
        </w:rPr>
        <w:t>Thù lao, 159, 165, 169, 170, 222, 413, 504, 547</w:t>
      </w:r>
    </w:p>
    <w:p>
      <w:pPr>
        <w:spacing w:after="80"/>
        <w:ind w:left="360"/>
      </w:pPr>
      <w:r>
        <w:t xml:space="preserve">• </w:t>
      </w:r>
      <w:r>
        <w:rPr>
          <w:b w:val="0"/>
          <w:i w:val="0"/>
        </w:rPr>
        <w:t>Chỉ số cấu hình (đánh giá sức khỏe đội ngũ), 490</w:t>
      </w:r>
    </w:p>
    <w:p>
      <w:pPr>
        <w:spacing w:after="80"/>
        <w:ind w:left="360"/>
      </w:pPr>
      <w:r>
        <w:t xml:space="preserve">• </w:t>
      </w:r>
      <w:r>
        <w:rPr>
          <w:b w:val="0"/>
          <w:i w:val="0"/>
        </w:rPr>
        <w:t>Kỹ thuật ngữ cảnh (nhà máy AI agent), 321, 345</w:t>
      </w:r>
    </w:p>
    <w:p>
      <w:pPr>
        <w:spacing w:after="80"/>
        <w:ind w:left="360"/>
      </w:pPr>
      <w:r>
        <w:t xml:space="preserve">• </w:t>
      </w:r>
      <w:r>
        <w:rPr>
          <w:b w:val="0"/>
          <w:i w:val="0"/>
        </w:rPr>
        <w:t>Các chức năng kiểm soát, 231, 250–252, 251</w:t>
      </w:r>
      <w:r>
        <w:rPr>
          <w:b w:val="0"/>
          <w:i/>
        </w:rPr>
        <w:t>e</w:t>
      </w:r>
      <w:r>
        <w:rPr>
          <w:b w:val="0"/>
          <w:i w:val="0"/>
        </w:rPr>
        <w:t>, 518</w:t>
      </w:r>
    </w:p>
    <w:p>
      <w:pPr>
        <w:spacing w:after="80"/>
        <w:ind w:left="360"/>
      </w:pPr>
      <w:r>
        <w:t xml:space="preserve">• </w:t>
      </w:r>
      <w:r>
        <w:rPr>
          <w:b w:val="0"/>
          <w:i w:val="0"/>
        </w:rPr>
        <w:t>Người rèn niềm tin (phẩm chất lãnh đạo), 34</w:t>
      </w:r>
    </w:p>
    <w:p>
      <w:pPr>
        <w:spacing w:after="80"/>
        <w:ind w:left="360"/>
      </w:pPr>
      <w:r>
        <w:t xml:space="preserve">• </w:t>
      </w:r>
      <w:r>
        <w:rPr>
          <w:b w:val="0"/>
          <w:i w:val="0"/>
        </w:rPr>
        <w:t>Copilot agent (AI agent), 146, 349, 352, 459, 461, 472, 563</w:t>
      </w:r>
    </w:p>
    <w:p>
      <w:pPr>
        <w:spacing w:after="80"/>
        <w:ind w:left="360"/>
      </w:pPr>
      <w:r>
        <w:t xml:space="preserve">• </w:t>
      </w:r>
      <w:r>
        <w:rPr>
          <w:b w:val="0"/>
          <w:i w:val="0"/>
        </w:rPr>
        <w:t>Hiện đại hóa các hệ thống CNTT cốt lõi, 359–371</w:t>
      </w:r>
    </w:p>
    <w:p>
      <w:pPr>
        <w:spacing w:after="80"/>
        <w:ind w:left="720"/>
      </w:pPr>
      <w:r>
        <w:t xml:space="preserve">• </w:t>
      </w:r>
      <w:r>
        <w:rPr>
          <w:b w:val="0"/>
          <w:i w:val="0"/>
        </w:rPr>
        <w:t>chi phí cloud trong đó, 366</w:t>
      </w:r>
    </w:p>
    <w:p>
      <w:pPr>
        <w:spacing w:after="80"/>
        <w:ind w:left="720"/>
      </w:pPr>
      <w:r>
        <w:t xml:space="preserve">• </w:t>
      </w:r>
      <w:r>
        <w:rPr>
          <w:b w:val="0"/>
          <w:i w:val="0"/>
        </w:rPr>
        <w:t>đổi mới sáng tạo so với, 360–361</w:t>
      </w:r>
    </w:p>
    <w:p>
      <w:pPr>
        <w:spacing w:after="80"/>
        <w:ind w:left="720"/>
      </w:pPr>
      <w:r>
        <w:t xml:space="preserve">• </w:t>
      </w:r>
      <w:r>
        <w:rPr>
          <w:b w:val="0"/>
          <w:i w:val="0"/>
        </w:rPr>
        <w:t>của các hệ thống cũ, 364</w:t>
      </w:r>
    </w:p>
    <w:p>
      <w:pPr>
        <w:spacing w:after="80"/>
        <w:ind w:left="720"/>
      </w:pPr>
      <w:r>
        <w:t xml:space="preserve">• </w:t>
      </w:r>
      <w:r>
        <w:rPr>
          <w:b w:val="0"/>
          <w:i w:val="0"/>
        </w:rPr>
        <w:t>khả năng phục hồi của, 365–366</w:t>
      </w:r>
    </w:p>
    <w:p>
      <w:pPr>
        <w:spacing w:after="80"/>
        <w:ind w:left="720"/>
      </w:pPr>
      <w:r>
        <w:t xml:space="preserve">• </w:t>
      </w:r>
      <w:r>
        <w:rPr>
          <w:b w:val="0"/>
          <w:i w:val="0"/>
        </w:rPr>
        <w:t>lộ trình cho, 361–363</w:t>
      </w:r>
    </w:p>
    <w:p>
      <w:pPr>
        <w:spacing w:after="80"/>
        <w:ind w:left="360"/>
      </w:pPr>
      <w:r>
        <w:t xml:space="preserve">• </w:t>
      </w:r>
      <w:r>
        <w:rPr>
          <w:b w:val="0"/>
          <w:i w:val="0"/>
        </w:rPr>
        <w:t>Sự xuất sắc trong tay nghề (kỹ thuật), 243, 170</w:t>
      </w:r>
    </w:p>
    <w:p>
      <w:pPr>
        <w:spacing w:after="80"/>
        <w:ind w:left="360"/>
      </w:pPr>
      <w:r>
        <w:t xml:space="preserve">• </w:t>
      </w:r>
      <w:r>
        <w:rPr>
          <w:b w:val="0"/>
          <w:i w:val="0"/>
        </w:rPr>
        <w:t>Các nhóm đa chức năng:</w:t>
      </w:r>
    </w:p>
    <w:p>
      <w:pPr>
        <w:spacing w:after="80"/>
        <w:ind w:left="720"/>
      </w:pPr>
      <w:r>
        <w:t xml:space="preserve">• </w:t>
      </w:r>
      <w:r>
        <w:rPr>
          <w:b w:val="0"/>
          <w:i w:val="0"/>
        </w:rPr>
        <w:t>trong các chương, 262</w:t>
      </w:r>
    </w:p>
    <w:p>
      <w:pPr>
        <w:spacing w:after="80"/>
        <w:ind w:left="720"/>
      </w:pPr>
      <w:r>
        <w:t xml:space="preserve">• </w:t>
      </w:r>
      <w:r>
        <w:rPr>
          <w:b w:val="0"/>
          <w:i w:val="0"/>
        </w:rPr>
        <w:t>vai trò của giám đốc AI (chief AI officer) trong đó, 116</w:t>
      </w:r>
    </w:p>
    <w:p>
      <w:pPr>
        <w:spacing w:after="80"/>
        <w:ind w:left="720"/>
      </w:pPr>
      <w:r>
        <w:t xml:space="preserve">• </w:t>
      </w:r>
      <w:r>
        <w:rPr>
          <w:b w:val="0"/>
          <w:i w:val="0"/>
        </w:rPr>
        <w:t>thành phần của, 203</w:t>
      </w:r>
    </w:p>
    <w:p>
      <w:pPr>
        <w:spacing w:after="80"/>
        <w:ind w:left="720"/>
      </w:pPr>
      <w:r>
        <w:t xml:space="preserve">• </w:t>
      </w:r>
      <w:r>
        <w:rPr>
          <w:b w:val="0"/>
          <w:i w:val="0"/>
        </w:rPr>
        <w:t>như phòng kỹ thuật số, 226</w:t>
      </w:r>
    </w:p>
    <w:p>
      <w:pPr>
        <w:spacing w:after="80"/>
        <w:ind w:left="720"/>
      </w:pPr>
      <w:r>
        <w:t xml:space="preserve">• </w:t>
      </w:r>
      <w:r>
        <w:rPr>
          <w:b w:val="0"/>
          <w:i w:val="0"/>
        </w:rPr>
        <w:t>tầm quan trọng của, 205, 321</w:t>
      </w:r>
    </w:p>
    <w:p>
      <w:pPr>
        <w:spacing w:after="80"/>
        <w:ind w:left="720"/>
      </w:pPr>
      <w:r>
        <w:t xml:space="preserve">• </w:t>
      </w:r>
      <w:r>
        <w:rPr>
          <w:b w:val="0"/>
          <w:i w:val="0"/>
        </w:rPr>
        <w:t>chủ sở hữu của, 505</w:t>
      </w:r>
    </w:p>
    <w:p>
      <w:pPr>
        <w:spacing w:after="80"/>
        <w:ind w:left="720"/>
      </w:pPr>
      <w:r>
        <w:t xml:space="preserve">• </w:t>
      </w:r>
      <w:r>
        <w:rPr>
          <w:b w:val="0"/>
          <w:i w:val="0"/>
        </w:rPr>
        <w:t>hiệu suất của, 144</w:t>
      </w:r>
    </w:p>
    <w:p>
      <w:pPr>
        <w:spacing w:after="80"/>
        <w:ind w:left="720"/>
      </w:pPr>
      <w:r>
        <w:t xml:space="preserve">• </w:t>
      </w:r>
      <w:r>
        <w:rPr>
          <w:b w:val="0"/>
          <w:i w:val="0"/>
        </w:rPr>
        <w:t>các vấn đề với, 215</w:t>
      </w:r>
    </w:p>
    <w:p>
      <w:pPr>
        <w:spacing w:after="80"/>
        <w:ind w:left="720"/>
      </w:pPr>
      <w:r>
        <w:t xml:space="preserve">• </w:t>
      </w:r>
      <w:r>
        <w:rPr>
          <w:b w:val="0"/>
          <w:i w:val="0"/>
        </w:rPr>
        <w:t>trong các mô hình vận hành hướng sản phẩm, 553</w:t>
      </w:r>
    </w:p>
    <w:p>
      <w:pPr>
        <w:spacing w:after="80"/>
        <w:ind w:left="720"/>
      </w:pPr>
      <w:r>
        <w:t xml:space="preserve">• </w:t>
      </w:r>
      <w:r>
        <w:rPr>
          <w:b w:val="0"/>
          <w:i w:val="0"/>
        </w:rPr>
        <w:t>cho việc cung cấp công nghệ, 133</w:t>
      </w:r>
    </w:p>
    <w:p>
      <w:pPr>
        <w:spacing w:after="80"/>
        <w:ind w:left="720"/>
      </w:pPr>
      <w:r>
        <w:t xml:space="preserve">• </w:t>
      </w:r>
      <w:r>
        <w:rPr>
          <w:b w:val="0"/>
          <w:i w:val="0"/>
        </w:rPr>
        <w:t>trong thiết kế đơn vị, 243</w:t>
      </w:r>
    </w:p>
    <w:p>
      <w:pPr>
        <w:spacing w:after="80"/>
        <w:ind w:left="360"/>
      </w:pPr>
      <w:r>
        <w:t xml:space="preserve">• </w:t>
      </w:r>
      <w:r>
        <w:rPr>
          <w:b w:val="0"/>
          <w:i w:val="0"/>
        </w:rPr>
        <w:t>Văn hóa, 523–533</w:t>
      </w:r>
    </w:p>
    <w:p>
      <w:pPr>
        <w:spacing w:after="80"/>
        <w:ind w:left="720"/>
      </w:pPr>
      <w:r>
        <w:t xml:space="preserve">• </w:t>
      </w:r>
      <w:r>
        <w:rPr>
          <w:b w:val="0"/>
          <w:i w:val="0"/>
        </w:rPr>
        <w:t>các năng lực để định hình, 525</w:t>
      </w:r>
      <w:r>
        <w:rPr>
          <w:b w:val="0"/>
          <w:i/>
        </w:rPr>
        <w:t>e</w:t>
      </w:r>
    </w:p>
    <w:p>
      <w:pPr>
        <w:spacing w:after="80"/>
        <w:ind w:left="720"/>
      </w:pPr>
      <w:r>
        <w:t xml:space="preserve">• </w:t>
      </w:r>
      <w:r>
        <w:rPr>
          <w:b w:val="0"/>
          <w:i w:val="0"/>
        </w:rPr>
        <w:t>các đặc điểm của, 523–524</w:t>
      </w:r>
    </w:p>
    <w:p>
      <w:pPr>
        <w:spacing w:after="80"/>
        <w:ind w:left="720"/>
      </w:pPr>
      <w:r>
        <w:t xml:space="preserve">• </w:t>
      </w:r>
      <w:r>
        <w:rPr>
          <w:b w:val="0"/>
          <w:i w:val="0"/>
        </w:rPr>
        <w:t>sự chuyển dịch của, 526, 526</w:t>
      </w:r>
      <w:r>
        <w:rPr>
          <w:b w:val="0"/>
          <w:i/>
        </w:rPr>
        <w:t>e</w:t>
      </w:r>
    </w:p>
    <w:p>
      <w:pPr>
        <w:spacing w:after="80"/>
        <w:ind w:left="360"/>
      </w:pPr>
      <w:r>
        <w:t xml:space="preserve">• </w:t>
      </w:r>
      <w:r>
        <w:rPr>
          <w:b w:val="0"/>
          <w:i w:val="0"/>
        </w:rPr>
        <w:t>Dữ liệu Customer 360, 53, 407–408, 585–586</w:t>
      </w:r>
    </w:p>
    <w:p>
      <w:pPr>
        <w:spacing w:after="80"/>
        <w:ind w:left="360"/>
      </w:pPr>
      <w:r>
        <w:t xml:space="preserve">• </w:t>
      </w:r>
      <w:r>
        <w:rPr>
          <w:b w:val="0"/>
          <w:i w:val="0"/>
        </w:rPr>
        <w:t xml:space="preserve">Trải nghiệm khách hàng. </w:t>
      </w:r>
      <w:r>
        <w:rPr>
          <w:b w:val="0"/>
          <w:i/>
        </w:rPr>
        <w:t>Xem thêm</w:t>
      </w:r>
      <w:r>
        <w:rPr>
          <w:b w:val="0"/>
          <w:i w:val="0"/>
        </w:rPr>
        <w:t xml:space="preserve"> Trải nghiệm người dùng</w:t>
      </w:r>
    </w:p>
    <w:p>
      <w:pPr>
        <w:spacing w:after="80"/>
        <w:ind w:left="720"/>
      </w:pPr>
      <w:r>
        <w:t xml:space="preserve">• </w:t>
      </w:r>
      <w:r>
        <w:rPr>
          <w:b w:val="0"/>
          <w:i w:val="0"/>
        </w:rPr>
        <w:t>Agentic AI cho, 80</w:t>
      </w:r>
    </w:p>
    <w:p>
      <w:pPr>
        <w:spacing w:after="80"/>
        <w:ind w:left="720"/>
      </w:pPr>
      <w:r>
        <w:t xml:space="preserve">• </w:t>
      </w:r>
      <w:r>
        <w:rPr>
          <w:b w:val="0"/>
          <w:i w:val="0"/>
        </w:rPr>
        <w:t>đánh giá chuẩn, 56</w:t>
      </w:r>
    </w:p>
    <w:p>
      <w:pPr>
        <w:spacing w:after="80"/>
        <w:ind w:left="720"/>
      </w:pPr>
      <w:r>
        <w:t xml:space="preserve">• </w:t>
      </w:r>
      <w:r>
        <w:rPr>
          <w:b w:val="0"/>
          <w:i w:val="0"/>
        </w:rPr>
        <w:t>phân tích dữ liệu cho, 410</w:t>
      </w:r>
    </w:p>
    <w:p>
      <w:pPr>
        <w:spacing w:after="80"/>
        <w:ind w:left="720"/>
      </w:pPr>
      <w:r>
        <w:t xml:space="preserve">• </w:t>
      </w:r>
      <w:r>
        <w:rPr>
          <w:b w:val="0"/>
          <w:i w:val="0"/>
        </w:rPr>
        <w:t>đánh giá của con người về, 348</w:t>
      </w:r>
    </w:p>
    <w:p>
      <w:pPr>
        <w:spacing w:after="80"/>
        <w:ind w:left="720"/>
      </w:pPr>
      <w:r>
        <w:t xml:space="preserve">• </w:t>
      </w:r>
      <w:r>
        <w:rPr>
          <w:b w:val="0"/>
          <w:i w:val="0"/>
        </w:rPr>
        <w:t>cải thiện, 127, 199, 443</w:t>
      </w:r>
    </w:p>
    <w:p>
      <w:pPr>
        <w:spacing w:after="80"/>
        <w:ind w:left="720"/>
      </w:pPr>
      <w:r>
        <w:t xml:space="preserve">• </w:t>
      </w:r>
      <w:r>
        <w:rPr>
          <w:b w:val="0"/>
          <w:i w:val="0"/>
        </w:rPr>
        <w:t>các KPI cho, 484</w:t>
      </w:r>
    </w:p>
    <w:p>
      <w:pPr>
        <w:spacing w:after="80"/>
        <w:ind w:left="720"/>
      </w:pPr>
      <w:r>
        <w:t xml:space="preserve">• </w:t>
      </w:r>
      <w:r>
        <w:rPr>
          <w:b w:val="0"/>
          <w:i w:val="0"/>
        </w:rPr>
        <w:t>dữ liệu độc quyền cho, 438</w:t>
      </w:r>
    </w:p>
    <w:p>
      <w:pPr>
        <w:spacing w:after="80"/>
        <w:ind w:left="720"/>
      </w:pPr>
      <w:r>
        <w:t xml:space="preserve">• </w:t>
      </w:r>
      <w:r>
        <w:rPr>
          <w:b w:val="0"/>
          <w:i w:val="0"/>
        </w:rPr>
        <w:t>điểm số cho, 138</w:t>
      </w:r>
    </w:p>
    <w:p>
      <w:pPr>
        <w:spacing w:after="80"/>
        <w:ind w:left="720"/>
      </w:pPr>
      <w:r>
        <w:t xml:space="preserve">• </w:t>
      </w:r>
      <w:r>
        <w:rPr>
          <w:b w:val="0"/>
          <w:i w:val="0"/>
        </w:rPr>
        <w:t>phần mềm cho, 302, 316</w:t>
      </w:r>
    </w:p>
    <w:p>
      <w:pPr>
        <w:spacing w:after="80"/>
        <w:ind w:left="720"/>
      </w:pPr>
      <w:r>
        <w:t xml:space="preserve">• </w:t>
      </w:r>
      <w:r>
        <w:rPr>
          <w:b w:val="0"/>
          <w:i w:val="0"/>
        </w:rPr>
        <w:t>câu chuyện cho, 161</w:t>
      </w:r>
    </w:p>
    <w:p>
      <w:pPr>
        <w:spacing w:after="80"/>
        <w:ind w:left="720"/>
      </w:pPr>
      <w:r>
        <w:t xml:space="preserve">• </w:t>
      </w:r>
      <w:r>
        <w:rPr>
          <w:b w:val="0"/>
          <w:i w:val="0"/>
        </w:rPr>
        <w:t>theo dõi, 317, 483</w:t>
      </w:r>
    </w:p>
    <w:p>
      <w:pPr>
        <w:spacing w:after="80"/>
        <w:ind w:left="720"/>
      </w:pPr>
      <w:r>
        <w:t xml:space="preserve">• </w:t>
      </w:r>
      <w:r>
        <w:rPr>
          <w:b w:val="0"/>
          <w:i w:val="0"/>
        </w:rPr>
        <w:t>thiết kế đơn vị cho, 243</w:t>
      </w:r>
    </w:p>
    <w:p>
      <w:pPr>
        <w:spacing w:after="80"/>
        <w:ind w:left="360"/>
      </w:pPr>
      <w:r>
        <w:t xml:space="preserve">• </w:t>
      </w:r>
      <w:r>
        <w:rPr>
          <w:b w:val="0"/>
          <w:i w:val="0"/>
        </w:rPr>
        <w:t>Nhu cầu chưa được đáp ứng của khách hàng, 58, 70, 132</w:t>
      </w:r>
    </w:p>
    <w:p>
      <w:pPr>
        <w:spacing w:after="80"/>
        <w:ind w:left="360"/>
      </w:pPr>
      <w:r>
        <w:t xml:space="preserve">• </w:t>
      </w:r>
      <w:r>
        <w:rPr>
          <w:b w:val="0"/>
          <w:i w:val="0"/>
        </w:rPr>
        <w:t>An ninh mạng, 16, 231, 430, 511–512, 518, 551, 582</w:t>
      </w:r>
    </w:p>
    <w:p>
      <w:pPr>
        <w:spacing w:after="80"/>
        <w:ind w:left="360"/>
      </w:pPr>
      <w:r>
        <w:t xml:space="preserve">• </w:t>
      </w:r>
      <w:r>
        <w:rPr>
          <w:b/>
          <w:i w:val="0"/>
        </w:rPr>
        <w:t>D</w:t>
      </w:r>
    </w:p>
    <w:p>
      <w:pPr>
        <w:spacing w:after="80"/>
        <w:ind w:left="360"/>
      </w:pPr>
      <w:r>
        <w:t xml:space="preserve">• </w:t>
      </w:r>
      <w:r>
        <w:rPr>
          <w:b w:val="0"/>
          <w:i w:val="0"/>
        </w:rPr>
        <w:t>Daimler, 472–474</w:t>
      </w:r>
    </w:p>
    <w:p>
      <w:pPr>
        <w:spacing w:after="80"/>
        <w:ind w:left="360"/>
      </w:pPr>
      <w:r>
        <w:t xml:space="preserve">• </w:t>
      </w:r>
      <w:r>
        <w:rPr>
          <w:b w:val="0"/>
          <w:i w:val="0"/>
        </w:rPr>
        <w:t>Kiến trúc dữ liệu:</w:t>
      </w:r>
    </w:p>
    <w:p>
      <w:pPr>
        <w:spacing w:after="80"/>
        <w:ind w:left="720"/>
      </w:pPr>
      <w:r>
        <w:t xml:space="preserve">• </w:t>
      </w:r>
      <w:r>
        <w:rPr>
          <w:b w:val="0"/>
          <w:i w:val="0"/>
        </w:rPr>
        <w:t>sự linh hoạt trong, 393</w:t>
      </w:r>
    </w:p>
    <w:p>
      <w:pPr>
        <w:spacing w:after="80"/>
        <w:ind w:left="720"/>
      </w:pPr>
      <w:r>
        <w:t xml:space="preserve">• </w:t>
      </w:r>
      <w:r>
        <w:rPr>
          <w:b w:val="0"/>
          <w:i w:val="0"/>
        </w:rPr>
        <w:t>xây dựng, 393–394</w:t>
      </w:r>
    </w:p>
    <w:p>
      <w:pPr>
        <w:spacing w:after="80"/>
        <w:ind w:left="720"/>
      </w:pPr>
      <w:r>
        <w:t xml:space="preserve">• </w:t>
      </w:r>
      <w:r>
        <w:rPr>
          <w:b w:val="0"/>
          <w:i w:val="0"/>
        </w:rPr>
        <w:t>vai trò của CDO trong, 418</w:t>
      </w:r>
    </w:p>
    <w:p>
      <w:pPr>
        <w:spacing w:after="80"/>
        <w:ind w:left="720"/>
      </w:pPr>
      <w:r>
        <w:t xml:space="preserve">• </w:t>
      </w:r>
      <w:r>
        <w:rPr>
          <w:b w:val="0"/>
          <w:i w:val="0"/>
        </w:rPr>
        <w:t>các yếu tố của, 397</w:t>
      </w:r>
      <w:r>
        <w:rPr>
          <w:b w:val="0"/>
          <w:i/>
        </w:rPr>
        <w:t>e</w:t>
      </w:r>
    </w:p>
    <w:p>
      <w:pPr>
        <w:spacing w:after="80"/>
        <w:ind w:left="720"/>
      </w:pPr>
      <w:r>
        <w:t xml:space="preserve">• </w:t>
      </w:r>
      <w:r>
        <w:rPr>
          <w:b w:val="0"/>
          <w:i w:val="0"/>
        </w:rPr>
        <w:t>trong mô hình tổ chức dữ liệu liên kết, 418</w:t>
      </w:r>
    </w:p>
    <w:p>
      <w:pPr>
        <w:spacing w:after="80"/>
        <w:ind w:left="720"/>
      </w:pPr>
      <w:r>
        <w:t xml:space="preserve">• </w:t>
      </w:r>
      <w:r>
        <w:rPr>
          <w:b w:val="0"/>
          <w:i w:val="0"/>
        </w:rPr>
        <w:t>sự sẵn sàng cho GenAI đối với, 396–397</w:t>
      </w:r>
    </w:p>
    <w:p>
      <w:pPr>
        <w:spacing w:after="80"/>
        <w:ind w:left="720"/>
      </w:pPr>
      <w:r>
        <w:t xml:space="preserve">• </w:t>
      </w:r>
      <w:r>
        <w:rPr>
          <w:b w:val="0"/>
          <w:i w:val="0"/>
        </w:rPr>
        <w:t>lớp ngữ nghĩa của, 398–399</w:t>
      </w:r>
    </w:p>
    <w:p>
      <w:pPr>
        <w:spacing w:after="80"/>
        <w:ind w:left="720"/>
      </w:pPr>
      <w:r>
        <w:t xml:space="preserve">• </w:t>
      </w:r>
      <w:r>
        <w:rPr>
          <w:b w:val="0"/>
          <w:i w:val="0"/>
        </w:rPr>
        <w:t>bảy nguyên tắc để mở rộng quy mô, 395</w:t>
      </w:r>
      <w:r>
        <w:rPr>
          <w:b w:val="0"/>
          <w:i/>
        </w:rPr>
        <w:t>e</w:t>
      </w:r>
    </w:p>
    <w:p>
      <w:pPr>
        <w:spacing w:after="80"/>
        <w:ind w:left="360"/>
      </w:pPr>
      <w:r>
        <w:t xml:space="preserve">• </w:t>
      </w:r>
      <w:r>
        <w:rPr>
          <w:b w:val="0"/>
          <w:i w:val="0"/>
        </w:rPr>
        <w:t>Thu thập dữ liệu, 439–441</w:t>
      </w:r>
    </w:p>
    <w:p>
      <w:pPr>
        <w:spacing w:after="80"/>
        <w:ind w:left="360"/>
      </w:pPr>
      <w:r>
        <w:t xml:space="preserve">• </w:t>
      </w:r>
      <w:r>
        <w:rPr>
          <w:b w:val="0"/>
          <w:i w:val="0"/>
        </w:rPr>
        <w:t>Làm sạch dữ liệu, 21, 386–387</w:t>
      </w:r>
    </w:p>
    <w:p>
      <w:pPr>
        <w:spacing w:after="80"/>
        <w:ind w:left="360"/>
      </w:pPr>
      <w:r>
        <w:t xml:space="preserve">• </w:t>
      </w:r>
      <w:r>
        <w:rPr>
          <w:b w:val="0"/>
          <w:i w:val="0"/>
        </w:rPr>
        <w:t>Tiêu thụ dữ liệu, 392</w:t>
      </w:r>
    </w:p>
    <w:p>
      <w:pPr>
        <w:spacing w:after="80"/>
        <w:ind w:left="360"/>
      </w:pPr>
      <w:r>
        <w:t xml:space="preserve">• </w:t>
      </w:r>
      <w:r>
        <w:rPr>
          <w:b w:val="0"/>
          <w:i w:val="0"/>
        </w:rPr>
        <w:t>Miền dữ liệu, 381–382, 413</w:t>
      </w:r>
    </w:p>
    <w:p>
      <w:pPr>
        <w:spacing w:after="80"/>
        <w:ind w:left="360"/>
      </w:pPr>
      <w:r>
        <w:t xml:space="preserve">• </w:t>
      </w:r>
      <w:r>
        <w:rPr>
          <w:b w:val="0"/>
          <w:i w:val="0"/>
        </w:rPr>
        <w:t>Phần tử dữ liệu, 375, 381</w:t>
      </w:r>
      <w:r>
        <w:rPr>
          <w:b w:val="0"/>
          <w:i/>
        </w:rPr>
        <w:t>e</w:t>
      </w:r>
      <w:r>
        <w:rPr>
          <w:b w:val="0"/>
          <w:i w:val="0"/>
        </w:rPr>
        <w:t>, 382, 408, 587</w:t>
      </w:r>
    </w:p>
    <w:p>
      <w:pPr>
        <w:spacing w:after="80"/>
        <w:ind w:left="360"/>
      </w:pPr>
      <w:r>
        <w:t xml:space="preserve">• </w:t>
      </w:r>
      <w:r>
        <w:rPr>
          <w:b w:val="0"/>
          <w:i w:val="0"/>
        </w:rPr>
        <w:t>Làm giàu dữ liệu, 15–16, 391, 392, 410, 415, 442, 444</w:t>
      </w:r>
    </w:p>
    <w:p>
      <w:pPr>
        <w:spacing w:after="80"/>
        <w:ind w:left="360"/>
      </w:pPr>
      <w:r>
        <w:t xml:space="preserve">• </w:t>
      </w:r>
      <w:r>
        <w:rPr>
          <w:b w:val="0"/>
          <w:i w:val="0"/>
        </w:rPr>
        <w:t>Quản trị dữ liệu, 116, 247, 374, 421–425</w:t>
      </w:r>
    </w:p>
    <w:p>
      <w:pPr>
        <w:spacing w:after="80"/>
        <w:ind w:left="360"/>
      </w:pPr>
      <w:r>
        <w:t xml:space="preserve">• </w:t>
      </w:r>
      <w:r>
        <w:rPr>
          <w:b w:val="0"/>
          <w:i w:val="0"/>
        </w:rPr>
        <w:t>Chương trình Data Heroes (DBS Bank), 588</w:t>
      </w:r>
    </w:p>
    <w:p>
      <w:pPr>
        <w:spacing w:after="80"/>
        <w:ind w:left="360"/>
      </w:pPr>
      <w:r>
        <w:t xml:space="preserve">• </w:t>
      </w:r>
      <w:r>
        <w:rPr>
          <w:b w:val="0"/>
          <w:i w:val="0"/>
        </w:rPr>
        <w:t>Hồ dữ liệu (Data lakes), 101, 403, 562</w:t>
      </w:r>
    </w:p>
    <w:p>
      <w:pPr>
        <w:spacing w:after="80"/>
        <w:ind w:left="360"/>
      </w:pPr>
      <w:r>
        <w:t xml:space="preserve">• </w:t>
      </w:r>
      <w:r>
        <w:rPr>
          <w:b w:val="0"/>
          <w:i w:val="0"/>
        </w:rPr>
        <w:t>Dòng dữ liệu (Data lineage), 148, 403, 434</w:t>
      </w:r>
    </w:p>
    <w:p>
      <w:pPr>
        <w:spacing w:after="80"/>
        <w:ind w:left="360"/>
      </w:pPr>
      <w:r>
        <w:t xml:space="preserve">• </w:t>
      </w:r>
      <w:r>
        <w:rPr>
          <w:b w:val="0"/>
          <w:i w:val="0"/>
        </w:rPr>
        <w:t>Quản lý dữ liệu, 21, 138, 418, 419</w:t>
      </w:r>
      <w:r>
        <w:rPr>
          <w:b w:val="0"/>
          <w:i/>
        </w:rPr>
        <w:t>e</w:t>
      </w:r>
      <w:r>
        <w:rPr>
          <w:b w:val="0"/>
          <w:i w:val="0"/>
        </w:rPr>
        <w:t>, 424</w:t>
      </w:r>
    </w:p>
    <w:p>
      <w:pPr>
        <w:spacing w:after="80"/>
        <w:ind w:left="360"/>
      </w:pPr>
      <w:r>
        <w:t xml:space="preserve">• </w:t>
      </w:r>
      <w:r>
        <w:rPr>
          <w:b w:val="0"/>
          <w:i w:val="0"/>
        </w:rPr>
        <w:t>Tối giản dữ liệu, 432</w:t>
      </w:r>
    </w:p>
    <w:p>
      <w:pPr>
        <w:spacing w:after="80"/>
        <w:ind w:left="360"/>
      </w:pPr>
      <w:r>
        <w:t xml:space="preserve">• </w:t>
      </w:r>
      <w:r>
        <w:rPr>
          <w:b w:val="0"/>
          <w:i w:val="0"/>
        </w:rPr>
        <w:t>Khai phá dữ liệu, 573–574</w:t>
      </w:r>
    </w:p>
    <w:p>
      <w:pPr>
        <w:spacing w:after="80"/>
        <w:ind w:left="360"/>
      </w:pPr>
      <w:r>
        <w:t xml:space="preserve">• </w:t>
      </w:r>
      <w:r>
        <w:rPr>
          <w:b w:val="0"/>
          <w:i w:val="0"/>
        </w:rPr>
        <w:t>Vận hành dữ liệu, 387, 392, 418, 585</w:t>
      </w:r>
    </w:p>
    <w:p>
      <w:pPr>
        <w:spacing w:after="80"/>
        <w:ind w:left="360"/>
      </w:pPr>
      <w:r>
        <w:t xml:space="preserve">• </w:t>
      </w:r>
      <w:r>
        <w:rPr>
          <w:b w:val="0"/>
          <w:i w:val="0"/>
        </w:rPr>
        <w:t>Trình phối dữ liệu, 561–563</w:t>
      </w:r>
    </w:p>
    <w:p>
      <w:pPr>
        <w:spacing w:after="80"/>
        <w:ind w:left="360"/>
      </w:pPr>
      <w:r>
        <w:t xml:space="preserve">• </w:t>
      </w:r>
      <w:r>
        <w:rPr>
          <w:b w:val="0"/>
          <w:i w:val="0"/>
        </w:rPr>
        <w:t>Tổ chức dữ liệu, 417–425</w:t>
      </w:r>
    </w:p>
    <w:p>
      <w:pPr>
        <w:spacing w:after="80"/>
        <w:ind w:left="360"/>
      </w:pPr>
      <w:r>
        <w:t xml:space="preserve">• </w:t>
      </w:r>
      <w:r>
        <w:rPr>
          <w:b w:val="0"/>
          <w:i w:val="0"/>
        </w:rPr>
        <w:t>Quyền sở hữu dữ liệu, 392, 401, 507</w:t>
      </w:r>
    </w:p>
    <w:p>
      <w:pPr>
        <w:spacing w:after="80"/>
        <w:ind w:left="360"/>
      </w:pPr>
      <w:r>
        <w:t xml:space="preserve">• </w:t>
      </w:r>
      <w:r>
        <w:rPr>
          <w:b w:val="0"/>
          <w:i w:val="0"/>
        </w:rPr>
        <w:t>Đối tác dữ liệu, 108, 517</w:t>
      </w:r>
    </w:p>
    <w:p>
      <w:pPr>
        <w:spacing w:after="80"/>
        <w:ind w:left="360"/>
      </w:pPr>
      <w:r>
        <w:t xml:space="preserve">• </w:t>
      </w:r>
      <w:r>
        <w:rPr>
          <w:b w:val="0"/>
          <w:i w:val="0"/>
        </w:rPr>
        <w:t>Đường ống dữ liệu, 76, 106, 387–388, 392, 402–403, 405, 408, 474–475</w:t>
      </w:r>
    </w:p>
    <w:p>
      <w:pPr>
        <w:spacing w:after="80"/>
        <w:ind w:left="360"/>
      </w:pPr>
      <w:r>
        <w:t xml:space="preserve">• </w:t>
      </w:r>
      <w:r>
        <w:rPr>
          <w:b w:val="0"/>
          <w:i w:val="0"/>
        </w:rPr>
        <w:t>Nền tảng dữ liệu, 186, 290, 327, 374, 391, 403</w:t>
      </w:r>
    </w:p>
    <w:p>
      <w:pPr>
        <w:spacing w:after="80"/>
        <w:ind w:left="360"/>
      </w:pPr>
      <w:r>
        <w:t xml:space="preserve">• </w:t>
      </w:r>
      <w:r>
        <w:rPr>
          <w:b w:val="0"/>
          <w:i w:val="0"/>
        </w:rPr>
        <w:t>Chủ sở hữu sản phẩm dữ liệu (DPOs), 412–413, 415</w:t>
      </w:r>
    </w:p>
    <w:p>
      <w:pPr>
        <w:spacing w:after="80"/>
        <w:ind w:left="360"/>
      </w:pPr>
      <w:r>
        <w:t xml:space="preserve">• </w:t>
      </w:r>
      <w:r>
        <w:rPr>
          <w:b w:val="0"/>
          <w:i w:val="0"/>
        </w:rPr>
        <w:t>Đội ngũ sản phẩm dữ liệu, 413</w:t>
      </w:r>
    </w:p>
    <w:p>
      <w:pPr>
        <w:spacing w:after="80"/>
        <w:ind w:left="360"/>
      </w:pPr>
      <w:r>
        <w:t xml:space="preserve">• </w:t>
      </w:r>
      <w:r>
        <w:rPr>
          <w:b w:val="0"/>
          <w:i w:val="0"/>
        </w:rPr>
        <w:t>Sản phẩm dữ liệu, 401–415</w:t>
      </w:r>
    </w:p>
    <w:p>
      <w:pPr>
        <w:spacing w:after="80"/>
        <w:ind w:left="720"/>
      </w:pPr>
      <w:r>
        <w:t xml:space="preserve">• </w:t>
      </w:r>
      <w:r>
        <w:rPr>
          <w:b w:val="0"/>
          <w:i w:val="0"/>
        </w:rPr>
        <w:t>cấu trúc của, 411</w:t>
      </w:r>
      <w:r>
        <w:rPr>
          <w:b w:val="0"/>
          <w:i/>
        </w:rPr>
        <w:t>e</w:t>
      </w:r>
    </w:p>
    <w:p>
      <w:pPr>
        <w:spacing w:after="80"/>
        <w:ind w:left="720"/>
      </w:pPr>
      <w:r>
        <w:t xml:space="preserve">• </w:t>
      </w:r>
      <w:r>
        <w:rPr>
          <w:b w:val="0"/>
          <w:i w:val="0"/>
        </w:rPr>
        <w:t>xây dựng, 410–415</w:t>
      </w:r>
    </w:p>
    <w:p>
      <w:pPr>
        <w:spacing w:after="80"/>
        <w:ind w:left="720"/>
      </w:pPr>
      <w:r>
        <w:t xml:space="preserve">• </w:t>
      </w:r>
      <w:r>
        <w:rPr>
          <w:b w:val="0"/>
          <w:i w:val="0"/>
        </w:rPr>
        <w:t>định nghĩa của, 382, 403</w:t>
      </w:r>
    </w:p>
    <w:p>
      <w:pPr>
        <w:spacing w:after="80"/>
        <w:ind w:left="720"/>
      </w:pPr>
      <w:r>
        <w:t xml:space="preserve">• </w:t>
      </w:r>
      <w:r>
        <w:rPr>
          <w:b w:val="0"/>
          <w:i w:val="0"/>
        </w:rPr>
        <w:t>cho bản sao kỹ thuật số, 405</w:t>
      </w:r>
    </w:p>
    <w:p>
      <w:pPr>
        <w:spacing w:after="80"/>
        <w:ind w:left="720"/>
      </w:pPr>
      <w:r>
        <w:t xml:space="preserve">• </w:t>
      </w:r>
      <w:r>
        <w:rPr>
          <w:b w:val="0"/>
          <w:i w:val="0"/>
        </w:rPr>
        <w:t>các chức năng của, 404</w:t>
      </w:r>
      <w:r>
        <w:rPr>
          <w:b w:val="0"/>
          <w:i/>
        </w:rPr>
        <w:t>e</w:t>
      </w:r>
    </w:p>
    <w:p>
      <w:pPr>
        <w:spacing w:after="80"/>
        <w:ind w:left="720"/>
      </w:pPr>
      <w:r>
        <w:t xml:space="preserve">• </w:t>
      </w:r>
      <w:r>
        <w:rPr>
          <w:b w:val="0"/>
          <w:i w:val="0"/>
        </w:rPr>
        <w:t>từ dữ liệu cũ, 406–408</w:t>
      </w:r>
    </w:p>
    <w:p>
      <w:pPr>
        <w:spacing w:after="80"/>
        <w:ind w:left="720"/>
      </w:pPr>
      <w:r>
        <w:t xml:space="preserve">• </w:t>
      </w:r>
      <w:r>
        <w:rPr>
          <w:b w:val="0"/>
          <w:i w:val="0"/>
        </w:rPr>
        <w:t>chủ sở hữu, 413</w:t>
      </w:r>
    </w:p>
    <w:p>
      <w:pPr>
        <w:spacing w:after="80"/>
        <w:ind w:left="720"/>
      </w:pPr>
      <w:r>
        <w:t xml:space="preserve">• </w:t>
      </w:r>
      <w:r>
        <w:rPr>
          <w:b w:val="0"/>
          <w:i w:val="0"/>
        </w:rPr>
        <w:t>ROI từ, 408</w:t>
      </w:r>
    </w:p>
    <w:p>
      <w:pPr>
        <w:spacing w:after="80"/>
        <w:ind w:left="720"/>
      </w:pPr>
      <w:r>
        <w:t xml:space="preserve">• </w:t>
      </w:r>
      <w:r>
        <w:rPr>
          <w:b w:val="0"/>
          <w:i w:val="0"/>
        </w:rPr>
        <w:t>các nhóm cho, 413</w:t>
      </w:r>
    </w:p>
    <w:p>
      <w:pPr>
        <w:spacing w:after="80"/>
        <w:ind w:left="360"/>
      </w:pPr>
      <w:r>
        <w:t xml:space="preserve">• </w:t>
      </w:r>
      <w:r>
        <w:rPr>
          <w:b w:val="0"/>
          <w:i w:val="0"/>
        </w:rPr>
        <w:t>Bảo vệ dữ liệu, 427–435</w:t>
      </w:r>
    </w:p>
    <w:p>
      <w:pPr>
        <w:spacing w:after="80"/>
        <w:ind w:left="360"/>
      </w:pPr>
      <w:r>
        <w:t xml:space="preserve">• </w:t>
      </w:r>
      <w:r>
        <w:rPr>
          <w:b w:val="0"/>
          <w:i w:val="0"/>
        </w:rPr>
        <w:t>Mức độ sẵn sàng của dữ liệu, 57, 75, 382–383</w:t>
      </w:r>
    </w:p>
    <w:p>
      <w:pPr>
        <w:spacing w:after="80"/>
        <w:ind w:left="360"/>
      </w:pPr>
      <w:r>
        <w:t xml:space="preserve">• </w:t>
      </w:r>
      <w:r>
        <w:rPr>
          <w:b w:val="0"/>
          <w:i w:val="0"/>
        </w:rPr>
        <w:t>Sao chép dữ liệu, 141</w:t>
      </w:r>
    </w:p>
    <w:p>
      <w:pPr>
        <w:spacing w:after="80"/>
        <w:ind w:left="360"/>
      </w:pPr>
      <w:r>
        <w:t xml:space="preserve">• </w:t>
      </w:r>
      <w:r>
        <w:rPr>
          <w:b w:val="0"/>
          <w:i w:val="0"/>
        </w:rPr>
        <w:t>Lộ trình dữ liệu, 382–383</w:t>
      </w:r>
    </w:p>
    <w:p>
      <w:pPr>
        <w:spacing w:after="80"/>
        <w:ind w:left="360"/>
      </w:pPr>
      <w:r>
        <w:t xml:space="preserve">• </w:t>
      </w:r>
      <w:r>
        <w:rPr>
          <w:b w:val="0"/>
          <w:i w:val="0"/>
        </w:rPr>
        <w:t>Vai trò dữ liệu, 421</w:t>
      </w:r>
      <w:r>
        <w:rPr>
          <w:b w:val="0"/>
          <w:i/>
        </w:rPr>
        <w:t>e</w:t>
      </w:r>
    </w:p>
    <w:p>
      <w:pPr>
        <w:spacing w:after="80"/>
        <w:ind w:left="360"/>
      </w:pPr>
      <w:r>
        <w:t xml:space="preserve">• </w:t>
      </w:r>
      <w:r>
        <w:rPr>
          <w:b w:val="0"/>
          <w:i w:val="0"/>
        </w:rPr>
        <w:t>Chuyên gia dữ liệu, 153, 223</w:t>
      </w:r>
    </w:p>
    <w:p>
      <w:pPr>
        <w:spacing w:after="80"/>
        <w:ind w:left="360"/>
      </w:pPr>
      <w:r>
        <w:t xml:space="preserve">• </w:t>
      </w:r>
      <w:r>
        <w:rPr>
          <w:b w:val="0"/>
          <w:i w:val="0"/>
        </w:rPr>
        <w:t>Định giá dữ liệu, 379–388</w:t>
      </w:r>
    </w:p>
    <w:p>
      <w:pPr>
        <w:spacing w:after="80"/>
        <w:ind w:left="720"/>
      </w:pPr>
      <w:r>
        <w:t xml:space="preserve">• </w:t>
      </w:r>
      <w:r>
        <w:rPr>
          <w:b w:val="0"/>
          <w:i w:val="0"/>
        </w:rPr>
        <w:t>làm sạch dữ liệu tự động cho, 386–387</w:t>
      </w:r>
    </w:p>
    <w:p>
      <w:pPr>
        <w:spacing w:after="80"/>
        <w:ind w:left="720"/>
      </w:pPr>
      <w:r>
        <w:t xml:space="preserve">• </w:t>
      </w:r>
      <w:r>
        <w:rPr>
          <w:b w:val="0"/>
          <w:i w:val="0"/>
        </w:rPr>
        <w:t>và mức độ sẵn sàng của dữ liệu, 382</w:t>
      </w:r>
    </w:p>
    <w:p>
      <w:pPr>
        <w:spacing w:after="80"/>
        <w:ind w:left="720"/>
      </w:pPr>
      <w:r>
        <w:t xml:space="preserve">• </w:t>
      </w:r>
      <w:r>
        <w:rPr>
          <w:b w:val="0"/>
          <w:i w:val="0"/>
        </w:rPr>
        <w:t>chuỗi giá trị dữ liệu cho, 387</w:t>
      </w:r>
      <w:r>
        <w:rPr>
          <w:b w:val="0"/>
          <w:i/>
        </w:rPr>
        <w:t>e</w:t>
      </w:r>
    </w:p>
    <w:p>
      <w:pPr>
        <w:spacing w:after="80"/>
        <w:ind w:left="720"/>
      </w:pPr>
      <w:r>
        <w:t xml:space="preserve">• </w:t>
      </w:r>
      <w:r>
        <w:rPr>
          <w:b w:val="0"/>
          <w:i w:val="0"/>
        </w:rPr>
        <w:t>chín chiều kích để truy cập, 384</w:t>
      </w:r>
      <w:r>
        <w:rPr>
          <w:b w:val="0"/>
          <w:i/>
        </w:rPr>
        <w:t>e</w:t>
      </w:r>
    </w:p>
    <w:p>
      <w:pPr>
        <w:spacing w:after="80"/>
        <w:ind w:left="720"/>
      </w:pPr>
      <w:r>
        <w:t xml:space="preserve">• </w:t>
      </w:r>
      <w:r>
        <w:rPr>
          <w:b w:val="0"/>
          <w:i w:val="0"/>
        </w:rPr>
        <w:t>ưu tiên hóa cho, 380–383</w:t>
      </w:r>
    </w:p>
    <w:p>
      <w:pPr>
        <w:spacing w:after="80"/>
        <w:ind w:left="720"/>
      </w:pPr>
      <w:r>
        <w:t xml:space="preserve">• </w:t>
      </w:r>
      <w:r>
        <w:rPr>
          <w:b w:val="0"/>
          <w:i w:val="0"/>
        </w:rPr>
        <w:t>tích hợp dữ liệu phi cấu trúc cho, 384–385</w:t>
      </w:r>
    </w:p>
    <w:p>
      <w:pPr>
        <w:spacing w:after="80"/>
        <w:ind w:left="360"/>
      </w:pPr>
      <w:r>
        <w:t xml:space="preserve">• </w:t>
      </w:r>
      <w:r>
        <w:rPr>
          <w:b w:val="0"/>
          <w:i w:val="0"/>
        </w:rPr>
        <w:t>Chuỗi giá trị dữ liệu, 387</w:t>
      </w:r>
      <w:r>
        <w:rPr>
          <w:b w:val="0"/>
          <w:i/>
        </w:rPr>
        <w:t>e</w:t>
      </w:r>
    </w:p>
    <w:p>
      <w:pPr>
        <w:spacing w:after="80"/>
        <w:ind w:left="360"/>
      </w:pPr>
      <w:r>
        <w:t xml:space="preserve">• </w:t>
      </w:r>
      <w:r>
        <w:rPr>
          <w:b w:val="0"/>
          <w:i w:val="0"/>
        </w:rPr>
        <w:t>Các nhóm DataFirst (DBS Bank), 584</w:t>
      </w:r>
    </w:p>
    <w:p>
      <w:pPr>
        <w:spacing w:after="80"/>
        <w:ind w:left="360"/>
      </w:pPr>
      <w:r>
        <w:t xml:space="preserve">• </w:t>
      </w:r>
      <w:r>
        <w:rPr>
          <w:b w:val="0"/>
          <w:i w:val="0"/>
        </w:rPr>
        <w:t>Bảo vệ dữ liệu đang sử dụng, 430–433</w:t>
      </w:r>
    </w:p>
    <w:p>
      <w:pPr>
        <w:spacing w:after="80"/>
        <w:ind w:left="360"/>
      </w:pPr>
      <w:r>
        <w:t xml:space="preserve">• </w:t>
      </w:r>
      <w:r>
        <w:rPr>
          <w:b w:val="0"/>
          <w:i w:val="0"/>
        </w:rPr>
        <w:t>Các agent đảm bảo chất lượng dữ liệu, 386</w:t>
      </w:r>
    </w:p>
    <w:p>
      <w:pPr>
        <w:spacing w:after="80"/>
        <w:ind w:left="360"/>
      </w:pPr>
      <w:r>
        <w:t xml:space="preserve">• </w:t>
      </w:r>
      <w:r>
        <w:rPr>
          <w:b w:val="0"/>
          <w:i w:val="0"/>
        </w:rPr>
        <w:t>Ngân hàng DBS, 44, 143, 229, 325, 327, 374–375, 526</w:t>
      </w:r>
      <w:r>
        <w:rPr>
          <w:b w:val="0"/>
          <w:i/>
        </w:rPr>
        <w:t>e</w:t>
      </w:r>
      <w:r>
        <w:rPr>
          <w:b w:val="0"/>
          <w:i w:val="0"/>
        </w:rPr>
        <w:t>, 581–591</w:t>
      </w:r>
    </w:p>
    <w:p>
      <w:pPr>
        <w:spacing w:after="80"/>
        <w:ind w:left="360"/>
      </w:pPr>
      <w:r>
        <w:t xml:space="preserve">• </w:t>
      </w:r>
      <w:r>
        <w:rPr>
          <w:b w:val="0"/>
          <w:i w:val="0"/>
        </w:rPr>
        <w:t>Quyền quyết định, 246–247, 247</w:t>
      </w:r>
      <w:r>
        <w:rPr>
          <w:b w:val="0"/>
          <w:i/>
        </w:rPr>
        <w:t>e</w:t>
      </w:r>
      <w:r>
        <w:rPr>
          <w:b w:val="0"/>
          <w:i w:val="0"/>
        </w:rPr>
        <w:t>, 507, 523</w:t>
      </w:r>
    </w:p>
    <w:p>
      <w:pPr>
        <w:spacing w:after="80"/>
        <w:ind w:left="360"/>
      </w:pPr>
      <w:r>
        <w:t xml:space="preserve">• </w:t>
      </w:r>
      <w:r>
        <w:rPr>
          <w:b w:val="0"/>
          <w:i w:val="0"/>
        </w:rPr>
        <w:t>Tách rời (kiến trúc), 293–294, 296, 299, 360</w:t>
      </w:r>
      <w:r>
        <w:rPr>
          <w:b w:val="0"/>
          <w:i/>
        </w:rPr>
        <w:t>n</w:t>
      </w:r>
      <w:r>
        <w:rPr>
          <w:b w:val="0"/>
          <w:i w:val="0"/>
        </w:rPr>
        <w:t>1</w:t>
      </w:r>
    </w:p>
    <w:p>
      <w:pPr>
        <w:spacing w:after="80"/>
        <w:ind w:left="360"/>
      </w:pPr>
      <w:r>
        <w:t xml:space="preserve">• </w:t>
      </w:r>
      <w:r>
        <w:rPr>
          <w:b w:val="0"/>
          <w:i w:val="0"/>
        </w:rPr>
        <w:t>Mức độ chính xác (đánh giá GenAI), 89–90</w:t>
      </w:r>
    </w:p>
    <w:p>
      <w:pPr>
        <w:spacing w:after="80"/>
        <w:ind w:left="360"/>
      </w:pPr>
      <w:r>
        <w:t xml:space="preserve">• </w:t>
      </w:r>
      <w:r>
        <w:rPr>
          <w:b w:val="0"/>
          <w:i w:val="0"/>
        </w:rPr>
        <w:t>Mô hình dự báo nhu cầu (Toyota Motor North America), 560–561</w:t>
      </w:r>
    </w:p>
    <w:p>
      <w:pPr>
        <w:spacing w:after="80"/>
        <w:ind w:left="360"/>
      </w:pPr>
      <w:r>
        <w:t xml:space="preserve">• </w:t>
      </w:r>
      <w:r>
        <w:rPr>
          <w:b w:val="0"/>
          <w:i w:val="0"/>
        </w:rPr>
        <w:t>Cổng thông tin dành cho nhà phát triển, 296–297, 304</w:t>
      </w:r>
    </w:p>
    <w:p>
      <w:pPr>
        <w:spacing w:after="80"/>
        <w:ind w:left="360"/>
      </w:pPr>
      <w:r>
        <w:t xml:space="preserve">• </w:t>
      </w:r>
      <w:r>
        <w:rPr>
          <w:b w:val="0"/>
          <w:i w:val="0"/>
        </w:rPr>
        <w:t>Các lộ trình vàng trong phát triển, 303</w:t>
      </w:r>
    </w:p>
    <w:p>
      <w:pPr>
        <w:spacing w:after="80"/>
        <w:ind w:left="360"/>
      </w:pPr>
      <w:r>
        <w:t xml:space="preserve">• </w:t>
      </w:r>
      <w:r>
        <w:rPr>
          <w:b w:val="0"/>
          <w:i w:val="0"/>
        </w:rPr>
        <w:t>Các nhóm DevEx (trải nghiệm nhà phát triển), 307</w:t>
      </w:r>
    </w:p>
    <w:p>
      <w:pPr>
        <w:spacing w:after="80"/>
        <w:ind w:left="360"/>
      </w:pPr>
      <w:r>
        <w:t xml:space="preserve">• </w:t>
      </w:r>
      <w:r>
        <w:rPr>
          <w:b w:val="0"/>
          <w:i w:val="0"/>
        </w:rPr>
        <w:t>DevOps, 106, 218, 218</w:t>
      </w:r>
      <w:r>
        <w:rPr>
          <w:b w:val="0"/>
          <w:i/>
        </w:rPr>
        <w:t>n</w:t>
      </w:r>
      <w:r>
        <w:rPr>
          <w:b w:val="0"/>
          <w:i w:val="0"/>
        </w:rPr>
        <w:t>2, 253, 306, 489</w:t>
      </w:r>
    </w:p>
    <w:p>
      <w:pPr>
        <w:spacing w:after="80"/>
        <w:ind w:left="360"/>
      </w:pPr>
      <w:r>
        <w:t xml:space="preserve">• </w:t>
      </w:r>
      <w:r>
        <w:rPr>
          <w:b w:val="0"/>
          <w:i w:val="0"/>
        </w:rPr>
        <w:t>Kỹ sư DevOps, 204</w:t>
      </w:r>
      <w:r>
        <w:rPr>
          <w:b w:val="0"/>
          <w:i/>
        </w:rPr>
        <w:t>n</w:t>
      </w:r>
      <w:r>
        <w:rPr>
          <w:b w:val="0"/>
          <w:i w:val="0"/>
        </w:rPr>
        <w:t>1, 206</w:t>
      </w:r>
      <w:r>
        <w:rPr>
          <w:b w:val="0"/>
          <w:i/>
        </w:rPr>
        <w:t>n</w:t>
      </w:r>
      <w:r>
        <w:rPr>
          <w:b w:val="0"/>
          <w:i w:val="0"/>
        </w:rPr>
        <w:t>1, 309</w:t>
      </w:r>
    </w:p>
    <w:p>
      <w:pPr>
        <w:spacing w:after="80"/>
        <w:ind w:left="360"/>
      </w:pPr>
      <w:r>
        <w:t xml:space="preserve">• </w:t>
      </w:r>
      <w:r>
        <w:rPr>
          <w:b w:val="0"/>
          <w:i w:val="0"/>
        </w:rPr>
        <w:t>Cấu trúc tổ chức hình kim cương, 145</w:t>
      </w:r>
      <w:r>
        <w:rPr>
          <w:b w:val="0"/>
          <w:i/>
        </w:rPr>
        <w:t>e</w:t>
      </w:r>
      <w:r>
        <w:rPr>
          <w:b w:val="0"/>
          <w:i w:val="0"/>
        </w:rPr>
        <w:t>, 147, 149, 183</w:t>
      </w:r>
    </w:p>
    <w:p>
      <w:pPr>
        <w:spacing w:after="80"/>
        <w:ind w:left="360"/>
      </w:pPr>
      <w:r>
        <w:t xml:space="preserve">• </w:t>
      </w:r>
      <w:r>
        <w:rPr>
          <w:b w:val="0"/>
          <w:i w:val="0"/>
        </w:rPr>
        <w:t>Các hệ thống tạo khác biệt, 103–104</w:t>
      </w:r>
    </w:p>
    <w:p>
      <w:pPr>
        <w:spacing w:after="80"/>
        <w:ind w:left="360"/>
      </w:pPr>
      <w:r>
        <w:t xml:space="preserve">• </w:t>
      </w:r>
      <w:r>
        <w:rPr>
          <w:b w:val="0"/>
          <w:i w:val="0"/>
        </w:rPr>
        <w:t>Các đối tác kỹ thuật số trong lĩnh vực kỹ thuật, 108</w:t>
      </w:r>
    </w:p>
    <w:p>
      <w:pPr>
        <w:spacing w:after="80"/>
        <w:ind w:left="360"/>
      </w:pPr>
      <w:r>
        <w:t xml:space="preserve">• </w:t>
      </w:r>
      <w:r>
        <w:rPr>
          <w:b w:val="0"/>
          <w:i w:val="0"/>
        </w:rPr>
        <w:t>Mô hình nhà máy kỹ thuật số, 225–229, 228</w:t>
      </w:r>
      <w:r>
        <w:rPr>
          <w:b w:val="0"/>
          <w:i/>
        </w:rPr>
        <w:t>e</w:t>
      </w:r>
    </w:p>
    <w:p>
      <w:pPr>
        <w:spacing w:after="80"/>
        <w:ind w:left="360"/>
      </w:pPr>
      <w:r>
        <w:t xml:space="preserve">• </w:t>
      </w:r>
      <w:r>
        <w:rPr>
          <w:b w:val="0"/>
          <w:i w:val="0"/>
        </w:rPr>
        <w:t>Phòng kỹ thuật số, 226</w:t>
      </w:r>
    </w:p>
    <w:p>
      <w:pPr>
        <w:spacing w:after="80"/>
        <w:ind w:left="360"/>
      </w:pPr>
      <w:r>
        <w:t xml:space="preserve">• </w:t>
      </w:r>
      <w:r>
        <w:rPr>
          <w:b w:val="0"/>
          <w:i w:val="0"/>
        </w:rPr>
        <w:t>Niềm tin kỹ thuật số, 6, 16, 512, 514–515, 517–520</w:t>
      </w:r>
    </w:p>
    <w:p>
      <w:pPr>
        <w:spacing w:after="80"/>
        <w:ind w:left="360"/>
      </w:pPr>
      <w:r>
        <w:t xml:space="preserve">• </w:t>
      </w:r>
      <w:r>
        <w:rPr>
          <w:b w:val="0"/>
          <w:i w:val="0"/>
        </w:rPr>
        <w:t>Bản sao kỹ thuật số, 405, 463, 466, 561, 573, 574</w:t>
      </w:r>
    </w:p>
    <w:p>
      <w:pPr>
        <w:spacing w:after="80"/>
        <w:ind w:left="360"/>
      </w:pPr>
      <w:r>
        <w:t xml:space="preserve">• </w:t>
      </w:r>
      <w:r>
        <w:rPr>
          <w:b w:val="0"/>
          <w:i w:val="0"/>
        </w:rPr>
        <w:t>Dimon, Jamie, 142</w:t>
      </w:r>
    </w:p>
    <w:p>
      <w:pPr>
        <w:spacing w:after="80"/>
        <w:ind w:left="360"/>
      </w:pPr>
      <w:r>
        <w:t xml:space="preserve">• </w:t>
      </w:r>
      <w:r>
        <w:rPr>
          <w:b w:val="0"/>
          <w:i w:val="0"/>
        </w:rPr>
        <w:t xml:space="preserve">Mô hình vận hành phân tán, 218–235. </w:t>
      </w:r>
      <w:r>
        <w:rPr>
          <w:b w:val="0"/>
          <w:i/>
        </w:rPr>
        <w:t>Xem thêm</w:t>
      </w:r>
      <w:r>
        <w:rPr>
          <w:b w:val="0"/>
          <w:i w:val="0"/>
        </w:rPr>
        <w:t xml:space="preserve"> Mô hình vận hành</w:t>
      </w:r>
    </w:p>
    <w:p>
      <w:pPr>
        <w:spacing w:after="80"/>
        <w:ind w:left="720"/>
      </w:pPr>
      <w:r>
        <w:t xml:space="preserve">• </w:t>
      </w:r>
      <w:r>
        <w:rPr>
          <w:b w:val="0"/>
          <w:i w:val="0"/>
        </w:rPr>
        <w:t>cấu trúc của, 219–223</w:t>
      </w:r>
    </w:p>
    <w:p>
      <w:pPr>
        <w:spacing w:after="80"/>
        <w:ind w:left="720"/>
      </w:pPr>
      <w:r>
        <w:t xml:space="preserve">• </w:t>
      </w:r>
      <w:r>
        <w:rPr>
          <w:b w:val="0"/>
          <w:i w:val="0"/>
        </w:rPr>
        <w:t>mô hình nhà máy kỹ thuật số, 225–229, 228</w:t>
      </w:r>
      <w:r>
        <w:rPr>
          <w:b w:val="0"/>
          <w:i/>
        </w:rPr>
        <w:t>e</w:t>
      </w:r>
    </w:p>
    <w:p>
      <w:pPr>
        <w:spacing w:after="80"/>
        <w:ind w:left="720"/>
      </w:pPr>
      <w:r>
        <w:t xml:space="preserve">• </w:t>
      </w:r>
      <w:r>
        <w:rPr>
          <w:b w:val="0"/>
          <w:i w:val="0"/>
        </w:rPr>
        <w:t>mô hình lĩnh vực &amp; nền tảng, 229–232, 230</w:t>
      </w:r>
      <w:r>
        <w:rPr>
          <w:b w:val="0"/>
          <w:i/>
        </w:rPr>
        <w:t>e</w:t>
      </w:r>
      <w:r>
        <w:rPr>
          <w:b w:val="0"/>
          <w:i w:val="0"/>
        </w:rPr>
        <w:t>, 233</w:t>
      </w:r>
      <w:r>
        <w:rPr>
          <w:b w:val="0"/>
          <w:i/>
        </w:rPr>
        <w:t>e</w:t>
      </w:r>
    </w:p>
    <w:p>
      <w:pPr>
        <w:spacing w:after="80"/>
        <w:ind w:left="720"/>
      </w:pPr>
      <w:r>
        <w:t xml:space="preserve">• </w:t>
      </w:r>
      <w:r>
        <w:rPr>
          <w:b w:val="0"/>
          <w:i w:val="0"/>
        </w:rPr>
        <w:t>các yếu tố của, 221</w:t>
      </w:r>
      <w:r>
        <w:rPr>
          <w:b w:val="0"/>
          <w:i/>
        </w:rPr>
        <w:t>e</w:t>
      </w:r>
    </w:p>
    <w:p>
      <w:pPr>
        <w:spacing w:after="80"/>
        <w:ind w:left="720"/>
      </w:pPr>
      <w:r>
        <w:t xml:space="preserve">• </w:t>
      </w:r>
      <w:r>
        <w:rPr>
          <w:b w:val="0"/>
          <w:i w:val="0"/>
        </w:rPr>
        <w:t>mô hình toàn doanh nghiệp, 232–235, 234</w:t>
      </w:r>
      <w:r>
        <w:rPr>
          <w:b w:val="0"/>
          <w:i/>
        </w:rPr>
        <w:t>e</w:t>
      </w:r>
    </w:p>
    <w:p>
      <w:pPr>
        <w:spacing w:after="80"/>
        <w:ind w:left="720"/>
      </w:pPr>
      <w:r>
        <w:t xml:space="preserve">• </w:t>
      </w:r>
      <w:r>
        <w:rPr>
          <w:b w:val="0"/>
          <w:i w:val="0"/>
        </w:rPr>
        <w:t>ba loại, 224</w:t>
      </w:r>
      <w:r>
        <w:rPr>
          <w:b w:val="0"/>
          <w:i/>
        </w:rPr>
        <w:t>e</w:t>
      </w:r>
    </w:p>
    <w:p>
      <w:pPr>
        <w:spacing w:after="80"/>
        <w:ind w:left="720"/>
      </w:pPr>
      <w:r>
        <w:t xml:space="preserve">• </w:t>
      </w:r>
      <w:r>
        <w:rPr>
          <w:b w:val="0"/>
          <w:i w:val="0"/>
        </w:rPr>
        <w:t>truyền thống so với, 218, 219</w:t>
      </w:r>
      <w:r>
        <w:rPr>
          <w:b w:val="0"/>
          <w:i/>
        </w:rPr>
        <w:t>e</w:t>
      </w:r>
    </w:p>
    <w:p>
      <w:pPr>
        <w:spacing w:after="80"/>
        <w:ind w:left="360"/>
      </w:pPr>
      <w:r>
        <w:t xml:space="preserve">• </w:t>
      </w:r>
      <w:r>
        <w:rPr>
          <w:b w:val="0"/>
          <w:i w:val="0"/>
        </w:rPr>
        <w:t>Vai trò người thực thi (chuyển dịch nhân tài), 14, 144, 267</w:t>
      </w:r>
    </w:p>
    <w:p>
      <w:pPr>
        <w:spacing w:after="80"/>
        <w:ind w:left="360"/>
      </w:pPr>
      <w:r>
        <w:t xml:space="preserve">• </w:t>
      </w:r>
      <w:r>
        <w:rPr>
          <w:b w:val="0"/>
          <w:i w:val="0"/>
        </w:rPr>
        <w:t>Lãnh đạo lĩnh vực, 134, 138, 213, 487, 490, 502, 528, 550</w:t>
      </w:r>
    </w:p>
    <w:p>
      <w:pPr>
        <w:spacing w:after="80"/>
        <w:ind w:left="360"/>
      </w:pPr>
      <w:r>
        <w:t xml:space="preserve">• </w:t>
      </w:r>
      <w:r>
        <w:rPr>
          <w:b w:val="0"/>
          <w:i w:val="0"/>
        </w:rPr>
        <w:t>Chủ sở hữu lĩnh vực:</w:t>
      </w:r>
    </w:p>
    <w:p>
      <w:pPr>
        <w:spacing w:after="80"/>
        <w:ind w:left="720"/>
      </w:pPr>
      <w:r>
        <w:t xml:space="preserve">• </w:t>
      </w:r>
      <w:r>
        <w:rPr>
          <w:b w:val="0"/>
          <w:i w:val="0"/>
        </w:rPr>
        <w:t>trong các nhóm adoption, 465</w:t>
      </w:r>
    </w:p>
    <w:p>
      <w:pPr>
        <w:spacing w:after="80"/>
        <w:ind w:left="720"/>
      </w:pPr>
      <w:r>
        <w:t xml:space="preserve">• </w:t>
      </w:r>
      <w:r>
        <w:rPr>
          <w:b w:val="0"/>
          <w:i w:val="0"/>
        </w:rPr>
        <w:t>trong các diễn đàn lĩnh vực dữ liệu, 420</w:t>
      </w:r>
    </w:p>
    <w:p>
      <w:pPr>
        <w:spacing w:after="80"/>
        <w:ind w:left="720"/>
      </w:pPr>
      <w:r>
        <w:t xml:space="preserve">• </w:t>
      </w:r>
      <w:r>
        <w:rPr>
          <w:b w:val="0"/>
          <w:i w:val="0"/>
        </w:rPr>
        <w:t>trong mô hình vận hành dữ liệu, 424</w:t>
      </w:r>
    </w:p>
    <w:p>
      <w:pPr>
        <w:spacing w:after="80"/>
        <w:ind w:left="720"/>
      </w:pPr>
      <w:r>
        <w:t xml:space="preserve">• </w:t>
      </w:r>
      <w:r>
        <w:rPr>
          <w:b w:val="0"/>
          <w:i w:val="0"/>
        </w:rPr>
        <w:t>trong mô hình nhà máy số, 225</w:t>
      </w:r>
    </w:p>
    <w:p>
      <w:pPr>
        <w:spacing w:after="80"/>
        <w:ind w:left="720"/>
      </w:pPr>
      <w:r>
        <w:t xml:space="preserve">• </w:t>
      </w:r>
      <w:r>
        <w:rPr>
          <w:b w:val="0"/>
          <w:i w:val="0"/>
        </w:rPr>
        <w:t>tinh thần khởi nghiệp, 504</w:t>
      </w:r>
    </w:p>
    <w:p>
      <w:pPr>
        <w:spacing w:after="80"/>
        <w:ind w:left="720"/>
      </w:pPr>
      <w:r>
        <w:t xml:space="preserve">• </w:t>
      </w:r>
      <w:r>
        <w:rPr>
          <w:b w:val="0"/>
          <w:i w:val="0"/>
        </w:rPr>
        <w:t>phát hiện, 572</w:t>
      </w:r>
    </w:p>
    <w:p>
      <w:pPr>
        <w:spacing w:after="80"/>
        <w:ind w:left="720"/>
      </w:pPr>
      <w:r>
        <w:t xml:space="preserve">• </w:t>
      </w:r>
      <w:r>
        <w:rPr>
          <w:b w:val="0"/>
          <w:i w:val="0"/>
        </w:rPr>
        <w:t>với tư cách là nhà lãnh đạo, 589</w:t>
      </w:r>
    </w:p>
    <w:p>
      <w:pPr>
        <w:spacing w:after="80"/>
        <w:ind w:left="720"/>
      </w:pPr>
      <w:r>
        <w:t xml:space="preserve">• </w:t>
      </w:r>
      <w:r>
        <w:rPr>
          <w:b w:val="0"/>
          <w:i w:val="0"/>
        </w:rPr>
        <w:t>việc đào tạo lại, 529</w:t>
      </w:r>
    </w:p>
    <w:p>
      <w:pPr>
        <w:spacing w:after="80"/>
        <w:ind w:left="720"/>
      </w:pPr>
      <w:r>
        <w:t xml:space="preserve">• </w:t>
      </w:r>
      <w:r>
        <w:rPr>
          <w:b w:val="0"/>
          <w:i w:val="0"/>
        </w:rPr>
        <w:t>với tư cách là đơn vị tích hợp hệ thống, 182</w:t>
      </w:r>
    </w:p>
    <w:p>
      <w:pPr>
        <w:spacing w:after="80"/>
        <w:ind w:left="360"/>
      </w:pPr>
      <w:r>
        <w:t xml:space="preserve">• </w:t>
      </w:r>
      <w:r>
        <w:rPr>
          <w:b w:val="0"/>
          <w:i w:val="0"/>
        </w:rPr>
        <w:t>Mô hình vận hành Lĩnh vực &amp; nền tảng (D&amp;P), 229–232, 230</w:t>
      </w:r>
      <w:r>
        <w:rPr>
          <w:b w:val="0"/>
          <w:i/>
        </w:rPr>
        <w:t>e</w:t>
      </w:r>
      <w:r>
        <w:rPr>
          <w:b w:val="0"/>
          <w:i w:val="0"/>
        </w:rPr>
        <w:t>, 261–262</w:t>
      </w:r>
    </w:p>
    <w:p>
      <w:pPr>
        <w:spacing w:after="80"/>
        <w:ind w:left="360"/>
      </w:pPr>
      <w:r>
        <w:t xml:space="preserve">• </w:t>
      </w:r>
      <w:r>
        <w:rPr>
          <w:b w:val="0"/>
          <w:i w:val="0"/>
        </w:rPr>
        <w:t>Tái tưởng tượng lĩnh vực, 63–68, 68</w:t>
      </w:r>
      <w:r>
        <w:rPr>
          <w:b w:val="0"/>
          <w:i/>
        </w:rPr>
        <w:t>e</w:t>
      </w:r>
    </w:p>
    <w:p>
      <w:pPr>
        <w:spacing w:after="80"/>
        <w:ind w:left="720"/>
      </w:pPr>
      <w:r>
        <w:t xml:space="preserve">• </w:t>
      </w:r>
      <w:r>
        <w:rPr>
          <w:b w:val="0"/>
          <w:i w:val="0"/>
        </w:rPr>
        <w:t>các vấn đề kinh doanh trong đó, 69</w:t>
      </w:r>
    </w:p>
    <w:p>
      <w:pPr>
        <w:spacing w:after="80"/>
        <w:ind w:left="720"/>
      </w:pPr>
      <w:r>
        <w:t xml:space="preserve">• </w:t>
      </w:r>
      <w:r>
        <w:rPr>
          <w:b w:val="0"/>
          <w:i w:val="0"/>
        </w:rPr>
        <w:t>đánh giá mức độ sẵn sàng của yếu tố hỗ trợ cho việc này, 74</w:t>
      </w:r>
      <w:r>
        <w:rPr>
          <w:b w:val="0"/>
          <w:i/>
        </w:rPr>
        <w:t>e</w:t>
      </w:r>
    </w:p>
    <w:p>
      <w:pPr>
        <w:spacing w:after="80"/>
        <w:ind w:left="720"/>
      </w:pPr>
      <w:r>
        <w:t xml:space="preserve">• </w:t>
      </w:r>
      <w:r>
        <w:rPr>
          <w:b w:val="0"/>
          <w:i w:val="0"/>
        </w:rPr>
        <w:t>năm bước cho việc này, 68–77, 68</w:t>
      </w:r>
      <w:r>
        <w:rPr>
          <w:b w:val="0"/>
          <w:i/>
        </w:rPr>
        <w:t>e</w:t>
      </w:r>
    </w:p>
    <w:p>
      <w:pPr>
        <w:spacing w:after="80"/>
        <w:ind w:left="720"/>
      </w:pPr>
      <w:r>
        <w:t xml:space="preserve">• </w:t>
      </w:r>
      <w:r>
        <w:rPr>
          <w:b w:val="0"/>
          <w:i w:val="0"/>
        </w:rPr>
        <w:t>việc triển khai, 76</w:t>
      </w:r>
    </w:p>
    <w:p>
      <w:pPr>
        <w:spacing w:after="80"/>
        <w:ind w:left="720"/>
      </w:pPr>
      <w:r>
        <w:t xml:space="preserve">• </w:t>
      </w:r>
      <w:r>
        <w:rPr>
          <w:b w:val="0"/>
          <w:i w:val="0"/>
        </w:rPr>
        <w:t>sự lãnh đạo cho việc này, 138</w:t>
      </w:r>
    </w:p>
    <w:p>
      <w:pPr>
        <w:spacing w:after="80"/>
        <w:ind w:left="720"/>
      </w:pPr>
      <w:r>
        <w:t xml:space="preserve">• </w:t>
      </w:r>
      <w:r>
        <w:rPr>
          <w:b w:val="0"/>
          <w:i w:val="0"/>
        </w:rPr>
        <w:t>đà cho, 77</w:t>
      </w:r>
    </w:p>
    <w:p>
      <w:pPr>
        <w:spacing w:after="80"/>
        <w:ind w:left="720"/>
      </w:pPr>
      <w:r>
        <w:t xml:space="preserve">• </w:t>
      </w:r>
      <w:r>
        <w:rPr>
          <w:b w:val="0"/>
          <w:i w:val="0"/>
        </w:rPr>
        <w:t>lộ trình cho, 70–71, 72</w:t>
      </w:r>
      <w:r>
        <w:rPr>
          <w:b w:val="0"/>
          <w:i/>
        </w:rPr>
        <w:t>e</w:t>
      </w:r>
      <w:r>
        <w:rPr>
          <w:b w:val="0"/>
          <w:i w:val="0"/>
        </w:rPr>
        <w:t>, 73</w:t>
      </w:r>
      <w:r>
        <w:rPr>
          <w:b w:val="0"/>
          <w:i/>
        </w:rPr>
        <w:t>e</w:t>
      </w:r>
    </w:p>
    <w:p>
      <w:pPr>
        <w:spacing w:after="80"/>
        <w:ind w:left="720"/>
      </w:pPr>
      <w:r>
        <w:t xml:space="preserve">• </w:t>
      </w:r>
      <w:r>
        <w:rPr>
          <w:b w:val="0"/>
          <w:i w:val="0"/>
        </w:rPr>
        <w:t>cổng theo giai đoạn để giảm rủi ro, 67</w:t>
      </w:r>
    </w:p>
    <w:p>
      <w:pPr>
        <w:spacing w:after="80"/>
        <w:ind w:left="720"/>
      </w:pPr>
      <w:r>
        <w:t xml:space="preserve">• </w:t>
      </w:r>
      <w:r>
        <w:rPr>
          <w:b w:val="0"/>
          <w:i w:val="0"/>
        </w:rPr>
        <w:t>tư duy chi phí bằng không trong, 71</w:t>
      </w:r>
    </w:p>
    <w:p>
      <w:pPr>
        <w:spacing w:after="80"/>
        <w:ind w:left="360"/>
      </w:pPr>
      <w:r>
        <w:t xml:space="preserve">• </w:t>
      </w:r>
      <w:r>
        <w:rPr>
          <w:b w:val="0"/>
          <w:i w:val="0"/>
        </w:rPr>
        <w:t>Lộ trình chuyển đổi lĩnh vực, 50, 70, 72</w:t>
      </w:r>
      <w:r>
        <w:rPr>
          <w:b w:val="0"/>
          <w:i/>
        </w:rPr>
        <w:t>e</w:t>
      </w:r>
      <w:r>
        <w:rPr>
          <w:b w:val="0"/>
          <w:i w:val="0"/>
        </w:rPr>
        <w:t>, 101, 363</w:t>
      </w:r>
    </w:p>
    <w:p>
      <w:pPr>
        <w:spacing w:after="80"/>
        <w:ind w:left="360"/>
      </w:pPr>
      <w:r>
        <w:t xml:space="preserve">• </w:t>
      </w:r>
      <w:r>
        <w:rPr>
          <w:b w:val="0"/>
          <w:i w:val="0"/>
        </w:rPr>
        <w:t>Các lĩnh vực:</w:t>
      </w:r>
    </w:p>
    <w:p>
      <w:pPr>
        <w:spacing w:after="80"/>
        <w:ind w:left="720"/>
      </w:pPr>
      <w:r>
        <w:t xml:space="preserve">• </w:t>
      </w:r>
      <w:r>
        <w:rPr>
          <w:b w:val="0"/>
          <w:i w:val="0"/>
        </w:rPr>
        <w:t>giải phẫu của, 245</w:t>
      </w:r>
      <w:r>
        <w:rPr>
          <w:b w:val="0"/>
          <w:i/>
        </w:rPr>
        <w:t>e</w:t>
      </w:r>
    </w:p>
    <w:p>
      <w:pPr>
        <w:spacing w:after="80"/>
        <w:ind w:left="720"/>
      </w:pPr>
      <w:r>
        <w:t xml:space="preserve">• </w:t>
      </w:r>
      <w:r>
        <w:rPr>
          <w:b w:val="0"/>
          <w:i w:val="0"/>
        </w:rPr>
        <w:t>cách tiếp cận dựa trên lĩnh vực, 50</w:t>
      </w:r>
    </w:p>
    <w:p>
      <w:pPr>
        <w:spacing w:after="80"/>
        <w:ind w:left="720"/>
      </w:pPr>
      <w:r>
        <w:t xml:space="preserve">• </w:t>
      </w:r>
      <w:r>
        <w:rPr>
          <w:b w:val="0"/>
          <w:i w:val="0"/>
        </w:rPr>
        <w:t>liên chức năng, 186</w:t>
      </w:r>
    </w:p>
    <w:p>
      <w:pPr>
        <w:spacing w:after="80"/>
        <w:ind w:left="720"/>
      </w:pPr>
      <w:r>
        <w:t xml:space="preserve">• </w:t>
      </w:r>
      <w:r>
        <w:rPr>
          <w:b w:val="0"/>
          <w:i w:val="0"/>
        </w:rPr>
        <w:t>định nghĩa của, 51–52</w:t>
      </w:r>
    </w:p>
    <w:p>
      <w:pPr>
        <w:spacing w:after="80"/>
        <w:ind w:left="720"/>
      </w:pPr>
      <w:r>
        <w:t xml:space="preserve">• </w:t>
      </w:r>
      <w:r>
        <w:rPr>
          <w:b w:val="0"/>
          <w:i w:val="0"/>
        </w:rPr>
        <w:t>cho doanh nghiệp mới, 58</w:t>
      </w:r>
    </w:p>
    <w:p>
      <w:pPr>
        <w:spacing w:after="80"/>
        <w:ind w:left="720"/>
      </w:pPr>
      <w:r>
        <w:t xml:space="preserve">• </w:t>
      </w:r>
      <w:r>
        <w:rPr>
          <w:b w:val="0"/>
          <w:i w:val="0"/>
        </w:rPr>
        <w:t>ưu tiên hóa, 55–58</w:t>
      </w:r>
    </w:p>
    <w:p>
      <w:pPr>
        <w:spacing w:after="80"/>
        <w:ind w:left="720"/>
      </w:pPr>
      <w:r>
        <w:t xml:space="preserve">• </w:t>
      </w:r>
      <w:r>
        <w:rPr>
          <w:b w:val="0"/>
          <w:i w:val="0"/>
        </w:rPr>
        <w:t>các yếu tố chuyển đổi của, 53–54</w:t>
      </w:r>
    </w:p>
    <w:p>
      <w:pPr>
        <w:spacing w:after="80"/>
        <w:ind w:left="360"/>
      </w:pPr>
      <w:r>
        <w:t xml:space="preserve">• </w:t>
      </w:r>
      <w:r>
        <w:rPr>
          <w:b w:val="0"/>
          <w:i w:val="0"/>
        </w:rPr>
        <w:t>Phân phối từ lĩnh vực đến giá trị (DVD), 64–67, 66</w:t>
      </w:r>
      <w:r>
        <w:rPr>
          <w:b w:val="0"/>
          <w:i/>
        </w:rPr>
        <w:t>e</w:t>
      </w:r>
      <w:r>
        <w:rPr>
          <w:b w:val="0"/>
          <w:i w:val="0"/>
        </w:rPr>
        <w:t>, 202</w:t>
      </w:r>
    </w:p>
    <w:p>
      <w:pPr>
        <w:spacing w:after="80"/>
        <w:ind w:left="360"/>
      </w:pPr>
      <w:r>
        <w:t xml:space="preserve">• </w:t>
      </w:r>
      <w:r>
        <w:rPr>
          <w:b w:val="0"/>
          <w:i w:val="0"/>
        </w:rPr>
        <w:t>DORA (Nghiên cứu và Đánh giá DevOps), 302, 490</w:t>
      </w:r>
    </w:p>
    <w:p>
      <w:pPr>
        <w:spacing w:after="80"/>
        <w:ind w:left="360"/>
      </w:pPr>
      <w:r>
        <w:t xml:space="preserve">• </w:t>
      </w:r>
      <w:r>
        <w:rPr>
          <w:b w:val="0"/>
          <w:i w:val="0"/>
        </w:rPr>
        <w:t>Drift (mô hình), 321, 348, 387, 424, 503, 517</w:t>
      </w:r>
    </w:p>
    <w:p>
      <w:pPr>
        <w:spacing w:after="80"/>
        <w:ind w:left="360"/>
      </w:pPr>
      <w:r>
        <w:t xml:space="preserve">• </w:t>
      </w:r>
      <w:r>
        <w:rPr>
          <w:b w:val="0"/>
          <w:i w:val="0"/>
        </w:rPr>
        <w:t>Lộ trình sự nghiệp song song, 167</w:t>
      </w:r>
    </w:p>
    <w:p>
      <w:pPr>
        <w:spacing w:after="80"/>
        <w:ind w:left="360"/>
      </w:pPr>
      <w:r>
        <w:t xml:space="preserve">• </w:t>
      </w:r>
      <w:r>
        <w:rPr>
          <w:b/>
          <w:i w:val="0"/>
        </w:rPr>
        <w:t>E</w:t>
      </w:r>
    </w:p>
    <w:p>
      <w:pPr>
        <w:spacing w:after="80"/>
        <w:ind w:left="360"/>
      </w:pPr>
      <w:r>
        <w:t xml:space="preserve">• </w:t>
      </w:r>
      <w:r>
        <w:rPr>
          <w:b w:val="0"/>
          <w:i w:val="0"/>
        </w:rPr>
        <w:t>Kinh tế học của các chuyển đổi Công nghệ &amp; AI, 39–45</w:t>
      </w:r>
    </w:p>
    <w:p>
      <w:pPr>
        <w:spacing w:after="80"/>
        <w:ind w:left="720"/>
      </w:pPr>
      <w:r>
        <w:t xml:space="preserve">• </w:t>
      </w:r>
      <w:r>
        <w:rPr>
          <w:b w:val="0"/>
          <w:i w:val="0"/>
        </w:rPr>
        <w:t>trọng tâm lĩnh vực, 42</w:t>
      </w:r>
    </w:p>
    <w:p>
      <w:pPr>
        <w:spacing w:after="80"/>
        <w:ind w:left="720"/>
      </w:pPr>
      <w:r>
        <w:t xml:space="preserve">• </w:t>
      </w:r>
      <w:r>
        <w:rPr>
          <w:b w:val="0"/>
          <w:i w:val="0"/>
        </w:rPr>
        <w:t>cải thiện EBITDA, 40, 41</w:t>
      </w:r>
      <w:r>
        <w:rPr>
          <w:b w:val="0"/>
          <w:i/>
        </w:rPr>
        <w:t>e</w:t>
      </w:r>
    </w:p>
    <w:p>
      <w:pPr>
        <w:spacing w:after="80"/>
        <w:ind w:left="720"/>
      </w:pPr>
      <w:r>
        <w:t xml:space="preserve">• </w:t>
      </w:r>
      <w:r>
        <w:rPr>
          <w:b w:val="0"/>
          <w:i w:val="0"/>
        </w:rPr>
        <w:t>hiệu quả tài chính vượt trội, 44–46, 46</w:t>
      </w:r>
      <w:r>
        <w:rPr>
          <w:b w:val="0"/>
          <w:i/>
        </w:rPr>
        <w:t>e</w:t>
      </w:r>
    </w:p>
    <w:p>
      <w:pPr>
        <w:spacing w:after="80"/>
        <w:ind w:left="720"/>
      </w:pPr>
      <w:r>
        <w:t xml:space="preserve">• </w:t>
      </w:r>
      <w:r>
        <w:rPr>
          <w:b w:val="0"/>
          <w:i w:val="0"/>
        </w:rPr>
        <w:t>ROI, 41</w:t>
      </w:r>
      <w:r>
        <w:rPr>
          <w:b w:val="0"/>
          <w:i/>
        </w:rPr>
        <w:t>e</w:t>
      </w:r>
    </w:p>
    <w:p>
      <w:pPr>
        <w:spacing w:after="80"/>
        <w:ind w:left="720"/>
      </w:pPr>
      <w:r>
        <w:t xml:space="preserve">• </w:t>
      </w:r>
      <w:r>
        <w:rPr>
          <w:b w:val="0"/>
          <w:i w:val="0"/>
        </w:rPr>
        <w:t>thời gian đạt giá trị, 39–40</w:t>
      </w:r>
    </w:p>
    <w:p>
      <w:pPr>
        <w:spacing w:after="80"/>
        <w:ind w:left="360"/>
      </w:pPr>
      <w:r>
        <w:t xml:space="preserve">• </w:t>
      </w:r>
      <w:r>
        <w:rPr>
          <w:b w:val="0"/>
          <w:i w:val="0"/>
        </w:rPr>
        <w:t>EBITDA, 13, 40, 43–44, 75, 77, 225, 570</w:t>
      </w:r>
    </w:p>
    <w:p>
      <w:pPr>
        <w:spacing w:after="80"/>
        <w:ind w:left="360"/>
      </w:pPr>
      <w:r>
        <w:t xml:space="preserve">• </w:t>
      </w:r>
      <w:r>
        <w:rPr>
          <w:b w:val="0"/>
          <w:i w:val="0"/>
        </w:rPr>
        <w:t>Embeddings, 385, 396, 475</w:t>
      </w:r>
    </w:p>
    <w:p>
      <w:pPr>
        <w:spacing w:after="80"/>
        <w:ind w:left="360"/>
      </w:pPr>
      <w:r>
        <w:t xml:space="preserve">• </w:t>
      </w:r>
      <w:r>
        <w:rPr>
          <w:b w:val="0"/>
          <w:i w:val="0"/>
        </w:rPr>
        <w:t>Hành vi nổi lên (emergent behaviors), 347</w:t>
      </w:r>
    </w:p>
    <w:p>
      <w:pPr>
        <w:spacing w:after="80"/>
        <w:ind w:left="360"/>
      </w:pPr>
      <w:r>
        <w:t xml:space="preserve">• </w:t>
      </w:r>
      <w:r>
        <w:rPr>
          <w:b w:val="0"/>
          <w:i w:val="0"/>
        </w:rPr>
        <w:t>Emirates NDB, 297</w:t>
      </w:r>
    </w:p>
    <w:p>
      <w:pPr>
        <w:spacing w:after="80"/>
        <w:ind w:left="360"/>
      </w:pPr>
      <w:r>
        <w:t xml:space="preserve">• </w:t>
      </w:r>
      <w:r>
        <w:rPr>
          <w:b w:val="0"/>
          <w:i w:val="0"/>
        </w:rPr>
        <w:t>Gắn kết nhân viên, 334, 460, 492</w:t>
      </w:r>
    </w:p>
    <w:p>
      <w:pPr>
        <w:spacing w:after="80"/>
        <w:ind w:left="360"/>
      </w:pPr>
      <w:r>
        <w:t xml:space="preserve">• </w:t>
      </w:r>
      <w:r>
        <w:rPr>
          <w:b w:val="0"/>
          <w:i w:val="0"/>
        </w:rPr>
        <w:t>Yếu tố hỗ trợ, 74</w:t>
      </w:r>
      <w:r>
        <w:rPr>
          <w:b w:val="0"/>
          <w:i/>
        </w:rPr>
        <w:t>e</w:t>
      </w:r>
      <w:r>
        <w:rPr>
          <w:b w:val="0"/>
          <w:i w:val="0"/>
        </w:rPr>
        <w:t>, 240, 243, 250, 317, 362, 423, 532</w:t>
      </w:r>
    </w:p>
    <w:p>
      <w:pPr>
        <w:spacing w:after="80"/>
        <w:ind w:left="360"/>
      </w:pPr>
      <w:r>
        <w:t xml:space="preserve">• </w:t>
      </w:r>
      <w:r>
        <w:rPr>
          <w:b w:val="0"/>
          <w:i w:val="0"/>
        </w:rPr>
        <w:t>Quy trình kinh doanh đầu-cuối (end-to-end):</w:t>
      </w:r>
    </w:p>
    <w:p>
      <w:pPr>
        <w:spacing w:after="80"/>
        <w:ind w:left="720"/>
      </w:pPr>
      <w:r>
        <w:t xml:space="preserve">• </w:t>
      </w:r>
      <w:r>
        <w:rPr>
          <w:b w:val="0"/>
          <w:i w:val="0"/>
        </w:rPr>
        <w:t>tự động hóa, 223</w:t>
      </w:r>
    </w:p>
    <w:p>
      <w:pPr>
        <w:spacing w:after="80"/>
        <w:ind w:left="720"/>
      </w:pPr>
      <w:r>
        <w:t xml:space="preserve">• </w:t>
      </w:r>
      <w:r>
        <w:rPr>
          <w:b w:val="0"/>
          <w:i w:val="0"/>
        </w:rPr>
        <w:t>cách tiếp cận theo lĩnh vực, 50–52</w:t>
      </w:r>
    </w:p>
    <w:p>
      <w:pPr>
        <w:spacing w:after="80"/>
        <w:ind w:left="720"/>
      </w:pPr>
      <w:r>
        <w:t xml:space="preserve">• </w:t>
      </w:r>
      <w:r>
        <w:rPr>
          <w:b w:val="0"/>
          <w:i w:val="0"/>
        </w:rPr>
        <w:t>mô hình toàn doanh nghiệp, 232</w:t>
      </w:r>
    </w:p>
    <w:p>
      <w:pPr>
        <w:spacing w:after="80"/>
        <w:ind w:left="720"/>
      </w:pPr>
      <w:r>
        <w:t xml:space="preserve">• </w:t>
      </w:r>
      <w:r>
        <w:rPr>
          <w:b w:val="0"/>
          <w:i w:val="0"/>
        </w:rPr>
        <w:t>đánh giá tác động của nó, 464</w:t>
      </w:r>
    </w:p>
    <w:p>
      <w:pPr>
        <w:spacing w:after="80"/>
        <w:ind w:left="720"/>
      </w:pPr>
      <w:r>
        <w:t xml:space="preserve">• </w:t>
      </w:r>
      <w:r>
        <w:rPr>
          <w:b w:val="0"/>
          <w:i w:val="0"/>
        </w:rPr>
        <w:t>để giải quyết vấn đề, 52, 138</w:t>
      </w:r>
    </w:p>
    <w:p>
      <w:pPr>
        <w:spacing w:after="80"/>
        <w:ind w:left="720"/>
      </w:pPr>
      <w:r>
        <w:t xml:space="preserve">• </w:t>
      </w:r>
      <w:r>
        <w:rPr>
          <w:b w:val="0"/>
          <w:i w:val="0"/>
        </w:rPr>
        <w:t>tạo nguyên mẫu, 267</w:t>
      </w:r>
    </w:p>
    <w:p>
      <w:pPr>
        <w:spacing w:after="80"/>
        <w:ind w:left="720"/>
      </w:pPr>
      <w:r>
        <w:t xml:space="preserve">• </w:t>
      </w:r>
      <w:r>
        <w:rPr>
          <w:b w:val="0"/>
          <w:i w:val="0"/>
        </w:rPr>
        <w:t>khả năng tái sử dụng, 474</w:t>
      </w:r>
    </w:p>
    <w:p>
      <w:pPr>
        <w:spacing w:after="80"/>
        <w:ind w:left="720"/>
      </w:pPr>
      <w:r>
        <w:t xml:space="preserve">• </w:t>
      </w:r>
      <w:r>
        <w:rPr>
          <w:b w:val="0"/>
          <w:i w:val="0"/>
        </w:rPr>
        <w:t>làm gương cho, 172</w:t>
      </w:r>
    </w:p>
    <w:p>
      <w:pPr>
        <w:spacing w:after="80"/>
        <w:ind w:left="720"/>
      </w:pPr>
      <w:r>
        <w:t xml:space="preserve">• </w:t>
      </w:r>
      <w:r>
        <w:rPr>
          <w:b w:val="0"/>
          <w:i w:val="0"/>
        </w:rPr>
        <w:t>phát triển phần mềm, 318</w:t>
      </w:r>
    </w:p>
    <w:p>
      <w:pPr>
        <w:spacing w:after="80"/>
        <w:ind w:left="720"/>
      </w:pPr>
      <w:r>
        <w:t xml:space="preserve">• </w:t>
      </w:r>
      <w:r>
        <w:rPr>
          <w:b w:val="0"/>
          <w:i w:val="0"/>
        </w:rPr>
        <w:t>cho chuỗi cung ứng, 558</w:t>
      </w:r>
    </w:p>
    <w:p>
      <w:pPr>
        <w:spacing w:after="80"/>
        <w:ind w:left="720"/>
      </w:pPr>
      <w:r>
        <w:t xml:space="preserve">• </w:t>
      </w:r>
      <w:r>
        <w:rPr>
          <w:b w:val="0"/>
          <w:i w:val="0"/>
        </w:rPr>
        <w:t>cho các nhà tích hợp hệ thống, 182</w:t>
      </w:r>
    </w:p>
    <w:p>
      <w:pPr>
        <w:spacing w:after="80"/>
        <w:ind w:left="360"/>
      </w:pPr>
      <w:r>
        <w:t xml:space="preserve">• </w:t>
      </w:r>
      <w:r>
        <w:rPr>
          <w:b w:val="0"/>
          <w:i w:val="0"/>
        </w:rPr>
        <w:t>Kỹ thuật và R&amp;D (ER&amp;D), 155</w:t>
      </w:r>
    </w:p>
    <w:p>
      <w:pPr>
        <w:spacing w:after="80"/>
        <w:ind w:left="360"/>
      </w:pPr>
      <w:r>
        <w:t xml:space="preserve">• </w:t>
      </w:r>
      <w:r>
        <w:rPr>
          <w:b w:val="0"/>
          <w:i w:val="0"/>
        </w:rPr>
        <w:t>Nền tảng kỹ thuật, 289, 303–304</w:t>
      </w:r>
    </w:p>
    <w:p>
      <w:pPr>
        <w:spacing w:after="80"/>
        <w:ind w:left="360"/>
      </w:pPr>
      <w:r>
        <w:t xml:space="preserve">• </w:t>
      </w:r>
      <w:r>
        <w:rPr>
          <w:b w:val="0"/>
          <w:i w:val="0"/>
        </w:rPr>
        <w:t>Thực hành kỹ thuật, 301–311</w:t>
      </w:r>
    </w:p>
    <w:p>
      <w:pPr>
        <w:spacing w:after="80"/>
        <w:ind w:left="360"/>
      </w:pPr>
      <w:r>
        <w:t xml:space="preserve">• </w:t>
      </w:r>
      <w:r>
        <w:rPr>
          <w:b w:val="0"/>
          <w:i w:val="0"/>
        </w:rPr>
        <w:t>Kiến trúc sư doanh nghiệp (EAs), 298–299, 546</w:t>
      </w:r>
    </w:p>
    <w:p>
      <w:pPr>
        <w:spacing w:after="80"/>
        <w:ind w:left="360"/>
      </w:pPr>
      <w:r>
        <w:t xml:space="preserve">• </w:t>
      </w:r>
      <w:r>
        <w:rPr>
          <w:b w:val="0"/>
          <w:i w:val="0"/>
        </w:rPr>
        <w:t>Kiến trúc doanh nghiệp, 353, 547, 551</w:t>
      </w:r>
    </w:p>
    <w:p>
      <w:pPr>
        <w:spacing w:after="80"/>
        <w:ind w:left="360"/>
      </w:pPr>
      <w:r>
        <w:t xml:space="preserve">• </w:t>
      </w:r>
      <w:r>
        <w:rPr>
          <w:b w:val="0"/>
          <w:i w:val="0"/>
        </w:rPr>
        <w:t>Nền tảng doanh nghiệp, 260, 290</w:t>
      </w:r>
    </w:p>
    <w:p>
      <w:pPr>
        <w:spacing w:after="80"/>
        <w:ind w:left="360"/>
      </w:pPr>
      <w:r>
        <w:t xml:space="preserve">• </w:t>
      </w:r>
      <w:r>
        <w:rPr>
          <w:b w:val="0"/>
          <w:i w:val="0"/>
        </w:rPr>
        <w:t>Hệ thống doanh nghiệp, 105</w:t>
      </w:r>
      <w:r>
        <w:rPr>
          <w:b w:val="0"/>
          <w:i/>
        </w:rPr>
        <w:t>e</w:t>
      </w:r>
    </w:p>
    <w:p>
      <w:pPr>
        <w:spacing w:after="80"/>
        <w:ind w:left="360"/>
      </w:pPr>
      <w:r>
        <w:t xml:space="preserve">• </w:t>
      </w:r>
      <w:r>
        <w:rPr>
          <w:b w:val="0"/>
          <w:i w:val="0"/>
        </w:rPr>
        <w:t>Mô hình toàn doanh nghiệp, 232–235</w:t>
      </w:r>
    </w:p>
    <w:p>
      <w:pPr>
        <w:spacing w:after="80"/>
        <w:ind w:left="360"/>
      </w:pPr>
      <w:r>
        <w:t xml:space="preserve">• </w:t>
      </w:r>
      <w:r>
        <w:rPr>
          <w:b w:val="0"/>
          <w:i w:val="0"/>
        </w:rPr>
        <w:t>E.ON Next, 79–80, 83, 85, 87</w:t>
      </w:r>
    </w:p>
    <w:p>
      <w:pPr>
        <w:spacing w:after="80"/>
        <w:ind w:left="360"/>
      </w:pPr>
      <w:r>
        <w:t xml:space="preserve">• </w:t>
      </w:r>
      <w:r>
        <w:rPr>
          <w:b w:val="0"/>
          <w:i w:val="0"/>
        </w:rPr>
        <w:t>Hệ thống ERP, 33, 43, 90, 295, 349, 359–360, 508</w:t>
      </w:r>
    </w:p>
    <w:p>
      <w:pPr>
        <w:spacing w:after="80"/>
        <w:ind w:left="360"/>
      </w:pPr>
      <w:r>
        <w:t xml:space="preserve">• </w:t>
      </w:r>
      <w:r>
        <w:rPr>
          <w:b w:val="0"/>
          <w:i w:val="0"/>
        </w:rPr>
        <w:t>Đạo luật AI của EU, 423</w:t>
      </w:r>
      <w:r>
        <w:rPr>
          <w:b w:val="0"/>
          <w:i/>
        </w:rPr>
        <w:t>e</w:t>
      </w:r>
      <w:r>
        <w:rPr>
          <w:b w:val="0"/>
          <w:i w:val="0"/>
        </w:rPr>
        <w:t>, 517</w:t>
      </w:r>
    </w:p>
    <w:p>
      <w:pPr>
        <w:spacing w:after="80"/>
        <w:ind w:left="360"/>
      </w:pPr>
      <w:r>
        <w:t xml:space="preserve">• </w:t>
      </w:r>
      <w:r>
        <w:rPr>
          <w:b w:val="0"/>
          <w:i w:val="0"/>
        </w:rPr>
        <w:t>Các loại đánh giá (“eval”) (AI agents), 94</w:t>
      </w:r>
    </w:p>
    <w:p>
      <w:pPr>
        <w:spacing w:after="80"/>
        <w:ind w:left="360"/>
      </w:pPr>
      <w:r>
        <w:t xml:space="preserve">• </w:t>
      </w:r>
      <w:r>
        <w:rPr>
          <w:b w:val="0"/>
          <w:i w:val="0"/>
        </w:rPr>
        <w:t>Kiến trúc hướng sự kiện, 360</w:t>
      </w:r>
    </w:p>
    <w:p>
      <w:pPr>
        <w:spacing w:after="80"/>
        <w:ind w:left="360"/>
      </w:pPr>
      <w:r>
        <w:t xml:space="preserve">• </w:t>
      </w:r>
      <w:r>
        <w:rPr>
          <w:b w:val="0"/>
          <w:i w:val="0"/>
        </w:rPr>
        <w:t>Bảo trợ từ ban điều hành, 57</w:t>
      </w:r>
    </w:p>
    <w:p>
      <w:pPr>
        <w:spacing w:after="80"/>
        <w:ind w:left="360"/>
      </w:pPr>
      <w:r>
        <w:t xml:space="preserve">• </w:t>
      </w:r>
      <w:r>
        <w:rPr>
          <w:b w:val="0"/>
          <w:i w:val="0"/>
        </w:rPr>
        <w:t>Thử nghiệm và quản lý tính năng, 304</w:t>
      </w:r>
    </w:p>
    <w:p>
      <w:pPr>
        <w:spacing w:after="80"/>
        <w:ind w:left="360"/>
      </w:pPr>
      <w:r>
        <w:t xml:space="preserve">• </w:t>
      </w:r>
      <w:r>
        <w:rPr>
          <w:b w:val="0"/>
          <w:i w:val="0"/>
        </w:rPr>
        <w:t>Cách tiếp cận làn sóng lũy thừa (mở rộng giải pháp), 470</w:t>
      </w:r>
    </w:p>
    <w:p>
      <w:pPr>
        <w:spacing w:after="80"/>
        <w:ind w:left="360"/>
      </w:pPr>
      <w:r>
        <w:t xml:space="preserve">• </w:t>
      </w:r>
      <w:r>
        <w:rPr>
          <w:b/>
          <w:i w:val="0"/>
        </w:rPr>
        <w:t>F</w:t>
      </w:r>
    </w:p>
    <w:p>
      <w:pPr>
        <w:spacing w:after="80"/>
        <w:ind w:left="360"/>
      </w:pPr>
      <w:r>
        <w:t xml:space="preserve">• </w:t>
      </w:r>
      <w:r>
        <w:rPr>
          <w:b w:val="0"/>
          <w:i w:val="0"/>
        </w:rPr>
        <w:t>Điểm F1/độ chính xác và độ phủ (“eval” type), 94, 250</w:t>
      </w:r>
    </w:p>
    <w:p>
      <w:pPr>
        <w:spacing w:after="80"/>
        <w:ind w:left="360"/>
      </w:pPr>
      <w:r>
        <w:t xml:space="preserve">• </w:t>
      </w:r>
      <w:r>
        <w:rPr>
          <w:b w:val="0"/>
          <w:i w:val="0"/>
        </w:rPr>
        <w:t>Độ chính xác giả, 75, 77</w:t>
      </w:r>
    </w:p>
    <w:p>
      <w:pPr>
        <w:spacing w:after="80"/>
        <w:ind w:left="360"/>
      </w:pPr>
      <w:r>
        <w:t xml:space="preserve">• </w:t>
      </w:r>
      <w:r>
        <w:rPr>
          <w:b w:val="0"/>
          <w:i w:val="0"/>
        </w:rPr>
        <w:t>Người học không sợ hãi (đặc điểm lãnh đạo), 35, 134</w:t>
      </w:r>
    </w:p>
    <w:p>
      <w:pPr>
        <w:spacing w:after="80"/>
        <w:ind w:left="360"/>
      </w:pPr>
      <w:r>
        <w:t xml:space="preserve">• </w:t>
      </w:r>
      <w:r>
        <w:rPr>
          <w:b w:val="0"/>
          <w:i w:val="0"/>
        </w:rPr>
        <w:t>Mô hình tổ chức liên kết, 6, 116, 418, 420, 424, 520, 587</w:t>
      </w:r>
    </w:p>
    <w:p>
      <w:pPr>
        <w:spacing w:after="80"/>
        <w:ind w:left="360"/>
      </w:pPr>
      <w:r>
        <w:t xml:space="preserve">• </w:t>
      </w:r>
      <w:r>
        <w:rPr>
          <w:b w:val="0"/>
          <w:i w:val="0"/>
        </w:rPr>
        <w:t>Vòng lặp phản hồi, 90, 91, 146, 396, 425</w:t>
      </w:r>
    </w:p>
    <w:p>
      <w:pPr>
        <w:spacing w:after="80"/>
        <w:ind w:left="360"/>
      </w:pPr>
      <w:r>
        <w:t xml:space="preserve">• </w:t>
      </w:r>
      <w:r>
        <w:rPr>
          <w:b w:val="0"/>
          <w:i w:val="0"/>
        </w:rPr>
        <w:t>Lợi ích tài chính, 56</w:t>
      </w:r>
    </w:p>
    <w:p>
      <w:pPr>
        <w:spacing w:after="80"/>
        <w:ind w:left="360"/>
      </w:pPr>
      <w:r>
        <w:t xml:space="preserve">• </w:t>
      </w:r>
      <w:r>
        <w:rPr>
          <w:b w:val="0"/>
          <w:i w:val="0"/>
        </w:rPr>
        <w:t>FinOps (quản lý vận hành tài chính), 321, 334, 366–367</w:t>
      </w:r>
    </w:p>
    <w:p>
      <w:pPr>
        <w:spacing w:after="80"/>
        <w:ind w:left="360"/>
      </w:pPr>
      <w:r>
        <w:t xml:space="preserve">• </w:t>
      </w:r>
      <w:r>
        <w:rPr>
          <w:b w:val="0"/>
          <w:i w:val="0"/>
        </w:rPr>
        <w:t>Tường lửa (Firewalls), 427, 428</w:t>
      </w:r>
    </w:p>
    <w:p>
      <w:pPr>
        <w:spacing w:after="80"/>
        <w:ind w:left="360"/>
      </w:pPr>
      <w:r>
        <w:t xml:space="preserve">• </w:t>
      </w:r>
      <w:r>
        <w:rPr>
          <w:b w:val="0"/>
          <w:i w:val="0"/>
        </w:rPr>
        <w:t>Đội ngũ flow-to-work, 232</w:t>
      </w:r>
    </w:p>
    <w:p>
      <w:pPr>
        <w:spacing w:after="80"/>
        <w:ind w:left="360"/>
      </w:pPr>
      <w:r>
        <w:t xml:space="preserve">• </w:t>
      </w:r>
      <w:r>
        <w:rPr>
          <w:b w:val="0"/>
          <w:i w:val="0"/>
        </w:rPr>
        <w:t>Ford, Robert B., 265</w:t>
      </w:r>
    </w:p>
    <w:p>
      <w:pPr>
        <w:spacing w:after="80"/>
        <w:ind w:left="360"/>
      </w:pPr>
      <w:r>
        <w:t xml:space="preserve">• </w:t>
      </w:r>
      <w:r>
        <w:rPr>
          <w:b w:val="0"/>
          <w:i w:val="0"/>
        </w:rPr>
        <w:t>Những nhà chuyển đổi bền bỉ (lãnh đạo), 36, 44</w:t>
      </w:r>
    </w:p>
    <w:p>
      <w:pPr>
        <w:spacing w:after="80"/>
        <w:ind w:left="360"/>
      </w:pPr>
      <w:r>
        <w:t xml:space="preserve">• </w:t>
      </w:r>
      <w:r>
        <w:rPr>
          <w:b w:val="0"/>
          <w:i w:val="0"/>
        </w:rPr>
        <w:t>Mô hình nền tảng (Foundation models), 8, 17, 203, 282, 329, 338, 512, 517</w:t>
      </w:r>
    </w:p>
    <w:p>
      <w:pPr>
        <w:spacing w:after="80"/>
        <w:ind w:left="360"/>
      </w:pPr>
      <w:r>
        <w:t xml:space="preserve">• </w:t>
      </w:r>
      <w:r>
        <w:rPr>
          <w:b w:val="0"/>
          <w:i w:val="0"/>
        </w:rPr>
        <w:t>Năng lực nền tảng, 75, 111, 186</w:t>
      </w:r>
    </w:p>
    <w:p>
      <w:pPr>
        <w:spacing w:after="80"/>
        <w:ind w:left="360"/>
      </w:pPr>
      <w:r>
        <w:t xml:space="preserve">• </w:t>
      </w:r>
      <w:r>
        <w:rPr>
          <w:b w:val="0"/>
          <w:i w:val="0"/>
        </w:rPr>
        <w:t>Tính mong manh (hiện đại hóa lõi IT), 361</w:t>
      </w:r>
    </w:p>
    <w:p>
      <w:pPr>
        <w:spacing w:after="80"/>
        <w:ind w:left="360"/>
      </w:pPr>
      <w:r>
        <w:t xml:space="preserve">• </w:t>
      </w:r>
      <w:r>
        <w:rPr>
          <w:b w:val="0"/>
          <w:i w:val="0"/>
        </w:rPr>
        <w:t>Freeport-McMoRan, 34, 42–43, 49, 382–383, 461, 504, 567–579</w:t>
      </w:r>
    </w:p>
    <w:p>
      <w:pPr>
        <w:spacing w:after="80"/>
        <w:ind w:left="360"/>
      </w:pPr>
      <w:r>
        <w:t xml:space="preserve">• </w:t>
      </w:r>
      <w:r>
        <w:rPr>
          <w:b w:val="0"/>
          <w:i w:val="0"/>
        </w:rPr>
        <w:t>Học trước (xây dựng doanh nghiệp mới), 267</w:t>
      </w:r>
    </w:p>
    <w:p>
      <w:pPr>
        <w:spacing w:after="80"/>
        <w:ind w:left="360"/>
      </w:pPr>
      <w:r>
        <w:t xml:space="preserve">• </w:t>
      </w:r>
      <w:r>
        <w:rPr>
          <w:b w:val="0"/>
          <w:i w:val="0"/>
        </w:rPr>
        <w:t>Kỹ sư full-stack, 153</w:t>
      </w:r>
    </w:p>
    <w:p>
      <w:pPr>
        <w:spacing w:after="80"/>
        <w:ind w:left="360"/>
      </w:pPr>
      <w:r>
        <w:t xml:space="preserve">• </w:t>
      </w:r>
      <w:r>
        <w:rPr>
          <w:b w:val="0"/>
          <w:i w:val="0"/>
        </w:rPr>
        <w:t>Cơ chế cấp vốn, 76</w:t>
      </w:r>
    </w:p>
    <w:p>
      <w:pPr>
        <w:spacing w:after="80"/>
        <w:ind w:left="360"/>
      </w:pPr>
      <w:r>
        <w:t xml:space="preserve">• </w:t>
      </w:r>
      <w:r>
        <w:rPr>
          <w:b w:val="0"/>
          <w:i w:val="0"/>
        </w:rPr>
        <w:t>Mô hình cấp vốn, 139, 268, 479</w:t>
      </w:r>
    </w:p>
    <w:p>
      <w:pPr>
        <w:spacing w:after="80"/>
        <w:ind w:left="360"/>
      </w:pPr>
      <w:r>
        <w:t xml:space="preserve">• </w:t>
      </w:r>
      <w:r>
        <w:rPr>
          <w:b/>
          <w:i w:val="0"/>
        </w:rPr>
        <w:t>G</w:t>
      </w:r>
    </w:p>
    <w:p>
      <w:pPr>
        <w:spacing w:after="80"/>
        <w:ind w:left="360"/>
      </w:pPr>
      <w:r>
        <w:t xml:space="preserve">• </w:t>
      </w:r>
      <w:r>
        <w:rPr>
          <w:b w:val="0"/>
          <w:i w:val="0"/>
        </w:rPr>
        <w:t>Gallo, Paolo, 225, 227</w:t>
      </w:r>
    </w:p>
    <w:p>
      <w:pPr>
        <w:spacing w:after="80"/>
        <w:ind w:left="360"/>
      </w:pPr>
      <w:r>
        <w:t xml:space="preserve">• </w:t>
      </w:r>
      <w:r>
        <w:rPr>
          <w:b w:val="0"/>
          <w:i w:val="0"/>
        </w:rPr>
        <w:t>Cổng kết nối:</w:t>
      </w:r>
    </w:p>
    <w:p>
      <w:pPr>
        <w:spacing w:after="80"/>
        <w:ind w:left="720"/>
      </w:pPr>
      <w:r>
        <w:t xml:space="preserve">• </w:t>
      </w:r>
      <w:r>
        <w:rPr>
          <w:b w:val="0"/>
          <w:i w:val="0"/>
        </w:rPr>
        <w:t>API, 296</w:t>
      </w:r>
    </w:p>
    <w:p>
      <w:pPr>
        <w:spacing w:after="80"/>
        <w:ind w:left="720"/>
      </w:pPr>
      <w:r>
        <w:t xml:space="preserve">• </w:t>
      </w:r>
      <w:r>
        <w:rPr>
          <w:b w:val="0"/>
          <w:i w:val="0"/>
        </w:rPr>
        <w:t>nền tảng tác tử, 354</w:t>
      </w:r>
      <w:r>
        <w:rPr>
          <w:b w:val="0"/>
          <w:i/>
        </w:rPr>
        <w:t>e</w:t>
      </w:r>
    </w:p>
    <w:p>
      <w:pPr>
        <w:spacing w:after="80"/>
        <w:ind w:left="720"/>
      </w:pPr>
      <w:r>
        <w:t xml:space="preserve">• </w:t>
      </w:r>
      <w:r>
        <w:rPr>
          <w:b w:val="0"/>
          <w:i w:val="0"/>
        </w:rPr>
        <w:t>truy cập dữ liệu, 392</w:t>
      </w:r>
    </w:p>
    <w:p>
      <w:pPr>
        <w:spacing w:after="80"/>
        <w:ind w:left="720"/>
      </w:pPr>
      <w:r>
        <w:t xml:space="preserve">• </w:t>
      </w:r>
      <w:r>
        <w:rPr>
          <w:b w:val="0"/>
          <w:i w:val="0"/>
        </w:rPr>
        <w:t>năng lực dữ liệu cho GenAI, 396</w:t>
      </w:r>
    </w:p>
    <w:p>
      <w:pPr>
        <w:spacing w:after="80"/>
        <w:ind w:left="720"/>
      </w:pPr>
      <w:r>
        <w:t xml:space="preserve">• </w:t>
      </w:r>
      <w:r>
        <w:rPr>
          <w:b w:val="0"/>
          <w:i w:val="0"/>
        </w:rPr>
        <w:t>lớp truy cập mô hình, 475</w:t>
      </w:r>
    </w:p>
    <w:p>
      <w:pPr>
        <w:spacing w:after="80"/>
        <w:ind w:left="360"/>
      </w:pPr>
      <w:r>
        <w:t xml:space="preserve">• </w:t>
      </w:r>
      <w:r>
        <w:rPr>
          <w:b w:val="0"/>
          <w:i w:val="0"/>
        </w:rPr>
        <w:t>GE Aerospace (bản sao kỹ thuật số), 405</w:t>
      </w:r>
    </w:p>
    <w:p>
      <w:pPr>
        <w:spacing w:after="80"/>
        <w:ind w:left="360"/>
      </w:pPr>
      <w:r>
        <w:t xml:space="preserve">• </w:t>
      </w:r>
      <w:r>
        <w:rPr>
          <w:b w:val="0"/>
          <w:i/>
        </w:rPr>
        <w:t>The Geek Way</w:t>
      </w:r>
      <w:r>
        <w:rPr>
          <w:b w:val="0"/>
          <w:i w:val="0"/>
        </w:rPr>
        <w:t xml:space="preserve"> (McAfee), 489</w:t>
      </w:r>
    </w:p>
    <w:p>
      <w:pPr>
        <w:spacing w:after="80"/>
        <w:ind w:left="360"/>
      </w:pPr>
      <w:r>
        <w:t xml:space="preserve">• </w:t>
      </w:r>
      <w:r>
        <w:rPr>
          <w:b w:val="0"/>
          <w:i w:val="0"/>
        </w:rPr>
        <w:t>General Motors, 144</w:t>
      </w:r>
    </w:p>
    <w:p>
      <w:pPr>
        <w:spacing w:after="80"/>
        <w:ind w:left="360"/>
      </w:pPr>
      <w:r>
        <w:t xml:space="preserve">• </w:t>
      </w:r>
      <w:r>
        <w:rPr>
          <w:b w:val="0"/>
          <w:i w:val="0"/>
        </w:rPr>
        <w:t>Generative AI (GenAI):</w:t>
      </w:r>
    </w:p>
    <w:p>
      <w:pPr>
        <w:spacing w:after="80"/>
        <w:ind w:left="720"/>
      </w:pPr>
      <w:r>
        <w:t xml:space="preserve">• </w:t>
      </w:r>
      <w:r>
        <w:rPr>
          <w:b w:val="0"/>
          <w:i w:val="0"/>
        </w:rPr>
        <w:t>các cách tiếp cận áp dụng, 465–466</w:t>
      </w:r>
    </w:p>
    <w:p>
      <w:pPr>
        <w:spacing w:after="80"/>
        <w:ind w:left="720"/>
      </w:pPr>
      <w:r>
        <w:t xml:space="preserve">• </w:t>
      </w:r>
      <w:r>
        <w:rPr>
          <w:b w:val="0"/>
          <w:i w:val="0"/>
        </w:rPr>
        <w:t>mua (chi phí thực sự), 106</w:t>
      </w:r>
    </w:p>
    <w:p>
      <w:pPr>
        <w:spacing w:after="80"/>
        <w:ind w:left="720"/>
      </w:pPr>
      <w:r>
        <w:t xml:space="preserve">• </w:t>
      </w:r>
      <w:r>
        <w:rPr>
          <w:b w:val="0"/>
          <w:i w:val="0"/>
        </w:rPr>
        <w:t>chi phí đám mây từ đó, 366</w:t>
      </w:r>
    </w:p>
    <w:p>
      <w:pPr>
        <w:spacing w:after="80"/>
        <w:ind w:left="720"/>
      </w:pPr>
      <w:r>
        <w:t xml:space="preserve">• </w:t>
      </w:r>
      <w:r>
        <w:rPr>
          <w:b w:val="0"/>
          <w:i w:val="0"/>
        </w:rPr>
        <w:t>làm sạch dữ liệu bằng, 386–388</w:t>
      </w:r>
    </w:p>
    <w:p>
      <w:pPr>
        <w:spacing w:after="80"/>
        <w:ind w:left="720"/>
      </w:pPr>
      <w:r>
        <w:t xml:space="preserve">• </w:t>
      </w:r>
      <w:r>
        <w:rPr>
          <w:b w:val="0"/>
          <w:i w:val="0"/>
        </w:rPr>
        <w:t>định nghĩa, 81</w:t>
      </w:r>
    </w:p>
    <w:p>
      <w:pPr>
        <w:spacing w:after="80"/>
        <w:ind w:left="720"/>
      </w:pPr>
      <w:r>
        <w:t xml:space="preserve">• </w:t>
      </w:r>
      <w:r>
        <w:rPr>
          <w:b w:val="0"/>
          <w:i w:val="0"/>
        </w:rPr>
        <w:t>ảnh hưởng đến phát triển phần mềm, 314–315, 317</w:t>
      </w:r>
    </w:p>
    <w:p>
      <w:pPr>
        <w:spacing w:after="80"/>
        <w:ind w:left="720"/>
      </w:pPr>
      <w:r>
        <w:t xml:space="preserve">• </w:t>
      </w:r>
      <w:r>
        <w:rPr>
          <w:b w:val="0"/>
          <w:i w:val="0"/>
        </w:rPr>
        <w:t>tác động đến bối cảnh rủi ro, 520</w:t>
      </w:r>
    </w:p>
    <w:p>
      <w:pPr>
        <w:spacing w:after="80"/>
        <w:ind w:left="720"/>
      </w:pPr>
      <w:r>
        <w:t xml:space="preserve">• </w:t>
      </w:r>
      <w:r>
        <w:rPr>
          <w:b w:val="0"/>
          <w:i w:val="0"/>
        </w:rPr>
        <w:t>đồ thị tri thức cho, 385</w:t>
      </w:r>
    </w:p>
    <w:p>
      <w:pPr>
        <w:spacing w:after="80"/>
        <w:ind w:left="720"/>
      </w:pPr>
      <w:r>
        <w:t xml:space="preserve">• </w:t>
      </w:r>
      <w:r>
        <w:rPr>
          <w:b w:val="0"/>
          <w:i w:val="0"/>
        </w:rPr>
        <w:t>và các hệ thống cũ, 364</w:t>
      </w:r>
    </w:p>
    <w:p>
      <w:pPr>
        <w:spacing w:after="80"/>
        <w:ind w:left="720"/>
      </w:pPr>
      <w:r>
        <w:t xml:space="preserve">• </w:t>
      </w:r>
      <w:r>
        <w:rPr>
          <w:b w:val="0"/>
          <w:i w:val="0"/>
        </w:rPr>
        <w:t>mức độ sẵn sàng cho, 395–396</w:t>
      </w:r>
    </w:p>
    <w:p>
      <w:pPr>
        <w:spacing w:after="80"/>
        <w:ind w:left="720"/>
      </w:pPr>
      <w:r>
        <w:t xml:space="preserve">• </w:t>
      </w:r>
      <w:r>
        <w:rPr>
          <w:b w:val="0"/>
          <w:i w:val="0"/>
        </w:rPr>
        <w:t>việc sử dụng có trách nhiệm, 515</w:t>
      </w:r>
    </w:p>
    <w:p>
      <w:pPr>
        <w:spacing w:after="80"/>
        <w:ind w:left="720"/>
      </w:pPr>
      <w:r>
        <w:t xml:space="preserve">• </w:t>
      </w:r>
      <w:r>
        <w:rPr>
          <w:b w:val="0"/>
          <w:i w:val="0"/>
        </w:rPr>
        <w:t>các loại rủi ro, 513</w:t>
      </w:r>
      <w:r>
        <w:rPr>
          <w:b w:val="0"/>
          <w:i/>
        </w:rPr>
        <w:t>e</w:t>
      </w:r>
    </w:p>
    <w:p>
      <w:pPr>
        <w:spacing w:after="80"/>
        <w:ind w:left="720"/>
      </w:pPr>
      <w:r>
        <w:t xml:space="preserve">• </w:t>
      </w:r>
      <w:r>
        <w:rPr>
          <w:b w:val="0"/>
          <w:i w:val="0"/>
        </w:rPr>
        <w:t>và phân loại vai trò, 203</w:t>
      </w:r>
    </w:p>
    <w:p>
      <w:pPr>
        <w:spacing w:after="80"/>
        <w:ind w:left="720"/>
      </w:pPr>
      <w:r>
        <w:t xml:space="preserve">• </w:t>
      </w:r>
      <w:r>
        <w:rPr>
          <w:b w:val="0"/>
          <w:i w:val="0"/>
        </w:rPr>
        <w:t>mở rộng quy mô, 330</w:t>
      </w:r>
    </w:p>
    <w:p>
      <w:pPr>
        <w:spacing w:after="80"/>
        <w:ind w:left="720"/>
      </w:pPr>
      <w:r>
        <w:t xml:space="preserve">• </w:t>
      </w:r>
      <w:r>
        <w:rPr>
          <w:b w:val="0"/>
          <w:i w:val="0"/>
        </w:rPr>
        <w:t>bảo mật trong, 310, 512</w:t>
      </w:r>
    </w:p>
    <w:p>
      <w:pPr>
        <w:spacing w:after="80"/>
        <w:ind w:left="720"/>
      </w:pPr>
      <w:r>
        <w:t xml:space="preserve">• </w:t>
      </w:r>
      <w:r>
        <w:rPr>
          <w:b w:val="0"/>
          <w:i w:val="0"/>
        </w:rPr>
        <w:t>các yếu tố thành công cho, 95</w:t>
      </w:r>
    </w:p>
    <w:p>
      <w:pPr>
        <w:spacing w:after="80"/>
        <w:ind w:left="720"/>
      </w:pPr>
      <w:r>
        <w:t xml:space="preserve">• </w:t>
      </w:r>
      <w:r>
        <w:rPr>
          <w:b w:val="0"/>
          <w:i w:val="0"/>
        </w:rPr>
        <w:t>đội ngũ cho, 146</w:t>
      </w:r>
    </w:p>
    <w:p>
      <w:pPr>
        <w:spacing w:after="80"/>
        <w:ind w:left="720"/>
      </w:pPr>
      <w:r>
        <w:t xml:space="preserve">• </w:t>
      </w:r>
      <w:r>
        <w:rPr>
          <w:b w:val="0"/>
          <w:i w:val="0"/>
        </w:rPr>
        <w:t>niềm tin vào, 459</w:t>
      </w:r>
    </w:p>
    <w:p>
      <w:pPr>
        <w:spacing w:after="80"/>
        <w:ind w:left="720"/>
      </w:pPr>
      <w:r>
        <w:t xml:space="preserve">• </w:t>
      </w:r>
      <w:r>
        <w:rPr>
          <w:b w:val="0"/>
          <w:i w:val="0"/>
        </w:rPr>
        <w:t>khả năng sử dụng của, 530–531</w:t>
      </w:r>
    </w:p>
    <w:p>
      <w:pPr>
        <w:spacing w:after="80"/>
        <w:ind w:left="360"/>
      </w:pPr>
      <w:r>
        <w:t xml:space="preserve">• </w:t>
      </w:r>
      <w:r>
        <w:rPr>
          <w:b w:val="0"/>
          <w:i w:val="0"/>
        </w:rPr>
        <w:t>Khả năng phục hồi địa lý (Geo-resilience), 157</w:t>
      </w:r>
    </w:p>
    <w:p>
      <w:pPr>
        <w:spacing w:after="80"/>
        <w:ind w:left="360"/>
      </w:pPr>
      <w:r>
        <w:t xml:space="preserve">• </w:t>
      </w:r>
      <w:r>
        <w:rPr>
          <w:b w:val="0"/>
          <w:i w:val="0"/>
        </w:rPr>
        <w:t>GitLab, 481</w:t>
      </w:r>
    </w:p>
    <w:p>
      <w:pPr>
        <w:spacing w:after="80"/>
        <w:ind w:left="360"/>
      </w:pPr>
      <w:r>
        <w:t xml:space="preserve">• </w:t>
      </w:r>
      <w:r>
        <w:rPr>
          <w:b w:val="0"/>
          <w:i w:val="0"/>
        </w:rPr>
        <w:t>Các trung tâm năng lực toàn cầu (Global capability centers - GCCs), 155–157</w:t>
      </w:r>
    </w:p>
    <w:p>
      <w:pPr>
        <w:spacing w:after="80"/>
        <w:ind w:left="360"/>
      </w:pPr>
      <w:r>
        <w:t xml:space="preserve">• </w:t>
      </w:r>
      <w:r>
        <w:rPr>
          <w:b w:val="0"/>
          <w:i w:val="0"/>
        </w:rPr>
        <w:t>Các chuyến thăm quan tận mắt (go-and-see visits) (giáo dục và thống nhất cho lãnh đạo), 27</w:t>
      </w:r>
    </w:p>
    <w:p>
      <w:pPr>
        <w:spacing w:after="80"/>
        <w:ind w:left="360"/>
      </w:pPr>
      <w:r>
        <w:t xml:space="preserve">• </w:t>
      </w:r>
      <w:r>
        <w:rPr>
          <w:b w:val="0"/>
          <w:i w:val="0"/>
        </w:rPr>
        <w:t>Google, 428</w:t>
      </w:r>
    </w:p>
    <w:p>
      <w:pPr>
        <w:spacing w:after="80"/>
        <w:ind w:left="360"/>
      </w:pPr>
      <w:r>
        <w:t xml:space="preserve">• </w:t>
      </w:r>
      <w:r>
        <w:rPr>
          <w:b w:val="0"/>
          <w:i w:val="0"/>
        </w:rPr>
        <w:t>Công cụ What-If của Google, 518</w:t>
      </w:r>
    </w:p>
    <w:p>
      <w:pPr>
        <w:spacing w:after="80"/>
        <w:ind w:left="360"/>
      </w:pPr>
      <w:r>
        <w:t xml:space="preserve">• </w:t>
      </w:r>
      <w:r>
        <w:rPr>
          <w:b w:val="0"/>
          <w:i w:val="0"/>
        </w:rPr>
        <w:t>Quản trị (Governance):</w:t>
      </w:r>
    </w:p>
    <w:p>
      <w:pPr>
        <w:spacing w:after="80"/>
        <w:ind w:left="720"/>
      </w:pPr>
      <w:r>
        <w:t xml:space="preserve">• </w:t>
      </w:r>
      <w:r>
        <w:rPr>
          <w:b w:val="0"/>
          <w:i w:val="0"/>
        </w:rPr>
        <w:t>và quyền truy cập, 392</w:t>
      </w:r>
    </w:p>
    <w:p>
      <w:pPr>
        <w:spacing w:after="80"/>
        <w:ind w:left="720"/>
      </w:pPr>
      <w:r>
        <w:t xml:space="preserve">• </w:t>
      </w:r>
      <w:r>
        <w:rPr>
          <w:b w:val="0"/>
          <w:i w:val="0"/>
        </w:rPr>
        <w:t>dành riêng cho tác tử (agentic-specific), 353</w:t>
      </w:r>
    </w:p>
    <w:p>
      <w:pPr>
        <w:spacing w:after="80"/>
        <w:ind w:left="720"/>
      </w:pPr>
      <w:r>
        <w:t xml:space="preserve">• </w:t>
      </w:r>
      <w:r>
        <w:rPr>
          <w:b w:val="0"/>
          <w:i w:val="0"/>
        </w:rPr>
        <w:t>trong các nền tảng AI, 330</w:t>
      </w:r>
    </w:p>
    <w:p>
      <w:pPr>
        <w:spacing w:after="80"/>
        <w:ind w:left="720"/>
      </w:pPr>
      <w:r>
        <w:t xml:space="preserve">• </w:t>
      </w:r>
      <w:r>
        <w:rPr>
          <w:b w:val="0"/>
          <w:i w:val="0"/>
        </w:rPr>
        <w:t>xoay quanh AI, 317</w:t>
      </w:r>
    </w:p>
    <w:p>
      <w:pPr>
        <w:spacing w:after="80"/>
        <w:ind w:left="720"/>
      </w:pPr>
      <w:r>
        <w:t xml:space="preserve">• </w:t>
      </w:r>
      <w:r>
        <w:rPr>
          <w:b w:val="0"/>
          <w:i w:val="0"/>
        </w:rPr>
        <w:t>bởi CDO (giám đốc dữ liệu - chief data officer), 418</w:t>
      </w:r>
    </w:p>
    <w:p>
      <w:pPr>
        <w:spacing w:after="80"/>
        <w:ind w:left="720"/>
      </w:pPr>
      <w:r>
        <w:t xml:space="preserve">• </w:t>
      </w:r>
      <w:r>
        <w:rPr>
          <w:b w:val="0"/>
          <w:i w:val="0"/>
        </w:rPr>
        <w:t>về dữ liệu, 116, 247, 374, 421–425</w:t>
      </w:r>
    </w:p>
    <w:p>
      <w:pPr>
        <w:spacing w:after="80"/>
        <w:ind w:left="720"/>
      </w:pPr>
      <w:r>
        <w:t xml:space="preserve">• </w:t>
      </w:r>
      <w:r>
        <w:rPr>
          <w:b w:val="0"/>
          <w:i w:val="0"/>
        </w:rPr>
        <w:t>về các đối tác dữ liệu, 108</w:t>
      </w:r>
    </w:p>
    <w:p>
      <w:pPr>
        <w:spacing w:after="80"/>
        <w:ind w:left="720"/>
      </w:pPr>
      <w:r>
        <w:t xml:space="preserve">• </w:t>
      </w:r>
      <w:r>
        <w:rPr>
          <w:b w:val="0"/>
          <w:i w:val="0"/>
        </w:rPr>
        <w:t>về các nền tảng dữ liệu, 403</w:t>
      </w:r>
    </w:p>
    <w:p>
      <w:pPr>
        <w:spacing w:after="80"/>
        <w:ind w:left="720"/>
      </w:pPr>
      <w:r>
        <w:t xml:space="preserve">• </w:t>
      </w:r>
      <w:r>
        <w:rPr>
          <w:b w:val="0"/>
          <w:i w:val="0"/>
        </w:rPr>
        <w:t>về các sản phẩm dữ liệu, 401, 410</w:t>
      </w:r>
    </w:p>
    <w:p>
      <w:pPr>
        <w:spacing w:after="80"/>
        <w:ind w:left="720"/>
      </w:pPr>
      <w:r>
        <w:t xml:space="preserve">• </w:t>
      </w:r>
      <w:r>
        <w:rPr>
          <w:b w:val="0"/>
          <w:i w:val="0"/>
        </w:rPr>
        <w:t>trong lộ trình dữ liệu (data roadmaps), 383</w:t>
      </w:r>
    </w:p>
    <w:p>
      <w:pPr>
        <w:spacing w:after="80"/>
        <w:ind w:left="720"/>
      </w:pPr>
      <w:r>
        <w:t xml:space="preserve">• </w:t>
      </w:r>
      <w:r>
        <w:rPr>
          <w:b w:val="0"/>
          <w:i w:val="0"/>
        </w:rPr>
        <w:t>bởi DPO (chủ sở hữu sản phẩm dữ liệu - data product owner), 413</w:t>
      </w:r>
    </w:p>
    <w:p>
      <w:pPr>
        <w:spacing w:after="80"/>
        <w:ind w:left="720"/>
      </w:pPr>
      <w:r>
        <w:t xml:space="preserve">• </w:t>
      </w:r>
      <w:r>
        <w:rPr>
          <w:b w:val="0"/>
          <w:i w:val="0"/>
        </w:rPr>
        <w:t>vai trò của kiến trúc sư doanh nghiệp (enterprise architect) trong đó, 298</w:t>
      </w:r>
    </w:p>
    <w:p>
      <w:pPr>
        <w:spacing w:after="80"/>
        <w:ind w:left="720"/>
      </w:pPr>
      <w:r>
        <w:t xml:space="preserve">• </w:t>
      </w:r>
      <w:r>
        <w:rPr>
          <w:b w:val="0"/>
          <w:i w:val="0"/>
        </w:rPr>
        <w:t>thất bại của, 432</w:t>
      </w:r>
    </w:p>
    <w:p>
      <w:pPr>
        <w:spacing w:after="80"/>
        <w:ind w:left="720"/>
      </w:pPr>
      <w:r>
        <w:t xml:space="preserve">• </w:t>
      </w:r>
      <w:r>
        <w:rPr>
          <w:b w:val="0"/>
          <w:i w:val="0"/>
        </w:rPr>
        <w:t>và các cơ quan quản lý toàn cầu, 423</w:t>
      </w:r>
      <w:r>
        <w:rPr>
          <w:b w:val="0"/>
          <w:i/>
        </w:rPr>
        <w:t>e</w:t>
      </w:r>
    </w:p>
    <w:p>
      <w:pPr>
        <w:spacing w:after="80"/>
        <w:ind w:left="720"/>
      </w:pPr>
      <w:r>
        <w:t xml:space="preserve">• </w:t>
      </w:r>
      <w:r>
        <w:rPr>
          <w:b w:val="0"/>
          <w:i w:val="0"/>
        </w:rPr>
        <w:t>trong các doanh nghiệp mới, 267, 269</w:t>
      </w:r>
    </w:p>
    <w:p>
      <w:pPr>
        <w:spacing w:after="80"/>
        <w:ind w:left="720"/>
      </w:pPr>
      <w:r>
        <w:t xml:space="preserve">• </w:t>
      </w:r>
      <w:r>
        <w:rPr>
          <w:b w:val="0"/>
          <w:i w:val="0"/>
        </w:rPr>
        <w:t>tổ chức của, 420</w:t>
      </w:r>
    </w:p>
    <w:p>
      <w:pPr>
        <w:spacing w:after="80"/>
        <w:ind w:left="720"/>
      </w:pPr>
      <w:r>
        <w:t xml:space="preserve">• </w:t>
      </w:r>
      <w:r>
        <w:rPr>
          <w:b w:val="0"/>
          <w:i w:val="0"/>
        </w:rPr>
        <w:t>và quyền riêng tư, 517</w:t>
      </w:r>
    </w:p>
    <w:p>
      <w:pPr>
        <w:spacing w:after="80"/>
        <w:ind w:left="720"/>
      </w:pPr>
      <w:r>
        <w:t xml:space="preserve">• </w:t>
      </w:r>
      <w:r>
        <w:rPr>
          <w:b w:val="0"/>
          <w:i w:val="0"/>
        </w:rPr>
        <w:t>và AI có trách nhiệm, 516</w:t>
      </w:r>
    </w:p>
    <w:p>
      <w:pPr>
        <w:spacing w:after="80"/>
        <w:ind w:left="720"/>
      </w:pPr>
      <w:r>
        <w:t xml:space="preserve">• </w:t>
      </w:r>
      <w:r>
        <w:rPr>
          <w:b w:val="0"/>
          <w:i w:val="0"/>
        </w:rPr>
        <w:t>và các chính sách rủi ro, 518</w:t>
      </w:r>
    </w:p>
    <w:p>
      <w:pPr>
        <w:spacing w:after="80"/>
        <w:ind w:left="720"/>
      </w:pPr>
      <w:r>
        <w:t xml:space="preserve">• </w:t>
      </w:r>
      <w:r>
        <w:rPr>
          <w:b w:val="0"/>
          <w:i w:val="0"/>
        </w:rPr>
        <w:t>của dữ liệu phi cấu trúc, 396</w:t>
      </w:r>
    </w:p>
    <w:p>
      <w:pPr>
        <w:spacing w:after="80"/>
        <w:ind w:left="360"/>
      </w:pPr>
      <w:r>
        <w:t xml:space="preserve">• </w:t>
      </w:r>
      <w:r>
        <w:rPr>
          <w:b/>
          <w:i w:val="0"/>
        </w:rPr>
        <w:t>H</w:t>
      </w:r>
    </w:p>
    <w:p>
      <w:pPr>
        <w:spacing w:after="80"/>
        <w:ind w:left="360"/>
      </w:pPr>
      <w:r>
        <w:t xml:space="preserve">• </w:t>
      </w:r>
      <w:r>
        <w:rPr>
          <w:b w:val="0"/>
          <w:i w:val="0"/>
        </w:rPr>
        <w:t>HackerRank, 141, 162</w:t>
      </w:r>
    </w:p>
    <w:p>
      <w:pPr>
        <w:spacing w:after="80"/>
        <w:ind w:left="360"/>
      </w:pPr>
      <w:r>
        <w:t xml:space="preserve">• </w:t>
      </w:r>
      <w:r>
        <w:rPr>
          <w:b w:val="0"/>
          <w:i w:val="0"/>
        </w:rPr>
        <w:t>Tỷ lệ ảo giác (hallucination rate), 91, 94</w:t>
      </w:r>
    </w:p>
    <w:p>
      <w:pPr>
        <w:spacing w:after="80"/>
        <w:ind w:left="360"/>
      </w:pPr>
      <w:r>
        <w:t xml:space="preserve">• </w:t>
      </w:r>
      <w:r>
        <w:rPr>
          <w:b w:val="0"/>
          <w:i w:val="0"/>
        </w:rPr>
        <w:t>Hathi, Neesha, 136</w:t>
      </w:r>
    </w:p>
    <w:p>
      <w:pPr>
        <w:spacing w:after="80"/>
        <w:ind w:left="360"/>
      </w:pPr>
      <w:r>
        <w:t xml:space="preserve">• </w:t>
      </w:r>
      <w:r>
        <w:rPr>
          <w:b w:val="0"/>
          <w:i w:val="0"/>
        </w:rPr>
        <w:t>HELENA (HEap LEach aNAlytics–Freeport-McMoRan), 573–576</w:t>
      </w:r>
    </w:p>
    <w:p>
      <w:pPr>
        <w:spacing w:after="80"/>
        <w:ind w:left="360"/>
      </w:pPr>
      <w:r>
        <w:t xml:space="preserve">• </w:t>
      </w:r>
      <w:r>
        <w:rPr>
          <w:b w:val="0"/>
          <w:i w:val="0"/>
        </w:rPr>
        <w:t>Hệ thống tốc độ cao (phần mềm), 103, 146</w:t>
      </w:r>
    </w:p>
    <w:p>
      <w:pPr>
        <w:spacing w:after="80"/>
        <w:ind w:left="360"/>
      </w:pPr>
      <w:r>
        <w:t xml:space="preserve">• </w:t>
      </w:r>
      <w:r>
        <w:rPr>
          <w:b w:val="0"/>
          <w:i w:val="0"/>
        </w:rPr>
        <w:t>Ứng dụng GenAI theo chiều ngang (mức độ áp dụng), 465–466, 483</w:t>
      </w:r>
    </w:p>
    <w:p>
      <w:pPr>
        <w:spacing w:after="80"/>
        <w:ind w:left="360"/>
      </w:pPr>
      <w:r>
        <w:t xml:space="preserve">• </w:t>
      </w:r>
      <w:r>
        <w:rPr>
          <w:b w:val="0"/>
          <w:i w:val="0"/>
        </w:rPr>
        <w:t>Kiến trúc lai (đám mây), 363</w:t>
      </w:r>
    </w:p>
    <w:p>
      <w:pPr>
        <w:spacing w:after="80"/>
        <w:ind w:left="360"/>
      </w:pPr>
      <w:r>
        <w:t xml:space="preserve">• </w:t>
      </w:r>
      <w:r>
        <w:rPr>
          <w:b/>
          <w:i w:val="0"/>
        </w:rPr>
        <w:t>I</w:t>
      </w:r>
    </w:p>
    <w:p>
      <w:pPr>
        <w:spacing w:after="80"/>
        <w:ind w:left="360"/>
      </w:pPr>
      <w:r>
        <w:t xml:space="preserve">• </w:t>
      </w:r>
      <w:r>
        <w:rPr>
          <w:b w:val="0"/>
          <w:i w:val="0"/>
        </w:rPr>
        <w:t>IBM, 195, 318, 518</w:t>
      </w:r>
    </w:p>
    <w:p>
      <w:pPr>
        <w:spacing w:after="80"/>
        <w:ind w:left="360"/>
      </w:pPr>
      <w:r>
        <w:t xml:space="preserve">• </w:t>
      </w:r>
      <w:r>
        <w:rPr>
          <w:b w:val="0"/>
          <w:i w:val="0"/>
        </w:rPr>
        <w:t>Bộ công cụ IBM AI Explainability 360, 518</w:t>
      </w:r>
    </w:p>
    <w:p>
      <w:pPr>
        <w:spacing w:after="80"/>
        <w:ind w:left="360"/>
      </w:pPr>
      <w:r>
        <w:t xml:space="preserve">• </w:t>
      </w:r>
      <w:r>
        <w:rPr>
          <w:b w:val="0"/>
          <w:i w:val="0"/>
        </w:rPr>
        <w:t>Độ phức tạp khi triển khai, 90, 242</w:t>
      </w:r>
    </w:p>
    <w:p>
      <w:pPr>
        <w:spacing w:after="80"/>
        <w:ind w:left="360"/>
      </w:pPr>
      <w:r>
        <w:t xml:space="preserve">• </w:t>
      </w:r>
      <w:r>
        <w:rPr>
          <w:b w:val="0"/>
          <w:i w:val="0"/>
        </w:rPr>
        <w:t>Động lực thúc đẩy:</w:t>
      </w:r>
    </w:p>
    <w:p>
      <w:pPr>
        <w:spacing w:after="80"/>
        <w:ind w:left="720"/>
      </w:pPr>
      <w:r>
        <w:t xml:space="preserve">• </w:t>
      </w:r>
      <w:r>
        <w:rPr>
          <w:b w:val="0"/>
          <w:i w:val="0"/>
        </w:rPr>
        <w:t>sự liên kết của, 182, 317, 507</w:t>
      </w:r>
    </w:p>
    <w:p>
      <w:pPr>
        <w:spacing w:after="80"/>
        <w:ind w:left="720"/>
      </w:pPr>
      <w:r>
        <w:t xml:space="preserve">• </w:t>
      </w:r>
      <w:r>
        <w:rPr>
          <w:b w:val="0"/>
          <w:i w:val="0"/>
        </w:rPr>
        <w:t>để tái định hình doanh nghiệp, 138</w:t>
      </w:r>
    </w:p>
    <w:p>
      <w:pPr>
        <w:spacing w:after="80"/>
        <w:ind w:left="720"/>
      </w:pPr>
      <w:r>
        <w:t xml:space="preserve">• </w:t>
      </w:r>
      <w:r>
        <w:rPr>
          <w:b w:val="0"/>
          <w:i w:val="0"/>
        </w:rPr>
        <w:t>vai trò của CEO trong, 113</w:t>
      </w:r>
    </w:p>
    <w:p>
      <w:pPr>
        <w:spacing w:after="80"/>
        <w:ind w:left="720"/>
      </w:pPr>
      <w:r>
        <w:t xml:space="preserve">• </w:t>
      </w:r>
      <w:r>
        <w:rPr>
          <w:b w:val="0"/>
          <w:i w:val="0"/>
        </w:rPr>
        <w:t>trong quản lý thay đổi, 75</w:t>
      </w:r>
    </w:p>
    <w:p>
      <w:pPr>
        <w:spacing w:after="80"/>
        <w:ind w:left="720"/>
      </w:pPr>
      <w:r>
        <w:t xml:space="preserve">• </w:t>
      </w:r>
      <w:r>
        <w:rPr>
          <w:b w:val="0"/>
          <w:i w:val="0"/>
        </w:rPr>
        <w:t>cho các nhóm sản phẩm dữ liệu, 413</w:t>
      </w:r>
    </w:p>
    <w:p>
      <w:pPr>
        <w:spacing w:after="80"/>
        <w:ind w:left="720"/>
      </w:pPr>
      <w:r>
        <w:t xml:space="preserve">• </w:t>
      </w:r>
      <w:r>
        <w:rPr>
          <w:b w:val="0"/>
          <w:i w:val="0"/>
        </w:rPr>
        <w:t>cho ban quản lý, 528</w:t>
      </w:r>
    </w:p>
    <w:p>
      <w:pPr>
        <w:spacing w:after="80"/>
        <w:ind w:left="720"/>
      </w:pPr>
      <w:r>
        <w:t xml:space="preserve">• </w:t>
      </w:r>
      <w:r>
        <w:rPr>
          <w:b w:val="0"/>
          <w:i w:val="0"/>
        </w:rPr>
        <w:t>các chỉ số cho, 138</w:t>
      </w:r>
      <w:r>
        <w:rPr>
          <w:b w:val="0"/>
          <w:i/>
        </w:rPr>
        <w:t>e</w:t>
      </w:r>
      <w:r>
        <w:rPr>
          <w:b w:val="0"/>
          <w:i w:val="0"/>
        </w:rPr>
        <w:t>, 463</w:t>
      </w:r>
    </w:p>
    <w:p>
      <w:pPr>
        <w:spacing w:after="80"/>
        <w:ind w:left="720"/>
      </w:pPr>
      <w:r>
        <w:t xml:space="preserve">• </w:t>
      </w:r>
      <w:r>
        <w:rPr>
          <w:b w:val="0"/>
          <w:i w:val="0"/>
        </w:rPr>
        <w:t>trong mô hình hai tài năng, 550</w:t>
      </w:r>
    </w:p>
    <w:p>
      <w:pPr>
        <w:spacing w:after="80"/>
        <w:ind w:left="720"/>
      </w:pPr>
      <w:r>
        <w:t xml:space="preserve">• </w:t>
      </w:r>
      <w:r>
        <w:rPr>
          <w:b w:val="0"/>
          <w:i w:val="0"/>
        </w:rPr>
        <w:t>sử dụng, 137</w:t>
      </w:r>
    </w:p>
    <w:p>
      <w:pPr>
        <w:spacing w:after="80"/>
        <w:ind w:left="360"/>
      </w:pPr>
      <w:r>
        <w:t xml:space="preserve">• </w:t>
      </w:r>
      <w:r>
        <w:rPr>
          <w:b w:val="0"/>
          <w:i w:val="0"/>
        </w:rPr>
        <w:t>Tăng cường cá nhân (agentic AI), 82</w:t>
      </w:r>
      <w:r>
        <w:rPr>
          <w:b w:val="0"/>
          <w:i/>
        </w:rPr>
        <w:t>e</w:t>
      </w:r>
      <w:r>
        <w:rPr>
          <w:b w:val="0"/>
          <w:i w:val="0"/>
        </w:rPr>
        <w:t>, 83</w:t>
      </w:r>
    </w:p>
    <w:p>
      <w:pPr>
        <w:spacing w:after="80"/>
        <w:ind w:left="360"/>
      </w:pPr>
      <w:r>
        <w:t xml:space="preserve">• </w:t>
      </w:r>
      <w:r>
        <w:rPr>
          <w:b w:val="0"/>
          <w:i w:val="0"/>
        </w:rPr>
        <w:t>Indosat Ooredoo Hutchison (IOH), 531</w:t>
      </w:r>
    </w:p>
    <w:p>
      <w:pPr>
        <w:spacing w:after="80"/>
        <w:ind w:left="360"/>
      </w:pPr>
      <w:r>
        <w:t xml:space="preserve">• </w:t>
      </w:r>
      <w:r>
        <w:rPr>
          <w:b w:val="0"/>
          <w:i w:val="0"/>
        </w:rPr>
        <w:t>Suy luận (GenAI), 430</w:t>
      </w:r>
    </w:p>
    <w:p>
      <w:pPr>
        <w:spacing w:after="80"/>
        <w:ind w:left="360"/>
      </w:pPr>
      <w:r>
        <w:t xml:space="preserve">• </w:t>
      </w:r>
      <w:r>
        <w:rPr>
          <w:b w:val="0"/>
          <w:i w:val="0"/>
        </w:rPr>
        <w:t>Mô hình ảnh hưởng (quản lý thay đổi), 462, 462</w:t>
      </w:r>
      <w:r>
        <w:rPr>
          <w:b w:val="0"/>
          <w:i/>
        </w:rPr>
        <w:t>e</w:t>
      </w:r>
    </w:p>
    <w:p>
      <w:pPr>
        <w:spacing w:after="80"/>
        <w:ind w:left="360"/>
      </w:pPr>
      <w:r>
        <w:t xml:space="preserve">• </w:t>
      </w:r>
      <w:r>
        <w:rPr>
          <w:b w:val="0"/>
          <w:i w:val="0"/>
        </w:rPr>
        <w:t>Nền tảng hạ tầng và bảo mật, 290</w:t>
      </w:r>
    </w:p>
    <w:p>
      <w:pPr>
        <w:spacing w:after="80"/>
        <w:ind w:left="360"/>
      </w:pPr>
      <w:r>
        <w:t xml:space="preserve">• </w:t>
      </w:r>
      <w:r>
        <w:rPr>
          <w:b w:val="0"/>
          <w:i w:val="0"/>
        </w:rPr>
        <w:t>Hạ tầng dưới dạng mã (Infrastructure-as-code - IaC), 304, 309, 311, 353</w:t>
      </w:r>
    </w:p>
    <w:p>
      <w:pPr>
        <w:spacing w:after="80"/>
        <w:ind w:left="360"/>
      </w:pPr>
      <w:r>
        <w:t xml:space="preserve">• </w:t>
      </w:r>
      <w:r>
        <w:rPr>
          <w:b w:val="0"/>
          <w:i w:val="0"/>
        </w:rPr>
        <w:t>ING, 95, 157, 232</w:t>
      </w:r>
    </w:p>
    <w:p>
      <w:pPr>
        <w:spacing w:after="80"/>
        <w:ind w:left="360"/>
      </w:pPr>
      <w:r>
        <w:t xml:space="preserve">• </w:t>
      </w:r>
      <w:r>
        <w:rPr>
          <w:b w:val="0"/>
          <w:i w:val="0"/>
        </w:rPr>
        <w:t>Đội ngũ nội bộ (nhân tài):</w:t>
      </w:r>
    </w:p>
    <w:p>
      <w:pPr>
        <w:spacing w:after="80"/>
        <w:ind w:left="720"/>
      </w:pPr>
      <w:r>
        <w:t xml:space="preserve">• </w:t>
      </w:r>
      <w:r>
        <w:rPr>
          <w:b w:val="0"/>
          <w:i w:val="0"/>
        </w:rPr>
        <w:t>trong phát triển mô hình, 325</w:t>
      </w:r>
    </w:p>
    <w:p>
      <w:pPr>
        <w:spacing w:after="80"/>
        <w:ind w:left="720"/>
      </w:pPr>
      <w:r>
        <w:t xml:space="preserve">• </w:t>
      </w:r>
      <w:r>
        <w:rPr>
          <w:b w:val="0"/>
          <w:i w:val="0"/>
        </w:rPr>
        <w:t>cho nhiều nền tảng agentic, 355</w:t>
      </w:r>
    </w:p>
    <w:p>
      <w:pPr>
        <w:spacing w:after="80"/>
        <w:ind w:left="720"/>
      </w:pPr>
      <w:r>
        <w:t xml:space="preserve">• </w:t>
      </w:r>
      <w:r>
        <w:rPr>
          <w:b w:val="0"/>
          <w:i w:val="0"/>
        </w:rPr>
        <w:t>so với đội ngũ thuê ngoài, 103–105, 142–144</w:t>
      </w:r>
    </w:p>
    <w:p>
      <w:pPr>
        <w:spacing w:after="80"/>
        <w:ind w:left="720"/>
      </w:pPr>
      <w:r>
        <w:t xml:space="preserve">• </w:t>
      </w:r>
      <w:r>
        <w:rPr>
          <w:b w:val="0"/>
          <w:i w:val="0"/>
        </w:rPr>
        <w:t>hợp tác cho việc này, 108–109</w:t>
      </w:r>
    </w:p>
    <w:p>
      <w:pPr>
        <w:spacing w:after="80"/>
        <w:ind w:left="720"/>
      </w:pPr>
      <w:r>
        <w:t xml:space="preserve">• </w:t>
      </w:r>
      <w:r>
        <w:rPr>
          <w:b w:val="0"/>
          <w:i w:val="0"/>
        </w:rPr>
        <w:t>đánh giá kỹ năng của, 151</w:t>
      </w:r>
    </w:p>
    <w:p>
      <w:pPr>
        <w:spacing w:after="80"/>
        <w:ind w:left="720"/>
      </w:pPr>
      <w:r>
        <w:t xml:space="preserve">• </w:t>
      </w:r>
      <w:r>
        <w:rPr>
          <w:b w:val="0"/>
          <w:i w:val="0"/>
        </w:rPr>
        <w:t>nhân tài phần mềm, 144</w:t>
      </w:r>
    </w:p>
    <w:p>
      <w:pPr>
        <w:spacing w:after="80"/>
        <w:ind w:left="720"/>
      </w:pPr>
      <w:r>
        <w:t xml:space="preserve">• </w:t>
      </w:r>
      <w:r>
        <w:rPr>
          <w:b w:val="0"/>
          <w:i w:val="0"/>
        </w:rPr>
        <w:t>trong văn phòng chuyển đổi, 498</w:t>
      </w:r>
    </w:p>
    <w:p>
      <w:pPr>
        <w:spacing w:after="80"/>
        <w:ind w:left="360"/>
      </w:pPr>
      <w:r>
        <w:t xml:space="preserve">• </w:t>
      </w:r>
      <w:r>
        <w:rPr>
          <w:b w:val="0"/>
          <w:i w:val="0"/>
        </w:rPr>
        <w:t xml:space="preserve">Thuê nội bộ (Insourcing), 142–144, 146. </w:t>
      </w:r>
      <w:r>
        <w:rPr>
          <w:b w:val="0"/>
          <w:i/>
        </w:rPr>
        <w:t>Xem thêm</w:t>
      </w:r>
      <w:r>
        <w:rPr>
          <w:b w:val="0"/>
          <w:i w:val="0"/>
        </w:rPr>
        <w:t xml:space="preserve"> Đội ngũ nội bộ; Thuê ngoài</w:t>
      </w:r>
    </w:p>
    <w:p>
      <w:pPr>
        <w:spacing w:after="80"/>
        <w:ind w:left="360"/>
      </w:pPr>
      <w:r>
        <w:t xml:space="preserve">• </w:t>
      </w:r>
      <w:r>
        <w:rPr>
          <w:b w:val="0"/>
          <w:i w:val="0"/>
        </w:rPr>
        <w:t>Học tập ở cấp tổ chức (văn hóa mở rộng quy mô), 528–529</w:t>
      </w:r>
    </w:p>
    <w:p>
      <w:pPr>
        <w:spacing w:after="80"/>
        <w:ind w:left="360"/>
      </w:pPr>
      <w:r>
        <w:t xml:space="preserve">• </w:t>
      </w:r>
      <w:r>
        <w:rPr>
          <w:b w:val="0"/>
          <w:i w:val="0"/>
        </w:rPr>
        <w:t>Kỹ sư tích hợp, 152</w:t>
      </w:r>
    </w:p>
    <w:p>
      <w:pPr>
        <w:spacing w:after="80"/>
        <w:ind w:left="360"/>
      </w:pPr>
      <w:r>
        <w:t xml:space="preserve">• </w:t>
      </w:r>
      <w:r>
        <w:rPr>
          <w:b w:val="0"/>
          <w:i w:val="0"/>
        </w:rPr>
        <w:t>Hệ thống trả lời thoại tương tác (IVR), 79–80</w:t>
      </w:r>
    </w:p>
    <w:p>
      <w:pPr>
        <w:spacing w:after="80"/>
        <w:ind w:left="360"/>
      </w:pPr>
      <w:r>
        <w:t xml:space="preserve">• </w:t>
      </w:r>
      <w:r>
        <w:rPr>
          <w:b w:val="0"/>
          <w:i w:val="0"/>
        </w:rPr>
        <w:t>Nền tảng hỗ trợ nội bộ, 220</w:t>
      </w:r>
    </w:p>
    <w:p>
      <w:pPr>
        <w:spacing w:after="80"/>
        <w:ind w:left="360"/>
      </w:pPr>
      <w:r>
        <w:t xml:space="preserve">• </w:t>
      </w:r>
      <w:r>
        <w:rPr>
          <w:b w:val="0"/>
          <w:i w:val="0"/>
        </w:rPr>
        <w:t>InterpretML, 518</w:t>
      </w:r>
    </w:p>
    <w:p>
      <w:pPr>
        <w:spacing w:after="80"/>
        <w:ind w:left="360"/>
      </w:pPr>
      <w:r>
        <w:t xml:space="preserve">• </w:t>
      </w:r>
      <w:r>
        <w:rPr>
          <w:b w:val="0"/>
          <w:i w:val="0"/>
        </w:rPr>
        <w:t>Chuyển đổi nhân tài CNTT, 141–157</w:t>
      </w:r>
    </w:p>
    <w:p>
      <w:pPr>
        <w:spacing w:after="80"/>
        <w:ind w:left="360"/>
      </w:pPr>
      <w:r>
        <w:t xml:space="preserve">• </w:t>
      </w:r>
      <w:r>
        <w:rPr>
          <w:b w:val="0"/>
          <w:i w:val="0"/>
        </w:rPr>
        <w:t>Italgas, 225–227, 229</w:t>
      </w:r>
    </w:p>
    <w:p>
      <w:pPr>
        <w:spacing w:after="80"/>
        <w:ind w:left="360"/>
      </w:pPr>
      <w:r>
        <w:t xml:space="preserve">• </w:t>
      </w:r>
      <w:r>
        <w:rPr>
          <w:b w:val="0"/>
          <w:i w:val="0"/>
        </w:rPr>
        <w:t>Itaú, 361–362</w:t>
      </w:r>
    </w:p>
    <w:p>
      <w:pPr>
        <w:spacing w:after="80"/>
        <w:ind w:left="360"/>
      </w:pPr>
      <w:r>
        <w:t xml:space="preserve">• </w:t>
      </w:r>
      <w:r>
        <w:rPr>
          <w:b/>
          <w:i w:val="0"/>
        </w:rPr>
        <w:t>J</w:t>
      </w:r>
    </w:p>
    <w:p>
      <w:pPr>
        <w:spacing w:after="80"/>
        <w:ind w:left="360"/>
      </w:pPr>
      <w:r>
        <w:t xml:space="preserve">• </w:t>
      </w:r>
      <w:r>
        <w:rPr>
          <w:b w:val="0"/>
          <w:i w:val="0"/>
        </w:rPr>
        <w:t>Jailbreak (rủi ro AI dạng tác tử), 347–348</w:t>
      </w:r>
    </w:p>
    <w:p>
      <w:pPr>
        <w:spacing w:after="80"/>
        <w:ind w:left="360"/>
      </w:pPr>
      <w:r>
        <w:t xml:space="preserve">• </w:t>
      </w:r>
      <w:r>
        <w:rPr>
          <w:b w:val="0"/>
          <w:i w:val="0"/>
        </w:rPr>
        <w:t>JPMorgan Chase, 142, 157, 229</w:t>
      </w:r>
    </w:p>
    <w:p>
      <w:pPr>
        <w:spacing w:after="80"/>
        <w:ind w:left="360"/>
      </w:pPr>
      <w:r>
        <w:t xml:space="preserve">• </w:t>
      </w:r>
      <w:r>
        <w:rPr>
          <w:b/>
          <w:i w:val="0"/>
        </w:rPr>
        <w:t>K</w:t>
      </w:r>
    </w:p>
    <w:p>
      <w:pPr>
        <w:spacing w:after="80"/>
        <w:ind w:left="360"/>
      </w:pPr>
      <w:r>
        <w:t xml:space="preserve">• </w:t>
      </w:r>
      <w:r>
        <w:rPr>
          <w:b w:val="0"/>
          <w:i/>
        </w:rPr>
        <w:t>Kaizen</w:t>
      </w:r>
      <w:r>
        <w:rPr>
          <w:b w:val="0"/>
          <w:i w:val="0"/>
        </w:rPr>
        <w:t xml:space="preserve"> ("cải tiến liên tục"; Toyota Motor North America), 556, 558, 565</w:t>
      </w:r>
    </w:p>
    <w:p>
      <w:pPr>
        <w:spacing w:after="80"/>
        <w:ind w:left="360"/>
      </w:pPr>
      <w:r>
        <w:t xml:space="preserve">• </w:t>
      </w:r>
      <w:r>
        <w:rPr>
          <w:b w:val="0"/>
          <w:i w:val="0"/>
        </w:rPr>
        <w:t xml:space="preserve">Chỉ số hiệu suất chính (KPI), 484–495. </w:t>
      </w:r>
      <w:r>
        <w:rPr>
          <w:b w:val="0"/>
          <w:i/>
        </w:rPr>
        <w:t>Xem thêm</w:t>
      </w:r>
      <w:r>
        <w:rPr>
          <w:b w:val="0"/>
          <w:i w:val="0"/>
        </w:rPr>
        <w:t xml:space="preserve"> Mục tiêu và kết quả then chốt (OKR)</w:t>
      </w:r>
    </w:p>
    <w:p>
      <w:pPr>
        <w:spacing w:after="80"/>
        <w:ind w:left="720"/>
      </w:pPr>
      <w:r>
        <w:t xml:space="preserve">• </w:t>
      </w:r>
      <w:r>
        <w:rPr>
          <w:b w:val="0"/>
          <w:i w:val="0"/>
        </w:rPr>
        <w:t>trong triển khai do doanh nghiệp dẫn dắt, 139</w:t>
      </w:r>
    </w:p>
    <w:p>
      <w:pPr>
        <w:spacing w:after="80"/>
        <w:ind w:left="720"/>
      </w:pPr>
      <w:r>
        <w:t xml:space="preserve">• </w:t>
      </w:r>
      <w:r>
        <w:rPr>
          <w:b w:val="0"/>
          <w:i w:val="0"/>
        </w:rPr>
        <w:t>trong các nền tảng kinh doanh hướng khách hàng, 220</w:t>
      </w:r>
    </w:p>
    <w:p>
      <w:pPr>
        <w:spacing w:after="80"/>
        <w:ind w:left="720"/>
      </w:pPr>
      <w:r>
        <w:t xml:space="preserve">• </w:t>
      </w:r>
      <w:r>
        <w:rPr>
          <w:b w:val="0"/>
          <w:i w:val="0"/>
        </w:rPr>
        <w:t>và lợi ích tài chính, 56</w:t>
      </w:r>
    </w:p>
    <w:p>
      <w:pPr>
        <w:spacing w:after="80"/>
        <w:ind w:left="720"/>
      </w:pPr>
      <w:r>
        <w:t xml:space="preserve">• </w:t>
      </w:r>
      <w:r>
        <w:rPr>
          <w:b w:val="0"/>
          <w:i w:val="0"/>
        </w:rPr>
        <w:t>đặt nền tảng cho tiến độ, 75</w:t>
      </w:r>
    </w:p>
    <w:p>
      <w:pPr>
        <w:spacing w:after="80"/>
        <w:ind w:left="720"/>
      </w:pPr>
      <w:r>
        <w:t xml:space="preserve">• </w:t>
      </w:r>
      <w:r>
        <w:rPr>
          <w:b w:val="0"/>
          <w:i w:val="0"/>
        </w:rPr>
        <w:t>OKRs so với, 484</w:t>
      </w:r>
    </w:p>
    <w:p>
      <w:pPr>
        <w:spacing w:after="80"/>
        <w:ind w:left="720"/>
      </w:pPr>
      <w:r>
        <w:t xml:space="preserve">• </w:t>
      </w:r>
      <w:r>
        <w:rPr>
          <w:b w:val="0"/>
          <w:i w:val="0"/>
        </w:rPr>
        <w:t>đo lường tiến độ bằng, 493</w:t>
      </w:r>
      <w:r>
        <w:rPr>
          <w:b w:val="0"/>
          <w:i/>
        </w:rPr>
        <w:t>e</w:t>
      </w:r>
    </w:p>
    <w:p>
      <w:pPr>
        <w:spacing w:after="80"/>
        <w:ind w:left="720"/>
      </w:pPr>
      <w:r>
        <w:t xml:space="preserve">• </w:t>
      </w:r>
      <w:r>
        <w:rPr>
          <w:b w:val="0"/>
          <w:i w:val="0"/>
        </w:rPr>
        <w:t>theo dõi tiến độ với, 494–495</w:t>
      </w:r>
    </w:p>
    <w:p>
      <w:pPr>
        <w:spacing w:after="80"/>
        <w:ind w:left="720"/>
      </w:pPr>
      <w:r>
        <w:t xml:space="preserve">• </w:t>
      </w:r>
      <w:r>
        <w:rPr>
          <w:b w:val="0"/>
          <w:i w:val="0"/>
        </w:rPr>
        <w:t>đo lường thời gian thực cho, 489–490</w:t>
      </w:r>
    </w:p>
    <w:p>
      <w:pPr>
        <w:spacing w:after="80"/>
        <w:ind w:left="720"/>
      </w:pPr>
      <w:r>
        <w:t xml:space="preserve">• </w:t>
      </w:r>
      <w:r>
        <w:rPr>
          <w:b w:val="0"/>
          <w:i w:val="0"/>
        </w:rPr>
        <w:t>cho phát triển giải pháp, 496</w:t>
      </w:r>
      <w:r>
        <w:rPr>
          <w:b w:val="0"/>
          <w:i/>
        </w:rPr>
        <w:t>e</w:t>
      </w:r>
    </w:p>
    <w:p>
      <w:pPr>
        <w:spacing w:after="80"/>
        <w:ind w:left="720"/>
      </w:pPr>
      <w:r>
        <w:t xml:space="preserve">• </w:t>
      </w:r>
      <w:r>
        <w:rPr>
          <w:b w:val="0"/>
          <w:i w:val="0"/>
        </w:rPr>
        <w:t>và OKRs của đội ngũ giải pháp, 487</w:t>
      </w:r>
    </w:p>
    <w:p>
      <w:pPr>
        <w:spacing w:after="80"/>
        <w:ind w:left="720"/>
      </w:pPr>
      <w:r>
        <w:t xml:space="preserve">• </w:t>
      </w:r>
      <w:r>
        <w:rPr>
          <w:b w:val="0"/>
          <w:i w:val="0"/>
        </w:rPr>
        <w:t>và các cổng giai đoạn, 495</w:t>
      </w:r>
      <w:r>
        <w:rPr>
          <w:b w:val="0"/>
          <w:i/>
        </w:rPr>
        <w:t>e</w:t>
      </w:r>
    </w:p>
    <w:p>
      <w:pPr>
        <w:spacing w:after="80"/>
        <w:ind w:left="720"/>
      </w:pPr>
      <w:r>
        <w:t xml:space="preserve">• </w:t>
      </w:r>
      <w:r>
        <w:rPr>
          <w:b w:val="0"/>
          <w:i w:val="0"/>
        </w:rPr>
        <w:t>đánh giá độ trưởng thành của đội ngũ với, 491</w:t>
      </w:r>
      <w:r>
        <w:rPr>
          <w:b w:val="0"/>
          <w:i/>
        </w:rPr>
        <w:t>e</w:t>
      </w:r>
    </w:p>
    <w:p>
      <w:pPr>
        <w:spacing w:after="80"/>
        <w:ind w:left="720"/>
      </w:pPr>
      <w:r>
        <w:t xml:space="preserve">• </w:t>
      </w:r>
      <w:r>
        <w:rPr>
          <w:b w:val="0"/>
          <w:i w:val="0"/>
        </w:rPr>
        <w:t>và nợ kỹ thuật, 308</w:t>
      </w:r>
    </w:p>
    <w:p>
      <w:pPr>
        <w:spacing w:after="80"/>
        <w:ind w:left="720"/>
      </w:pPr>
      <w:r>
        <w:t xml:space="preserve">• </w:t>
      </w:r>
      <w:r>
        <w:rPr>
          <w:b w:val="0"/>
          <w:i w:val="0"/>
        </w:rPr>
        <w:t>theo dõi, 413</w:t>
      </w:r>
    </w:p>
    <w:p>
      <w:pPr>
        <w:spacing w:after="80"/>
        <w:ind w:left="720"/>
      </w:pPr>
      <w:r>
        <w:t xml:space="preserve">• </w:t>
      </w:r>
      <w:r>
        <w:rPr>
          <w:b w:val="0"/>
          <w:i w:val="0"/>
        </w:rPr>
        <w:t>và quản trị chuyển đổi, 497–498</w:t>
      </w:r>
    </w:p>
    <w:p>
      <w:pPr>
        <w:spacing w:after="80"/>
        <w:ind w:left="720"/>
      </w:pPr>
      <w:r>
        <w:t xml:space="preserve">• </w:t>
      </w:r>
      <w:r>
        <w:rPr>
          <w:b w:val="0"/>
          <w:i w:val="0"/>
        </w:rPr>
        <w:t>cho lộ trình chuyển đổi, 133</w:t>
      </w:r>
    </w:p>
    <w:p>
      <w:pPr>
        <w:spacing w:after="80"/>
        <w:ind w:left="720"/>
      </w:pPr>
      <w:r>
        <w:t xml:space="preserve">• </w:t>
      </w:r>
      <w:r>
        <w:rPr>
          <w:b w:val="0"/>
          <w:i w:val="0"/>
        </w:rPr>
        <w:t>thu giữ giá trị với, 484–488</w:t>
      </w:r>
    </w:p>
    <w:p>
      <w:pPr>
        <w:spacing w:after="80"/>
        <w:ind w:left="720"/>
      </w:pPr>
      <w:r>
        <w:t xml:space="preserve">• </w:t>
      </w:r>
      <w:r>
        <w:rPr>
          <w:b w:val="0"/>
          <w:i w:val="0"/>
        </w:rPr>
        <w:t>các chỉ số tạo giá trị cho, 488</w:t>
      </w:r>
      <w:r>
        <w:rPr>
          <w:b w:val="0"/>
          <w:i/>
        </w:rPr>
        <w:t>e</w:t>
      </w:r>
    </w:p>
    <w:p>
      <w:pPr>
        <w:spacing w:after="80"/>
        <w:ind w:left="720"/>
      </w:pPr>
      <w:r>
        <w:t xml:space="preserve">• </w:t>
      </w:r>
      <w:r>
        <w:rPr>
          <w:b w:val="0"/>
          <w:i w:val="0"/>
        </w:rPr>
        <w:t>cây động lực giá trị cho, 486</w:t>
      </w:r>
      <w:r>
        <w:rPr>
          <w:b w:val="0"/>
          <w:i/>
        </w:rPr>
        <w:t>e</w:t>
      </w:r>
    </w:p>
    <w:p>
      <w:pPr>
        <w:spacing w:after="80"/>
        <w:ind w:left="720"/>
      </w:pPr>
      <w:r>
        <w:t xml:space="preserve">• </w:t>
      </w:r>
      <w:r>
        <w:rPr>
          <w:b w:val="0"/>
          <w:i w:val="0"/>
        </w:rPr>
        <w:t>đòn bẩy giá trị như, 53</w:t>
      </w:r>
    </w:p>
    <w:p>
      <w:pPr>
        <w:spacing w:after="80"/>
        <w:ind w:left="360"/>
      </w:pPr>
      <w:r>
        <w:t xml:space="preserve">• </w:t>
      </w:r>
      <w:r>
        <w:rPr>
          <w:b w:val="0"/>
          <w:i w:val="0"/>
        </w:rPr>
        <w:t>Đồ thị tri thức (knowledge graph), 320, 385, 387, 398–399</w:t>
      </w:r>
    </w:p>
    <w:p>
      <w:pPr>
        <w:spacing w:after="80"/>
        <w:ind w:left="360"/>
      </w:pPr>
      <w:r>
        <w:t xml:space="preserve">• </w:t>
      </w:r>
      <w:r>
        <w:rPr>
          <w:b/>
          <w:i w:val="0"/>
        </w:rPr>
        <w:t>L</w:t>
      </w:r>
    </w:p>
    <w:p>
      <w:pPr>
        <w:spacing w:after="80"/>
        <w:ind w:left="360"/>
      </w:pPr>
      <w:r>
        <w:t xml:space="preserve">• </w:t>
      </w:r>
      <w:r>
        <w:rPr>
          <w:b w:val="0"/>
          <w:i w:val="0"/>
        </w:rPr>
        <w:t>Mô hình ngôn ngữ lớn (LLM):</w:t>
      </w:r>
    </w:p>
    <w:p>
      <w:pPr>
        <w:spacing w:after="80"/>
        <w:ind w:left="720"/>
      </w:pPr>
      <w:r>
        <w:t xml:space="preserve">• </w:t>
      </w:r>
      <w:r>
        <w:rPr>
          <w:b w:val="0"/>
          <w:i w:val="0"/>
        </w:rPr>
        <w:t>và năng lực tác tử (agentic competency), 339</w:t>
      </w:r>
      <w:r>
        <w:rPr>
          <w:b w:val="0"/>
          <w:i/>
        </w:rPr>
        <w:t>e</w:t>
      </w:r>
    </w:p>
    <w:p>
      <w:pPr>
        <w:spacing w:after="80"/>
        <w:ind w:left="720"/>
      </w:pPr>
      <w:r>
        <w:t xml:space="preserve">• </w:t>
      </w:r>
      <w:r>
        <w:rPr>
          <w:b w:val="0"/>
          <w:i w:val="0"/>
        </w:rPr>
        <w:t>-as-judge (kiểm thử AI agent), 94, 348</w:t>
      </w:r>
    </w:p>
    <w:p>
      <w:pPr>
        <w:spacing w:after="80"/>
        <w:ind w:left="720"/>
      </w:pPr>
      <w:r>
        <w:t xml:space="preserve">• </w:t>
      </w:r>
      <w:r>
        <w:rPr>
          <w:b w:val="0"/>
          <w:i w:val="0"/>
        </w:rPr>
        <w:t>kỹ thuật ngữ cảnh (context engineering) cho, 345</w:t>
      </w:r>
    </w:p>
    <w:p>
      <w:pPr>
        <w:spacing w:after="80"/>
        <w:ind w:left="720"/>
      </w:pPr>
      <w:r>
        <w:t xml:space="preserve">• </w:t>
      </w:r>
      <w:r>
        <w:rPr>
          <w:b w:val="0"/>
          <w:i w:val="0"/>
        </w:rPr>
        <w:t>kiểm soát chi phí cho, 327, 329, 334</w:t>
      </w:r>
    </w:p>
    <w:p>
      <w:pPr>
        <w:spacing w:after="80"/>
        <w:ind w:left="720"/>
      </w:pPr>
      <w:r>
        <w:t xml:space="preserve">• </w:t>
      </w:r>
      <w:r>
        <w:rPr>
          <w:b w:val="0"/>
          <w:i w:val="0"/>
        </w:rPr>
        <w:t>và bảo vệ dữ liệu, 427–435</w:t>
      </w:r>
    </w:p>
    <w:p>
      <w:pPr>
        <w:spacing w:after="80"/>
        <w:ind w:left="720"/>
      </w:pPr>
      <w:r>
        <w:t xml:space="preserve">• </w:t>
      </w:r>
      <w:r>
        <w:rPr>
          <w:b w:val="0"/>
          <w:i w:val="0"/>
        </w:rPr>
        <w:t>đồ thị tri thức cho, 399</w:t>
      </w:r>
    </w:p>
    <w:p>
      <w:pPr>
        <w:spacing w:after="80"/>
        <w:ind w:left="720"/>
      </w:pPr>
      <w:r>
        <w:t xml:space="preserve">• </w:t>
      </w:r>
      <w:r>
        <w:rPr>
          <w:b w:val="0"/>
          <w:i w:val="0"/>
        </w:rPr>
        <w:t>trong quan hệ đối tác công nghệ, 108</w:t>
      </w:r>
    </w:p>
    <w:p>
      <w:pPr>
        <w:spacing w:after="80"/>
        <w:ind w:left="720"/>
      </w:pPr>
      <w:r>
        <w:t xml:space="preserve">• </w:t>
      </w:r>
      <w:r>
        <w:rPr>
          <w:b w:val="0"/>
          <w:i w:val="0"/>
        </w:rPr>
        <w:t>token cho, 321</w:t>
      </w:r>
    </w:p>
    <w:p>
      <w:pPr>
        <w:spacing w:after="80"/>
        <w:ind w:left="720"/>
      </w:pPr>
      <w:r>
        <w:t xml:space="preserve">• </w:t>
      </w:r>
      <w:r>
        <w:rPr>
          <w:b w:val="0"/>
          <w:i w:val="0"/>
        </w:rPr>
        <w:t>và dữ liệu phi cấu trúc, 384–385</w:t>
      </w:r>
    </w:p>
    <w:p>
      <w:pPr>
        <w:spacing w:after="80"/>
        <w:ind w:left="360"/>
      </w:pPr>
      <w:r>
        <w:t xml:space="preserve">• </w:t>
      </w:r>
      <w:r>
        <w:rPr>
          <w:b w:val="0"/>
          <w:i w:val="0"/>
        </w:rPr>
        <w:t>LATAM Airlines, 270, 298, 320, 321, 543–553</w:t>
      </w:r>
    </w:p>
    <w:p>
      <w:pPr>
        <w:spacing w:after="80"/>
        <w:ind w:left="360"/>
      </w:pPr>
      <w:r>
        <w:t xml:space="preserve">• </w:t>
      </w:r>
      <w:r>
        <w:rPr>
          <w:b w:val="0"/>
          <w:i w:val="0"/>
        </w:rPr>
        <w:t>Độ trễ (latency), 87, 141, 348, 361, 366, 383, 412, 458</w:t>
      </w:r>
    </w:p>
    <w:p>
      <w:pPr>
        <w:spacing w:after="80"/>
        <w:ind w:left="360"/>
      </w:pPr>
      <w:r>
        <w:t xml:space="preserve">• </w:t>
      </w:r>
      <w:r>
        <w:rPr>
          <w:b w:val="0"/>
          <w:i w:val="0"/>
        </w:rPr>
        <w:t>Lawson, Jeff, 199</w:t>
      </w:r>
    </w:p>
    <w:p>
      <w:pPr>
        <w:spacing w:after="80"/>
        <w:ind w:left="360"/>
      </w:pPr>
      <w:r>
        <w:t xml:space="preserve">• </w:t>
      </w:r>
      <w:r>
        <w:rPr>
          <w:b w:val="0"/>
          <w:i w:val="0"/>
        </w:rPr>
        <w:t>Leach to the Last Drop, lĩnh vực (Freeport-McMoRan), 571–573, 575, 577, 579</w:t>
      </w:r>
    </w:p>
    <w:p>
      <w:pPr>
        <w:spacing w:after="80"/>
        <w:ind w:left="360"/>
      </w:pPr>
      <w:r>
        <w:t xml:space="preserve">• </w:t>
      </w:r>
      <w:r>
        <w:rPr>
          <w:b w:val="0"/>
          <w:i w:val="0"/>
        </w:rPr>
        <w:t>Lãnh đạo</w:t>
      </w:r>
    </w:p>
    <w:p>
      <w:pPr>
        <w:spacing w:after="80"/>
        <w:ind w:left="720"/>
      </w:pPr>
      <w:r>
        <w:t xml:space="preserve">• </w:t>
      </w:r>
      <w:r>
        <w:rPr>
          <w:b w:val="0"/>
          <w:i w:val="0"/>
        </w:rPr>
        <w:t>am hiểu công nghệ, 26</w:t>
      </w:r>
    </w:p>
    <w:p>
      <w:pPr>
        <w:spacing w:after="80"/>
        <w:ind w:left="720"/>
      </w:pPr>
      <w:r>
        <w:t xml:space="preserve">• </w:t>
      </w:r>
      <w:r>
        <w:rPr>
          <w:b w:val="0"/>
          <w:i w:val="0"/>
        </w:rPr>
        <w:t>các vai trò cấp C (C-suite), 111–118</w:t>
      </w:r>
    </w:p>
    <w:p>
      <w:pPr>
        <w:spacing w:after="80"/>
        <w:ind w:left="720"/>
      </w:pPr>
      <w:r>
        <w:t xml:space="preserve">• </w:t>
      </w:r>
      <w:r>
        <w:rPr>
          <w:b w:val="0"/>
          <w:i w:val="0"/>
        </w:rPr>
        <w:t>chủ sở hữu lĩnh vực (domain owner), 131–133</w:t>
      </w:r>
    </w:p>
    <w:p>
      <w:pPr>
        <w:spacing w:after="80"/>
        <w:ind w:left="720"/>
      </w:pPr>
      <w:r>
        <w:t xml:space="preserve">• </w:t>
      </w:r>
      <w:r>
        <w:rPr>
          <w:b w:val="0"/>
          <w:i w:val="0"/>
        </w:rPr>
        <w:t>những đặc điểm của nhà lãnh đạo được tái cấu trúc (rewired leaders), 34–37</w:t>
      </w:r>
    </w:p>
    <w:p>
      <w:pPr>
        <w:spacing w:after="80"/>
        <w:ind w:left="720"/>
      </w:pPr>
      <w:r>
        <w:t xml:space="preserve">• </w:t>
      </w:r>
      <w:r>
        <w:rPr>
          <w:b w:val="0"/>
          <w:i w:val="0"/>
        </w:rPr>
        <w:t>nâng cao kỹ năng (upskilling), 137</w:t>
      </w:r>
    </w:p>
    <w:p>
      <w:pPr>
        <w:spacing w:after="80"/>
        <w:ind w:left="360"/>
      </w:pPr>
      <w:r>
        <w:t xml:space="preserve">• </w:t>
      </w:r>
      <w:r>
        <w:rPr>
          <w:b w:val="0"/>
          <w:i w:val="0"/>
        </w:rPr>
        <w:t>Huy động lãnh đạo (Leadership mobilization), 492</w:t>
      </w:r>
    </w:p>
    <w:p>
      <w:pPr>
        <w:spacing w:after="80"/>
        <w:ind w:left="360"/>
      </w:pPr>
      <w:r>
        <w:t xml:space="preserve">• </w:t>
      </w:r>
      <w:r>
        <w:rPr>
          <w:b w:val="0"/>
          <w:i w:val="0"/>
        </w:rPr>
        <w:t>Thiết lập dữ liệu cũ (Legacy data setup), 405, 406</w:t>
      </w:r>
      <w:r>
        <w:rPr>
          <w:b w:val="0"/>
          <w:i/>
        </w:rPr>
        <w:t>e</w:t>
      </w:r>
    </w:p>
    <w:p>
      <w:pPr>
        <w:spacing w:after="80"/>
        <w:ind w:left="360"/>
      </w:pPr>
      <w:r>
        <w:t xml:space="preserve">• </w:t>
      </w:r>
      <w:r>
        <w:rPr>
          <w:b w:val="0"/>
          <w:i w:val="0"/>
        </w:rPr>
        <w:t>Hệ thống cũ (Legacy systems), 364</w:t>
      </w:r>
    </w:p>
    <w:p>
      <w:pPr>
        <w:spacing w:after="80"/>
        <w:ind w:left="360"/>
      </w:pPr>
      <w:r>
        <w:t xml:space="preserve">• </w:t>
      </w:r>
      <w:r>
        <w:rPr>
          <w:b w:val="0"/>
          <w:i w:val="0"/>
        </w:rPr>
        <w:t>Ngọn hải đăng (Lighthouses), 138, 186, 472, 528</w:t>
      </w:r>
    </w:p>
    <w:p>
      <w:pPr>
        <w:spacing w:after="80"/>
        <w:ind w:left="360"/>
      </w:pPr>
      <w:r>
        <w:t xml:space="preserve">• </w:t>
      </w:r>
      <w:r>
        <w:rPr>
          <w:b w:val="0"/>
          <w:i w:val="0"/>
        </w:rPr>
        <w:t>Lilli (GenAI), 501</w:t>
      </w:r>
    </w:p>
    <w:p>
      <w:pPr>
        <w:spacing w:after="80"/>
        <w:ind w:left="360"/>
      </w:pPr>
      <w:r>
        <w:t xml:space="preserve">• </w:t>
      </w:r>
      <w:r>
        <w:rPr>
          <w:b w:val="0"/>
          <w:i w:val="0"/>
        </w:rPr>
        <w:t>LIME (giải thích mô hình không phụ thuộc mô hình có thể diễn giải cục bộ - local interpretable model-agnostic explanations), 518</w:t>
      </w:r>
    </w:p>
    <w:p>
      <w:pPr>
        <w:spacing w:after="80"/>
        <w:ind w:left="360"/>
      </w:pPr>
      <w:r>
        <w:t xml:space="preserve">• </w:t>
      </w:r>
      <w:r>
        <w:rPr>
          <w:b w:val="0"/>
          <w:i w:val="0"/>
        </w:rPr>
        <w:t>Phương pháp sóng tuyến tính (Linear waves approach) (mở rộng quy mô giải pháp), 470</w:t>
      </w:r>
    </w:p>
    <w:p>
      <w:pPr>
        <w:spacing w:after="80"/>
        <w:ind w:left="360"/>
      </w:pPr>
      <w:r>
        <w:t xml:space="preserve">• </w:t>
      </w:r>
      <w:r>
        <w:rPr>
          <w:b w:val="0"/>
          <w:i w:val="0"/>
        </w:rPr>
        <w:t>Lingo (Abbott, xây dựng doanh nghiệp mới), 265–268</w:t>
      </w:r>
    </w:p>
    <w:p>
      <w:pPr>
        <w:spacing w:after="80"/>
        <w:ind w:left="360"/>
      </w:pPr>
      <w:r>
        <w:t xml:space="preserve">• </w:t>
      </w:r>
      <w:r>
        <w:rPr>
          <w:b w:val="0"/>
          <w:i w:val="0"/>
        </w:rPr>
        <w:t>Chế độ bóng trực tiếp (Live shadow mode) (kiểm thử AI agents), 348</w:t>
      </w:r>
    </w:p>
    <w:p>
      <w:pPr>
        <w:spacing w:after="80"/>
        <w:ind w:left="360"/>
      </w:pPr>
      <w:r>
        <w:t xml:space="preserve">• </w:t>
      </w:r>
      <w:r>
        <w:rPr>
          <w:b w:val="0"/>
          <w:i w:val="0"/>
        </w:rPr>
        <w:t>Chiến lược địa điểm (Location strategies) (nhân tài), 153–154, 154</w:t>
      </w:r>
      <w:r>
        <w:rPr>
          <w:b w:val="0"/>
          <w:i/>
        </w:rPr>
        <w:t>e</w:t>
      </w:r>
      <w:r>
        <w:rPr>
          <w:b w:val="0"/>
          <w:i w:val="0"/>
        </w:rPr>
        <w:t>, 156–157</w:t>
      </w:r>
    </w:p>
    <w:p>
      <w:pPr>
        <w:spacing w:after="80"/>
        <w:ind w:left="360"/>
      </w:pPr>
      <w:r>
        <w:t xml:space="preserve">• </w:t>
      </w:r>
      <w:r>
        <w:rPr>
          <w:b w:val="0"/>
          <w:i w:val="0"/>
        </w:rPr>
        <w:t>Các tệp nhật ký (log file) (chất lượng dữ liệu), 386</w:t>
      </w:r>
    </w:p>
    <w:p>
      <w:pPr>
        <w:spacing w:after="80"/>
        <w:ind w:left="360"/>
      </w:pPr>
      <w:r>
        <w:t xml:space="preserve">• </w:t>
      </w:r>
      <w:r>
        <w:rPr>
          <w:b/>
          <w:i w:val="0"/>
        </w:rPr>
        <w:t>M</w:t>
      </w:r>
    </w:p>
    <w:p>
      <w:pPr>
        <w:spacing w:after="80"/>
        <w:ind w:left="360"/>
      </w:pPr>
      <w:r>
        <w:t xml:space="preserve">• </w:t>
      </w:r>
      <w:r>
        <w:rPr>
          <w:b w:val="0"/>
          <w:i w:val="0"/>
        </w:rPr>
        <w:t>Học máy (machine learning - ML):</w:t>
      </w:r>
    </w:p>
    <w:p>
      <w:pPr>
        <w:spacing w:after="80"/>
        <w:ind w:left="720"/>
      </w:pPr>
      <w:r>
        <w:t xml:space="preserve">• </w:t>
      </w:r>
      <w:r>
        <w:rPr>
          <w:b w:val="0"/>
          <w:i w:val="0"/>
        </w:rPr>
        <w:t>và AI dạng tác tử (agentic AI), 338</w:t>
      </w:r>
    </w:p>
    <w:p>
      <w:pPr>
        <w:spacing w:after="80"/>
        <w:ind w:left="720"/>
      </w:pPr>
      <w:r>
        <w:t xml:space="preserve">• </w:t>
      </w:r>
      <w:r>
        <w:rPr>
          <w:b w:val="0"/>
          <w:i w:val="0"/>
        </w:rPr>
        <w:t>và dấu vết dữ liệu (data lineage), 403</w:t>
      </w:r>
    </w:p>
    <w:p>
      <w:pPr>
        <w:spacing w:after="80"/>
        <w:ind w:left="720"/>
      </w:pPr>
      <w:r>
        <w:t xml:space="preserve">• </w:t>
      </w:r>
      <w:r>
        <w:rPr>
          <w:b w:val="0"/>
          <w:i w:val="0"/>
        </w:rPr>
        <w:t>định nghĩa của, 81</w:t>
      </w:r>
    </w:p>
    <w:p>
      <w:pPr>
        <w:spacing w:after="80"/>
        <w:ind w:left="720"/>
      </w:pPr>
      <w:r>
        <w:t xml:space="preserve">• </w:t>
      </w:r>
      <w:r>
        <w:rPr>
          <w:b w:val="0"/>
          <w:i w:val="0"/>
        </w:rPr>
        <w:t>trong mô hình dự báo nhu cầu, 560</w:t>
      </w:r>
    </w:p>
    <w:p>
      <w:pPr>
        <w:spacing w:after="80"/>
        <w:ind w:left="720"/>
      </w:pPr>
      <w:r>
        <w:t xml:space="preserve">• </w:t>
      </w:r>
      <w:r>
        <w:rPr>
          <w:b w:val="0"/>
          <w:i w:val="0"/>
        </w:rPr>
        <w:t>và bản sao kỹ thuật số (digital twinning), 405</w:t>
      </w:r>
    </w:p>
    <w:p>
      <w:pPr>
        <w:spacing w:after="80"/>
        <w:ind w:left="720"/>
      </w:pPr>
      <w:r>
        <w:t xml:space="preserve">• </w:t>
      </w:r>
      <w:r>
        <w:rPr>
          <w:b w:val="0"/>
          <w:i w:val="0"/>
        </w:rPr>
        <w:t>kho lưu trữ cho, 586</w:t>
      </w:r>
    </w:p>
    <w:p>
      <w:pPr>
        <w:spacing w:after="80"/>
        <w:ind w:left="720"/>
      </w:pPr>
      <w:r>
        <w:t xml:space="preserve">• </w:t>
      </w:r>
      <w:r>
        <w:rPr>
          <w:b w:val="0"/>
          <w:i w:val="0"/>
        </w:rPr>
        <w:t>xem xét lại, 517</w:t>
      </w:r>
    </w:p>
    <w:p>
      <w:pPr>
        <w:spacing w:after="80"/>
        <w:ind w:left="720"/>
      </w:pPr>
      <w:r>
        <w:t xml:space="preserve">• </w:t>
      </w:r>
      <w:r>
        <w:rPr>
          <w:b w:val="0"/>
          <w:i w:val="0"/>
        </w:rPr>
        <w:t>xây dựng niềm tin với, 577</w:t>
      </w:r>
    </w:p>
    <w:p>
      <w:pPr>
        <w:spacing w:after="80"/>
        <w:ind w:left="360"/>
      </w:pPr>
      <w:r>
        <w:t xml:space="preserve">• </w:t>
      </w:r>
      <w:r>
        <w:rPr>
          <w:b w:val="0"/>
          <w:i w:val="0"/>
        </w:rPr>
        <w:t>Magro, Chuck, 113</w:t>
      </w:r>
    </w:p>
    <w:p>
      <w:pPr>
        <w:spacing w:after="80"/>
        <w:ind w:left="360"/>
      </w:pPr>
      <w:r>
        <w:t xml:space="preserve">• </w:t>
      </w:r>
      <w:r>
        <w:rPr>
          <w:b w:val="0"/>
          <w:i w:val="0"/>
        </w:rPr>
        <w:t>Bảo trì (phần mềm), 503–507</w:t>
      </w:r>
    </w:p>
    <w:p>
      <w:pPr>
        <w:spacing w:after="80"/>
        <w:ind w:left="360"/>
      </w:pPr>
      <w:r>
        <w:t xml:space="preserve">• </w:t>
      </w:r>
      <w:r>
        <w:rPr>
          <w:b w:val="0"/>
          <w:i w:val="0"/>
        </w:rPr>
        <w:t>Hệ thống quản lý, 5, 117, 195, 246–252</w:t>
      </w:r>
    </w:p>
    <w:p>
      <w:pPr>
        <w:spacing w:after="80"/>
        <w:ind w:left="360"/>
      </w:pPr>
      <w:r>
        <w:t xml:space="preserve">• </w:t>
      </w:r>
      <w:r>
        <w:rPr>
          <w:b w:val="0"/>
          <w:i w:val="0"/>
        </w:rPr>
        <w:t>Đánh giá quản lý, 151</w:t>
      </w:r>
    </w:p>
    <w:p>
      <w:pPr>
        <w:spacing w:after="80"/>
        <w:ind w:left="360"/>
      </w:pPr>
      <w:r>
        <w:t xml:space="preserve">• </w:t>
      </w:r>
      <w:r>
        <w:rPr>
          <w:b w:val="0"/>
          <w:i w:val="0"/>
        </w:rPr>
        <w:t>Quản lý thông qua Hành trình (Managing through Journeys - MtJs; DBS Bank), 589–590</w:t>
      </w:r>
    </w:p>
    <w:p>
      <w:pPr>
        <w:spacing w:after="80"/>
        <w:ind w:left="360"/>
      </w:pPr>
      <w:r>
        <w:t xml:space="preserve">• </w:t>
      </w:r>
      <w:r>
        <w:rPr>
          <w:b w:val="0"/>
          <w:i w:val="0"/>
        </w:rPr>
        <w:t>Các chỉ số đo lường độ trưởng thành (hiệu suất nhóm), 490</w:t>
      </w:r>
    </w:p>
    <w:p>
      <w:pPr>
        <w:spacing w:after="80"/>
        <w:ind w:left="360"/>
      </w:pPr>
      <w:r>
        <w:t xml:space="preserve">• </w:t>
      </w:r>
      <w:r>
        <w:rPr>
          <w:b w:val="0"/>
          <w:i w:val="0"/>
        </w:rPr>
        <w:t>McAfee, Andy, 489, 523</w:t>
      </w:r>
    </w:p>
    <w:p>
      <w:pPr>
        <w:spacing w:after="80"/>
        <w:ind w:left="360"/>
      </w:pPr>
      <w:r>
        <w:t xml:space="preserve">• </w:t>
      </w:r>
      <w:r>
        <w:rPr>
          <w:b w:val="0"/>
          <w:i w:val="0"/>
        </w:rPr>
        <w:t>McCollum, Joe, 240</w:t>
      </w:r>
    </w:p>
    <w:p>
      <w:pPr>
        <w:spacing w:after="80"/>
        <w:ind w:left="360"/>
      </w:pPr>
      <w:r>
        <w:t xml:space="preserve">• </w:t>
      </w:r>
      <w:r>
        <w:rPr>
          <w:b w:val="0"/>
          <w:i w:val="0"/>
        </w:rPr>
        <w:t>McKinsey Global Institute (tiềm năng kinh tế của các lĩnh vực), 88</w:t>
      </w:r>
    </w:p>
    <w:p>
      <w:pPr>
        <w:spacing w:after="80"/>
        <w:ind w:left="360"/>
      </w:pPr>
      <w:r>
        <w:t xml:space="preserve">• </w:t>
      </w:r>
      <w:r>
        <w:rPr>
          <w:b w:val="0"/>
          <w:i w:val="0"/>
        </w:rPr>
        <w:t>Thời gian trung bình để phục hồi (MTTR), 302, 365</w:t>
      </w:r>
    </w:p>
    <w:p>
      <w:pPr>
        <w:spacing w:after="80"/>
        <w:ind w:left="360"/>
      </w:pPr>
      <w:r>
        <w:t xml:space="preserve">• </w:t>
      </w:r>
      <w:r>
        <w:rPr>
          <w:b w:val="0"/>
          <w:i w:val="0"/>
        </w:rPr>
        <w:t>Siêu dữ liệu (Metadata), 374, 383, 392, 403, 411, 412, 433–434, 584</w:t>
      </w:r>
    </w:p>
    <w:p>
      <w:pPr>
        <w:spacing w:after="80"/>
        <w:ind w:left="360"/>
      </w:pPr>
      <w:r>
        <w:t xml:space="preserve">• </w:t>
      </w:r>
      <w:r>
        <w:rPr>
          <w:b w:val="0"/>
          <w:i w:val="0"/>
        </w:rPr>
        <w:t>Microsoft 365, 330</w:t>
      </w:r>
    </w:p>
    <w:p>
      <w:pPr>
        <w:spacing w:after="80"/>
        <w:ind w:left="360"/>
      </w:pPr>
      <w:r>
        <w:t xml:space="preserve">• </w:t>
      </w:r>
      <w:r>
        <w:rPr>
          <w:b w:val="0"/>
          <w:i w:val="0"/>
        </w:rPr>
        <w:t>Sản phẩm khả thi tối thiểu (MVP), 65, 206</w:t>
      </w:r>
      <w:r>
        <w:rPr>
          <w:b w:val="0"/>
          <w:i/>
        </w:rPr>
        <w:t>e</w:t>
      </w:r>
      <w:r>
        <w:rPr>
          <w:b w:val="0"/>
          <w:i w:val="0"/>
        </w:rPr>
        <w:t>, 226, 269–270, 453, 479, 494</w:t>
      </w:r>
    </w:p>
    <w:p>
      <w:pPr>
        <w:spacing w:after="80"/>
        <w:ind w:left="360"/>
      </w:pPr>
      <w:r>
        <w:t xml:space="preserve">• </w:t>
      </w:r>
      <w:r>
        <w:rPr>
          <w:b w:val="0"/>
          <w:i w:val="0"/>
        </w:rPr>
        <w:t>MIT, 26, 28</w:t>
      </w:r>
      <w:r>
        <w:rPr>
          <w:b w:val="0"/>
          <w:i/>
        </w:rPr>
        <w:t>e</w:t>
      </w:r>
      <w:r>
        <w:rPr>
          <w:b w:val="0"/>
          <w:i w:val="0"/>
        </w:rPr>
        <w:t>, 95, 118, 139</w:t>
      </w:r>
      <w:r>
        <w:rPr>
          <w:b w:val="0"/>
          <w:i/>
        </w:rPr>
        <w:t>e</w:t>
      </w:r>
      <w:r>
        <w:rPr>
          <w:b w:val="0"/>
          <w:i w:val="0"/>
        </w:rPr>
        <w:t>, 380</w:t>
      </w:r>
    </w:p>
    <w:p>
      <w:pPr>
        <w:spacing w:after="80"/>
        <w:ind w:left="360"/>
      </w:pPr>
      <w:r>
        <w:t xml:space="preserve">• </w:t>
      </w:r>
      <w:r>
        <w:rPr>
          <w:b w:val="0"/>
          <w:i w:val="0"/>
        </w:rPr>
        <w:t>Hạ tầng MLOps, 481, 503</w:t>
      </w:r>
    </w:p>
    <w:p>
      <w:pPr>
        <w:spacing w:after="80"/>
        <w:ind w:left="360"/>
      </w:pPr>
      <w:r>
        <w:t xml:space="preserve">• </w:t>
      </w:r>
      <w:r>
        <w:rPr>
          <w:b w:val="0"/>
          <w:i w:val="0"/>
        </w:rPr>
        <w:t>Giao thức ngữ cảnh mô hình (MCP), 295</w:t>
      </w:r>
    </w:p>
    <w:p>
      <w:pPr>
        <w:spacing w:after="80"/>
        <w:ind w:left="360"/>
      </w:pPr>
      <w:r>
        <w:t xml:space="preserve">• </w:t>
      </w:r>
      <w:r>
        <w:rPr>
          <w:b w:val="0"/>
          <w:i w:val="0"/>
        </w:rPr>
        <w:t>Phát triển mô hình (nền tảng AI), 325–335</w:t>
      </w:r>
    </w:p>
    <w:p>
      <w:pPr>
        <w:spacing w:after="80"/>
        <w:ind w:left="360"/>
      </w:pPr>
      <w:r>
        <w:t xml:space="preserve">• </w:t>
      </w:r>
      <w:r>
        <w:rPr>
          <w:b w:val="0"/>
          <w:i w:val="0"/>
        </w:rPr>
        <w:t>Những điểm kỳ quặc của mô hình (GenAI), 432</w:t>
      </w:r>
    </w:p>
    <w:p>
      <w:pPr>
        <w:spacing w:after="80"/>
        <w:ind w:left="360"/>
      </w:pPr>
      <w:r>
        <w:t xml:space="preserve">• </w:t>
      </w:r>
      <w:r>
        <w:rPr>
          <w:b w:val="0"/>
          <w:i w:val="0"/>
        </w:rPr>
        <w:t>Kiến trúc mô-đun, 6, 231, 476, 477</w:t>
      </w:r>
      <w:r>
        <w:rPr>
          <w:b w:val="0"/>
          <w:i/>
        </w:rPr>
        <w:t>e</w:t>
      </w:r>
      <w:r>
        <w:rPr>
          <w:b w:val="0"/>
          <w:i w:val="0"/>
        </w:rPr>
        <w:t>, 508, 591</w:t>
      </w:r>
    </w:p>
    <w:p>
      <w:pPr>
        <w:spacing w:after="80"/>
        <w:ind w:left="360"/>
      </w:pPr>
      <w:r>
        <w:t xml:space="preserve">• </w:t>
      </w:r>
      <w:r>
        <w:rPr>
          <w:b w:val="0"/>
          <w:i w:val="0"/>
        </w:rPr>
        <w:t>Các thành phần công nghệ mô-đun, 476</w:t>
      </w:r>
    </w:p>
    <w:p>
      <w:pPr>
        <w:spacing w:after="80"/>
        <w:ind w:left="360"/>
      </w:pPr>
      <w:r>
        <w:t xml:space="preserve">• </w:t>
      </w:r>
      <w:r>
        <w:rPr>
          <w:b w:val="0"/>
          <w:i w:val="0"/>
        </w:rPr>
        <w:t>Nhiều nền tảng tác tử (agentic), 353, 354</w:t>
      </w:r>
      <w:r>
        <w:rPr>
          <w:b w:val="0"/>
          <w:i/>
        </w:rPr>
        <w:t>e</w:t>
      </w:r>
    </w:p>
    <w:p>
      <w:pPr>
        <w:spacing w:after="80"/>
        <w:ind w:left="360"/>
      </w:pPr>
      <w:r>
        <w:t xml:space="preserve">• </w:t>
      </w:r>
      <w:r>
        <w:rPr>
          <w:b/>
          <w:i w:val="0"/>
        </w:rPr>
        <w:t>N</w:t>
      </w:r>
    </w:p>
    <w:p>
      <w:pPr>
        <w:spacing w:after="80"/>
        <w:ind w:left="360"/>
      </w:pPr>
      <w:r>
        <w:t xml:space="preserve">• </w:t>
      </w:r>
      <w:r>
        <w:rPr>
          <w:b w:val="0"/>
          <w:i w:val="0"/>
        </w:rPr>
        <w:t>Lập luận bằng ngôn ngữ tự nhiên, 386–387</w:t>
      </w:r>
    </w:p>
    <w:p>
      <w:pPr>
        <w:spacing w:after="80"/>
        <w:ind w:left="360"/>
      </w:pPr>
      <w:r>
        <w:t xml:space="preserve">• </w:t>
      </w:r>
      <w:r>
        <w:rPr>
          <w:b w:val="0"/>
          <w:i w:val="0"/>
        </w:rPr>
        <w:t>Xây dựng doanh nghiệp mới:</w:t>
      </w:r>
    </w:p>
    <w:p>
      <w:pPr>
        <w:spacing w:after="80"/>
        <w:ind w:left="720"/>
      </w:pPr>
      <w:r>
        <w:t xml:space="preserve">• </w:t>
      </w:r>
      <w:r>
        <w:rPr>
          <w:b w:val="0"/>
          <w:i w:val="0"/>
        </w:rPr>
        <w:t>giới thiệu dự án khởi nghiệp vào công ty mẹ, 270</w:t>
      </w:r>
    </w:p>
    <w:p>
      <w:pPr>
        <w:spacing w:after="80"/>
        <w:ind w:left="720"/>
      </w:pPr>
      <w:r>
        <w:t xml:space="preserve">• </w:t>
      </w:r>
      <w:r>
        <w:rPr>
          <w:b w:val="0"/>
          <w:i w:val="0"/>
        </w:rPr>
        <w:t>quản trị và thực tiễn, 267</w:t>
      </w:r>
    </w:p>
    <w:p>
      <w:pPr>
        <w:spacing w:after="80"/>
        <w:ind w:left="720"/>
      </w:pPr>
      <w:r>
        <w:t xml:space="preserve">• </w:t>
      </w:r>
      <w:r>
        <w:rPr>
          <w:b w:val="0"/>
          <w:i w:val="0"/>
        </w:rPr>
        <w:t>các đặc điểm mô hình vận hành, 266–271</w:t>
      </w:r>
    </w:p>
    <w:p>
      <w:pPr>
        <w:spacing w:after="80"/>
        <w:ind w:left="720"/>
      </w:pPr>
      <w:r>
        <w:t xml:space="preserve">• </w:t>
      </w:r>
      <w:r>
        <w:rPr>
          <w:b w:val="0"/>
          <w:i w:val="0"/>
        </w:rPr>
        <w:t>quy tắc tương tác, 267</w:t>
      </w:r>
    </w:p>
    <w:p>
      <w:pPr>
        <w:spacing w:after="80"/>
        <w:ind w:left="720"/>
      </w:pPr>
      <w:r>
        <w:t xml:space="preserve">• </w:t>
      </w:r>
      <w:r>
        <w:rPr>
          <w:b w:val="0"/>
          <w:i w:val="0"/>
        </w:rPr>
        <w:t>quy mô, 271</w:t>
      </w:r>
    </w:p>
    <w:p>
      <w:pPr>
        <w:spacing w:after="80"/>
        <w:ind w:left="720"/>
      </w:pPr>
      <w:r>
        <w:t xml:space="preserve">• </w:t>
      </w:r>
      <w:r>
        <w:rPr>
          <w:b w:val="0"/>
          <w:i w:val="0"/>
        </w:rPr>
        <w:t>nhân tài, 269</w:t>
      </w:r>
    </w:p>
    <w:p>
      <w:pPr>
        <w:spacing w:after="80"/>
        <w:ind w:left="720"/>
      </w:pPr>
      <w:r>
        <w:t xml:space="preserve">• </w:t>
      </w:r>
      <w:r>
        <w:rPr>
          <w:b w:val="0"/>
          <w:i w:val="0"/>
        </w:rPr>
        <w:t>giá trị, 268</w:t>
      </w:r>
    </w:p>
    <w:p>
      <w:pPr>
        <w:spacing w:after="80"/>
        <w:ind w:left="360"/>
      </w:pPr>
      <w:r>
        <w:t xml:space="preserve">• </w:t>
      </w:r>
      <w:r>
        <w:rPr>
          <w:b w:val="0"/>
          <w:i w:val="0"/>
        </w:rPr>
        <w:t>Netflix, 194, 523</w:t>
      </w:r>
    </w:p>
    <w:p>
      <w:pPr>
        <w:spacing w:after="80"/>
        <w:ind w:left="360"/>
      </w:pPr>
      <w:r>
        <w:t xml:space="preserve">• </w:t>
      </w:r>
      <w:r>
        <w:rPr>
          <w:b w:val="0"/>
          <w:i w:val="0"/>
        </w:rPr>
        <w:t>Các nhóm mạng lưới, 232</w:t>
      </w:r>
    </w:p>
    <w:p>
      <w:pPr>
        <w:spacing w:after="80"/>
        <w:ind w:left="360"/>
      </w:pPr>
      <w:r>
        <w:t xml:space="preserve">• </w:t>
      </w:r>
      <w:r>
        <w:rPr>
          <w:b w:val="0"/>
          <w:i w:val="0"/>
        </w:rPr>
        <w:t>Kết quả không xác định (rủi ro của AI tác tử), 347</w:t>
      </w:r>
    </w:p>
    <w:p>
      <w:pPr>
        <w:spacing w:after="80"/>
        <w:ind w:left="360"/>
      </w:pPr>
      <w:r>
        <w:t xml:space="preserve">• </w:t>
      </w:r>
      <w:r>
        <w:rPr>
          <w:b w:val="0"/>
          <w:i w:val="0"/>
        </w:rPr>
        <w:t>Ghi nhận phi tiền tệ (quản lý nhân tài), 169</w:t>
      </w:r>
    </w:p>
    <w:p>
      <w:pPr>
        <w:spacing w:after="80"/>
        <w:ind w:left="360"/>
      </w:pPr>
      <w:r>
        <w:t xml:space="preserve">• </w:t>
      </w:r>
      <w:r>
        <w:rPr>
          <w:b/>
          <w:i w:val="0"/>
        </w:rPr>
        <w:t>O</w:t>
      </w:r>
    </w:p>
    <w:p>
      <w:pPr>
        <w:spacing w:after="80"/>
        <w:ind w:left="360"/>
      </w:pPr>
      <w:r>
        <w:t xml:space="preserve">• </w:t>
      </w:r>
      <w:r>
        <w:rPr>
          <w:b w:val="0"/>
          <w:i w:val="0"/>
        </w:rPr>
        <w:t>Mục tiêu và kết quả then chốt (OKRs), 210–215, 484, 487, 489, 495, 502</w:t>
      </w:r>
    </w:p>
    <w:p>
      <w:pPr>
        <w:spacing w:after="80"/>
        <w:ind w:left="720"/>
      </w:pPr>
      <w:r>
        <w:t xml:space="preserve">• </w:t>
      </w:r>
      <w:r>
        <w:rPr>
          <w:b w:val="0"/>
          <w:i w:val="0"/>
        </w:rPr>
        <w:t>so với KPI, 484</w:t>
      </w:r>
    </w:p>
    <w:p>
      <w:pPr>
        <w:spacing w:after="80"/>
        <w:ind w:left="360"/>
      </w:pPr>
      <w:r>
        <w:t xml:space="preserve">• </w:t>
      </w:r>
      <w:r>
        <w:rPr>
          <w:b w:val="0"/>
          <w:i w:val="0"/>
        </w:rPr>
        <w:t>Khả năng quan sát (Observability):</w:t>
      </w:r>
    </w:p>
    <w:p>
      <w:pPr>
        <w:spacing w:after="80"/>
        <w:ind w:left="720"/>
      </w:pPr>
      <w:r>
        <w:t xml:space="preserve">• </w:t>
      </w:r>
      <w:r>
        <w:rPr>
          <w:b w:val="0"/>
          <w:i w:val="0"/>
        </w:rPr>
        <w:t>về hành vi của agent, 431</w:t>
      </w:r>
    </w:p>
    <w:p>
      <w:pPr>
        <w:spacing w:after="80"/>
        <w:ind w:left="720"/>
      </w:pPr>
      <w:r>
        <w:t xml:space="preserve">• </w:t>
      </w:r>
      <w:r>
        <w:rPr>
          <w:b w:val="0"/>
          <w:i w:val="0"/>
        </w:rPr>
        <w:t>giám sát dữ liệu với, 383</w:t>
      </w:r>
    </w:p>
    <w:p>
      <w:pPr>
        <w:spacing w:after="80"/>
        <w:ind w:left="720"/>
      </w:pPr>
      <w:r>
        <w:t xml:space="preserve">• </w:t>
      </w:r>
      <w:r>
        <w:rPr>
          <w:b w:val="0"/>
          <w:i w:val="0"/>
        </w:rPr>
        <w:t>trong vận hành dữ liệu, 392</w:t>
      </w:r>
    </w:p>
    <w:p>
      <w:pPr>
        <w:spacing w:after="80"/>
        <w:ind w:left="720"/>
      </w:pPr>
      <w:r>
        <w:t xml:space="preserve">• </w:t>
      </w:r>
      <w:r>
        <w:rPr>
          <w:b w:val="0"/>
          <w:i w:val="0"/>
        </w:rPr>
        <w:t>sửa lỗi với, 93</w:t>
      </w:r>
    </w:p>
    <w:p>
      <w:pPr>
        <w:spacing w:after="80"/>
        <w:ind w:left="720"/>
      </w:pPr>
      <w:r>
        <w:t xml:space="preserve">• </w:t>
      </w:r>
      <w:r>
        <w:rPr>
          <w:b w:val="0"/>
          <w:i w:val="0"/>
        </w:rPr>
        <w:t>và giám sát, 309</w:t>
      </w:r>
    </w:p>
    <w:p>
      <w:pPr>
        <w:spacing w:after="80"/>
        <w:ind w:left="720"/>
      </w:pPr>
      <w:r>
        <w:t xml:space="preserve">• </w:t>
      </w:r>
      <w:r>
        <w:rPr>
          <w:b w:val="0"/>
          <w:i w:val="0"/>
        </w:rPr>
        <w:t>quyền sở hữu đối với, 247</w:t>
      </w:r>
    </w:p>
    <w:p>
      <w:pPr>
        <w:spacing w:after="80"/>
        <w:ind w:left="720"/>
      </w:pPr>
      <w:r>
        <w:t xml:space="preserve">• </w:t>
      </w:r>
      <w:r>
        <w:rPr>
          <w:b w:val="0"/>
          <w:i w:val="0"/>
        </w:rPr>
        <w:t>stack, 304</w:t>
      </w:r>
    </w:p>
    <w:p>
      <w:pPr>
        <w:spacing w:after="80"/>
        <w:ind w:left="360"/>
      </w:pPr>
      <w:r>
        <w:t xml:space="preserve">• </w:t>
      </w:r>
      <w:r>
        <w:rPr>
          <w:b w:val="0"/>
          <w:i w:val="0"/>
        </w:rPr>
        <w:t>Odinet, Bert, 571, 579</w:t>
      </w:r>
    </w:p>
    <w:p>
      <w:pPr>
        <w:spacing w:after="80"/>
        <w:ind w:left="360"/>
      </w:pPr>
      <w:r>
        <w:t xml:space="preserve">• </w:t>
      </w:r>
      <w:r>
        <w:rPr>
          <w:b w:val="0"/>
          <w:i w:val="0"/>
        </w:rPr>
        <w:t>Onboarding (hội nhập):</w:t>
      </w:r>
    </w:p>
    <w:p>
      <w:pPr>
        <w:spacing w:after="80"/>
        <w:ind w:left="720"/>
      </w:pPr>
      <w:r>
        <w:t xml:space="preserve">• </w:t>
      </w:r>
      <w:r>
        <w:rPr>
          <w:b w:val="0"/>
          <w:i w:val="0"/>
        </w:rPr>
        <w:t>của AI agent, 91</w:t>
      </w:r>
    </w:p>
    <w:p>
      <w:pPr>
        <w:spacing w:after="80"/>
        <w:ind w:left="720"/>
      </w:pPr>
      <w:r>
        <w:t xml:space="preserve">• </w:t>
      </w:r>
      <w:r>
        <w:rPr>
          <w:b w:val="0"/>
          <w:i w:val="0"/>
        </w:rPr>
        <w:t>trong các nền tảng API, 296</w:t>
      </w:r>
    </w:p>
    <w:p>
      <w:pPr>
        <w:spacing w:after="80"/>
        <w:ind w:left="720"/>
      </w:pPr>
      <w:r>
        <w:t xml:space="preserve">• </w:t>
      </w:r>
      <w:r>
        <w:rPr>
          <w:b w:val="0"/>
          <w:i w:val="0"/>
        </w:rPr>
        <w:t>của khách hàng, 50, 51</w:t>
      </w:r>
      <w:r>
        <w:rPr>
          <w:b w:val="0"/>
          <w:i/>
        </w:rPr>
        <w:t>e</w:t>
      </w:r>
    </w:p>
    <w:p>
      <w:pPr>
        <w:spacing w:after="80"/>
        <w:ind w:left="720"/>
      </w:pPr>
      <w:r>
        <w:t xml:space="preserve">• </w:t>
      </w:r>
      <w:r>
        <w:rPr>
          <w:b w:val="0"/>
          <w:i w:val="0"/>
        </w:rPr>
        <w:t>của các nhóm DevEx, 307</w:t>
      </w:r>
    </w:p>
    <w:p>
      <w:pPr>
        <w:spacing w:after="80"/>
        <w:ind w:left="720"/>
      </w:pPr>
      <w:r>
        <w:t xml:space="preserve">• </w:t>
      </w:r>
      <w:r>
        <w:rPr>
          <w:b w:val="0"/>
          <w:i w:val="0"/>
        </w:rPr>
        <w:t>của các mô hình GenAI, 591</w:t>
      </w:r>
    </w:p>
    <w:p>
      <w:pPr>
        <w:spacing w:after="80"/>
        <w:ind w:left="720"/>
      </w:pPr>
      <w:r>
        <w:t xml:space="preserve">• </w:t>
      </w:r>
      <w:r>
        <w:rPr>
          <w:b w:val="0"/>
          <w:i w:val="0"/>
        </w:rPr>
        <w:t>Vai trò của HR trong, 164</w:t>
      </w:r>
    </w:p>
    <w:p>
      <w:pPr>
        <w:spacing w:after="80"/>
        <w:ind w:left="720"/>
      </w:pPr>
      <w:r>
        <w:t xml:space="preserve">• </w:t>
      </w:r>
      <w:r>
        <w:rPr>
          <w:b w:val="0"/>
          <w:i w:val="0"/>
        </w:rPr>
        <w:t>quá trình, 108, 163</w:t>
      </w:r>
    </w:p>
    <w:p>
      <w:pPr>
        <w:spacing w:after="80"/>
        <w:ind w:left="720"/>
      </w:pPr>
      <w:r>
        <w:t xml:space="preserve">• </w:t>
      </w:r>
      <w:r>
        <w:rPr>
          <w:b w:val="0"/>
          <w:i w:val="0"/>
        </w:rPr>
        <w:t>của các nhà cung cấp, 530</w:t>
      </w:r>
    </w:p>
    <w:p>
      <w:pPr>
        <w:spacing w:after="80"/>
        <w:ind w:left="360"/>
      </w:pPr>
      <w:r>
        <w:t xml:space="preserve">• </w:t>
      </w:r>
      <w:r>
        <w:rPr>
          <w:b w:val="0"/>
          <w:i w:val="0"/>
        </w:rPr>
        <w:t>Đội nhóm “một chiếc pizza”, 146–148, 147</w:t>
      </w:r>
      <w:r>
        <w:rPr>
          <w:b w:val="0"/>
          <w:i/>
        </w:rPr>
        <w:t>e</w:t>
      </w:r>
    </w:p>
    <w:p>
      <w:pPr>
        <w:spacing w:after="80"/>
        <w:ind w:left="360"/>
      </w:pPr>
      <w:r>
        <w:t xml:space="preserve">• </w:t>
      </w:r>
      <w:r>
        <w:rPr>
          <w:b w:val="0"/>
          <w:i w:val="0"/>
        </w:rPr>
        <w:t>Kiểm tra trực tuyến (tìm nguồn nhân tài), 151</w:t>
      </w:r>
    </w:p>
    <w:p>
      <w:pPr>
        <w:spacing w:after="80"/>
        <w:ind w:left="360"/>
      </w:pPr>
      <w:r>
        <w:t xml:space="preserve">• </w:t>
      </w:r>
      <w:r>
        <w:rPr>
          <w:b w:val="0"/>
          <w:i w:val="0"/>
        </w:rPr>
        <w:t>Bản thể học, 398</w:t>
      </w:r>
    </w:p>
    <w:p>
      <w:pPr>
        <w:spacing w:after="80"/>
        <w:ind w:left="360"/>
      </w:pPr>
      <w:r>
        <w:t xml:space="preserve">• </w:t>
      </w:r>
      <w:r>
        <w:rPr>
          <w:b w:val="0"/>
          <w:i w:val="0"/>
        </w:rPr>
        <w:t>OpenAI Enterprise, 428, 514</w:t>
      </w:r>
    </w:p>
    <w:p>
      <w:pPr>
        <w:spacing w:after="80"/>
        <w:ind w:left="360"/>
      </w:pPr>
      <w:r>
        <w:t xml:space="preserve">• </w:t>
      </w:r>
      <w:r>
        <w:rPr>
          <w:b w:val="0"/>
          <w:i w:val="0"/>
        </w:rPr>
        <w:t xml:space="preserve">Mô hình vận hành, 199–215. </w:t>
      </w:r>
      <w:r>
        <w:rPr>
          <w:b w:val="0"/>
          <w:i/>
        </w:rPr>
        <w:t>Xem thêm</w:t>
      </w:r>
      <w:r>
        <w:rPr>
          <w:b w:val="0"/>
          <w:i w:val="0"/>
        </w:rPr>
        <w:t xml:space="preserve"> Mô hình vận hành phân tán</w:t>
      </w:r>
    </w:p>
    <w:p>
      <w:pPr>
        <w:spacing w:after="80"/>
        <w:ind w:left="720"/>
      </w:pPr>
      <w:r>
        <w:t xml:space="preserve">• </w:t>
      </w:r>
      <w:r>
        <w:rPr>
          <w:b w:val="0"/>
          <w:i w:val="0"/>
        </w:rPr>
        <w:t>việc áp dụng, 240</w:t>
      </w:r>
    </w:p>
    <w:p>
      <w:pPr>
        <w:spacing w:after="80"/>
        <w:ind w:left="720"/>
      </w:pPr>
      <w:r>
        <w:t xml:space="preserve">• </w:t>
      </w:r>
      <w:r>
        <w:rPr>
          <w:b w:val="0"/>
          <w:i w:val="0"/>
        </w:rPr>
        <w:t>phát triển phần mềm agile trong đó, 207, 208</w:t>
      </w:r>
      <w:r>
        <w:rPr>
          <w:b w:val="0"/>
          <w:i/>
        </w:rPr>
        <w:t>e</w:t>
      </w:r>
      <w:r>
        <w:rPr>
          <w:b w:val="0"/>
          <w:i w:val="0"/>
        </w:rPr>
        <w:t>, 209</w:t>
      </w:r>
      <w:r>
        <w:rPr>
          <w:b w:val="0"/>
          <w:i/>
        </w:rPr>
        <w:t>e</w:t>
      </w:r>
    </w:p>
    <w:p>
      <w:pPr>
        <w:spacing w:after="80"/>
        <w:ind w:left="720"/>
      </w:pPr>
      <w:r>
        <w:t xml:space="preserve">• </w:t>
      </w:r>
      <w:r>
        <w:rPr>
          <w:b w:val="0"/>
          <w:i w:val="0"/>
        </w:rPr>
        <w:t>các nguyên mẫu trong đó, 206</w:t>
      </w:r>
      <w:r>
        <w:rPr>
          <w:b w:val="0"/>
          <w:i/>
        </w:rPr>
        <w:t>e</w:t>
      </w:r>
    </w:p>
    <w:p>
      <w:pPr>
        <w:spacing w:after="80"/>
        <w:ind w:left="720"/>
      </w:pPr>
      <w:r>
        <w:t xml:space="preserve">• </w:t>
      </w:r>
      <w:r>
        <w:rPr>
          <w:b w:val="0"/>
          <w:i w:val="0"/>
        </w:rPr>
        <w:t>hỗ trợ tài sản hóa, 476</w:t>
      </w:r>
    </w:p>
    <w:p>
      <w:pPr>
        <w:spacing w:after="80"/>
        <w:ind w:left="720"/>
      </w:pPr>
      <w:r>
        <w:t xml:space="preserve">• </w:t>
      </w:r>
      <w:r>
        <w:rPr>
          <w:b w:val="0"/>
          <w:i w:val="0"/>
        </w:rPr>
        <w:t>bản thiết kế cho, 237, 506</w:t>
      </w:r>
    </w:p>
    <w:p>
      <w:pPr>
        <w:spacing w:after="80"/>
        <w:ind w:left="720"/>
      </w:pPr>
      <w:r>
        <w:t xml:space="preserve">• </w:t>
      </w:r>
      <w:r>
        <w:rPr>
          <w:b w:val="0"/>
          <w:i w:val="0"/>
        </w:rPr>
        <w:t>luận cứ kinh doanh cho, 241</w:t>
      </w:r>
      <w:r>
        <w:rPr>
          <w:b w:val="0"/>
          <w:i/>
        </w:rPr>
        <w:t>e</w:t>
      </w:r>
    </w:p>
    <w:p>
      <w:pPr>
        <w:spacing w:after="80"/>
        <w:ind w:left="720"/>
      </w:pPr>
      <w:r>
        <w:t xml:space="preserve">• </w:t>
      </w:r>
      <w:r>
        <w:rPr>
          <w:b w:val="0"/>
          <w:i w:val="0"/>
        </w:rPr>
        <w:t>vai trò của CEO trong đó, 117</w:t>
      </w:r>
    </w:p>
    <w:p>
      <w:pPr>
        <w:spacing w:after="80"/>
        <w:ind w:left="720"/>
      </w:pPr>
      <w:r>
        <w:t xml:space="preserve">• </w:t>
      </w:r>
      <w:r>
        <w:rPr>
          <w:b w:val="0"/>
          <w:i w:val="0"/>
        </w:rPr>
        <w:t>những thách thức của, 506</w:t>
      </w:r>
    </w:p>
    <w:p>
      <w:pPr>
        <w:spacing w:after="80"/>
        <w:ind w:left="720"/>
      </w:pPr>
      <w:r>
        <w:t xml:space="preserve">• </w:t>
      </w:r>
      <w:r>
        <w:rPr>
          <w:b w:val="0"/>
          <w:i w:val="0"/>
        </w:rPr>
        <w:t>nhà máy kỹ thuật số, 224</w:t>
      </w:r>
      <w:r>
        <w:rPr>
          <w:b w:val="0"/>
          <w:i/>
        </w:rPr>
        <w:t>e</w:t>
      </w:r>
      <w:r>
        <w:rPr>
          <w:b w:val="0"/>
          <w:i w:val="0"/>
        </w:rPr>
        <w:t>, 225–229, 228</w:t>
      </w:r>
      <w:r>
        <w:rPr>
          <w:b w:val="0"/>
          <w:i/>
        </w:rPr>
        <w:t>e</w:t>
      </w:r>
    </w:p>
    <w:p>
      <w:pPr>
        <w:spacing w:after="80"/>
        <w:ind w:left="720"/>
      </w:pPr>
      <w:r>
        <w:t xml:space="preserve">• </w:t>
      </w:r>
      <w:r>
        <w:rPr>
          <w:b w:val="0"/>
          <w:i w:val="0"/>
        </w:rPr>
        <w:t>mô hình miền &amp; nền tảng, 224</w:t>
      </w:r>
      <w:r>
        <w:rPr>
          <w:b w:val="0"/>
          <w:i/>
        </w:rPr>
        <w:t>e</w:t>
      </w:r>
      <w:r>
        <w:rPr>
          <w:b w:val="0"/>
          <w:i w:val="0"/>
        </w:rPr>
        <w:t>, 229–232, 230</w:t>
      </w:r>
      <w:r>
        <w:rPr>
          <w:b w:val="0"/>
          <w:i/>
        </w:rPr>
        <w:t>e</w:t>
      </w:r>
      <w:r>
        <w:rPr>
          <w:b w:val="0"/>
          <w:i w:val="0"/>
        </w:rPr>
        <w:t>, 261–262</w:t>
      </w:r>
    </w:p>
    <w:p>
      <w:pPr>
        <w:spacing w:after="80"/>
        <w:ind w:left="720"/>
      </w:pPr>
      <w:r>
        <w:t xml:space="preserve">• </w:t>
      </w:r>
      <w:r>
        <w:rPr>
          <w:b w:val="0"/>
          <w:i w:val="0"/>
        </w:rPr>
        <w:t>trên toàn doanh nghiệp, 224</w:t>
      </w:r>
      <w:r>
        <w:rPr>
          <w:b w:val="0"/>
          <w:i/>
        </w:rPr>
        <w:t>e</w:t>
      </w:r>
      <w:r>
        <w:rPr>
          <w:b w:val="0"/>
          <w:i w:val="0"/>
        </w:rPr>
        <w:t>, 232–235, 234</w:t>
      </w:r>
      <w:r>
        <w:rPr>
          <w:b w:val="0"/>
          <w:i/>
        </w:rPr>
        <w:t>e</w:t>
      </w:r>
    </w:p>
    <w:p>
      <w:pPr>
        <w:spacing w:after="80"/>
        <w:ind w:left="720"/>
      </w:pPr>
      <w:r>
        <w:t xml:space="preserve">• </w:t>
      </w:r>
      <w:r>
        <w:rPr>
          <w:b w:val="0"/>
          <w:i w:val="0"/>
        </w:rPr>
        <w:t>các năng lực nền tảng cho agentic AI, 186–187</w:t>
      </w:r>
    </w:p>
    <w:p>
      <w:pPr>
        <w:spacing w:after="80"/>
        <w:ind w:left="720"/>
      </w:pPr>
      <w:r>
        <w:t xml:space="preserve">• </w:t>
      </w:r>
      <w:r>
        <w:rPr>
          <w:b w:val="0"/>
          <w:i w:val="0"/>
        </w:rPr>
        <w:t>triển khai, 242–243</w:t>
      </w:r>
    </w:p>
    <w:p>
      <w:pPr>
        <w:spacing w:after="80"/>
        <w:ind w:left="720"/>
      </w:pPr>
      <w:r>
        <w:t xml:space="preserve">• </w:t>
      </w:r>
      <w:r>
        <w:rPr>
          <w:b w:val="0"/>
          <w:i w:val="0"/>
        </w:rPr>
        <w:t>tầm quan trọng của, 195</w:t>
      </w:r>
    </w:p>
    <w:p>
      <w:pPr>
        <w:spacing w:after="80"/>
        <w:ind w:left="720"/>
      </w:pPr>
      <w:r>
        <w:t xml:space="preserve">• </w:t>
      </w:r>
      <w:r>
        <w:rPr>
          <w:b w:val="0"/>
          <w:i w:val="0"/>
        </w:rPr>
        <w:t>đà phát triển cho, 260–261</w:t>
      </w:r>
    </w:p>
    <w:p>
      <w:pPr>
        <w:spacing w:after="80"/>
        <w:ind w:left="720"/>
      </w:pPr>
      <w:r>
        <w:t xml:space="preserve">• </w:t>
      </w:r>
      <w:r>
        <w:rPr>
          <w:b w:val="0"/>
          <w:i w:val="0"/>
        </w:rPr>
        <w:t>cho các doanh nghiệp mới, 265–272</w:t>
      </w:r>
    </w:p>
    <w:p>
      <w:pPr>
        <w:spacing w:after="80"/>
        <w:ind w:left="720"/>
      </w:pPr>
      <w:r>
        <w:t xml:space="preserve">• </w:t>
      </w:r>
      <w:r>
        <w:rPr>
          <w:b w:val="0"/>
          <w:i w:val="0"/>
        </w:rPr>
        <w:t>OKRs cho, 210–214, 211</w:t>
      </w:r>
      <w:r>
        <w:rPr>
          <w:b w:val="0"/>
          <w:i/>
        </w:rPr>
        <w:t>e</w:t>
      </w:r>
    </w:p>
    <w:p>
      <w:pPr>
        <w:spacing w:after="80"/>
        <w:ind w:left="720"/>
      </w:pPr>
      <w:r>
        <w:t xml:space="preserve">• </w:t>
      </w:r>
      <w:r>
        <w:rPr>
          <w:b w:val="0"/>
          <w:i w:val="0"/>
        </w:rPr>
        <w:t>nguồn tài trợ bền vững cho, 248</w:t>
      </w:r>
    </w:p>
    <w:p>
      <w:pPr>
        <w:spacing w:after="80"/>
        <w:ind w:left="720"/>
      </w:pPr>
      <w:r>
        <w:t xml:space="preserve">• </w:t>
      </w:r>
      <w:r>
        <w:rPr>
          <w:b w:val="0"/>
          <w:i w:val="0"/>
        </w:rPr>
        <w:t>định hướng sản phẩm, 553</w:t>
      </w:r>
    </w:p>
    <w:p>
      <w:pPr>
        <w:spacing w:after="80"/>
        <w:ind w:left="720"/>
      </w:pPr>
      <w:r>
        <w:t xml:space="preserve">• </w:t>
      </w:r>
      <w:r>
        <w:rPr>
          <w:b w:val="0"/>
          <w:i w:val="0"/>
        </w:rPr>
        <w:t>QBRs trong, 214–215</w:t>
      </w:r>
    </w:p>
    <w:p>
      <w:pPr>
        <w:spacing w:after="80"/>
        <w:ind w:left="720"/>
      </w:pPr>
      <w:r>
        <w:t xml:space="preserve">• </w:t>
      </w:r>
      <w:r>
        <w:rPr>
          <w:b w:val="0"/>
          <w:i w:val="0"/>
        </w:rPr>
        <w:t>phân loại vai trò trong, 203–204, 204</w:t>
      </w:r>
      <w:r>
        <w:rPr>
          <w:b w:val="0"/>
          <w:i/>
        </w:rPr>
        <w:t>e</w:t>
      </w:r>
    </w:p>
    <w:p>
      <w:pPr>
        <w:spacing w:after="80"/>
        <w:ind w:left="720"/>
      </w:pPr>
      <w:r>
        <w:t xml:space="preserve">• </w:t>
      </w:r>
      <w:r>
        <w:rPr>
          <w:b w:val="0"/>
          <w:i w:val="0"/>
        </w:rPr>
        <w:t>vòng đời phát triển phần mềm của, 200–202, 201</w:t>
      </w:r>
      <w:r>
        <w:rPr>
          <w:b w:val="0"/>
          <w:i/>
        </w:rPr>
        <w:t>e</w:t>
      </w:r>
    </w:p>
    <w:p>
      <w:pPr>
        <w:spacing w:after="80"/>
        <w:ind w:left="720"/>
      </w:pPr>
      <w:r>
        <w:t xml:space="preserve">• </w:t>
      </w:r>
      <w:r>
        <w:rPr>
          <w:b w:val="0"/>
          <w:i w:val="0"/>
        </w:rPr>
        <w:t>chuyển đổi sang, 257–259</w:t>
      </w:r>
    </w:p>
    <w:p>
      <w:pPr>
        <w:spacing w:after="80"/>
        <w:ind w:left="360"/>
      </w:pPr>
      <w:r>
        <w:t xml:space="preserve">• </w:t>
      </w:r>
      <w:r>
        <w:rPr>
          <w:b w:val="0"/>
          <w:i w:val="0"/>
        </w:rPr>
        <w:t>Sự linh hoạt trong vận hành, 177</w:t>
      </w:r>
    </w:p>
    <w:p>
      <w:pPr>
        <w:spacing w:after="80"/>
        <w:ind w:left="360"/>
      </w:pPr>
      <w:r>
        <w:t xml:space="preserve">• </w:t>
      </w:r>
      <w:r>
        <w:rPr>
          <w:b w:val="0"/>
          <w:i w:val="0"/>
        </w:rPr>
        <w:t>Phạm vi vận hành (mô hình vận hành), 242</w:t>
      </w:r>
    </w:p>
    <w:p>
      <w:pPr>
        <w:spacing w:after="80"/>
        <w:ind w:left="360"/>
      </w:pPr>
      <w:r>
        <w:t xml:space="preserve">• </w:t>
      </w:r>
      <w:r>
        <w:rPr>
          <w:b w:val="0"/>
          <w:i w:val="0"/>
        </w:rPr>
        <w:t>Các agent điều phối (Orchestrator agents), 85, 186, 316, 319, 350, 478, 558</w:t>
      </w:r>
    </w:p>
    <w:p>
      <w:pPr>
        <w:spacing w:after="80"/>
        <w:ind w:left="360"/>
      </w:pPr>
      <w:r>
        <w:t xml:space="preserve">• </w:t>
      </w:r>
      <w:r>
        <w:rPr>
          <w:b w:val="0"/>
          <w:i w:val="0"/>
        </w:rPr>
        <w:t>Orchestro, 495</w:t>
      </w:r>
    </w:p>
    <w:p>
      <w:pPr>
        <w:spacing w:after="80"/>
        <w:ind w:left="360"/>
      </w:pPr>
      <w:r>
        <w:t xml:space="preserve">• </w:t>
      </w:r>
      <w:r>
        <w:rPr>
          <w:b w:val="0"/>
          <w:i w:val="0"/>
        </w:rPr>
        <w:t>Kiến trúc sư tổ chức (Organizational architects), 35–36</w:t>
      </w:r>
    </w:p>
    <w:p>
      <w:pPr>
        <w:spacing w:after="80"/>
        <w:ind w:left="360"/>
      </w:pPr>
      <w:r>
        <w:t xml:space="preserve">• </w:t>
      </w:r>
      <w:r>
        <w:rPr>
          <w:b w:val="0"/>
          <w:i w:val="0"/>
        </w:rPr>
        <w:t xml:space="preserve">Thuê ngoài (Outsourcing), 98, 103–104, 146, 550, 584–585. </w:t>
      </w:r>
      <w:r>
        <w:rPr>
          <w:b w:val="0"/>
          <w:i/>
        </w:rPr>
        <w:t>Xem thêm</w:t>
      </w:r>
      <w:r>
        <w:rPr>
          <w:b w:val="0"/>
          <w:i w:val="0"/>
        </w:rPr>
        <w:t xml:space="preserve"> Đội ngũ nội bộ (In-house teams); Thuê nội bộ (Insourcing)</w:t>
      </w:r>
    </w:p>
    <w:p>
      <w:pPr>
        <w:spacing w:after="80"/>
        <w:ind w:left="360"/>
      </w:pPr>
      <w:r>
        <w:t xml:space="preserve">• </w:t>
      </w:r>
      <w:r>
        <w:rPr>
          <w:b w:val="0"/>
          <w:i w:val="0"/>
        </w:rPr>
        <w:t>Quyền sở hữu (Ownership):</w:t>
      </w:r>
    </w:p>
    <w:p>
      <w:pPr>
        <w:spacing w:after="80"/>
        <w:ind w:left="720"/>
      </w:pPr>
      <w:r>
        <w:t xml:space="preserve">• </w:t>
      </w:r>
      <w:r>
        <w:rPr>
          <w:b w:val="0"/>
          <w:i w:val="0"/>
        </w:rPr>
        <w:t>việc phân công quyền sở hữu, 434, 443</w:t>
      </w:r>
    </w:p>
    <w:p>
      <w:pPr>
        <w:spacing w:after="80"/>
        <w:ind w:left="720"/>
      </w:pPr>
      <w:r>
        <w:t xml:space="preserve">• </w:t>
      </w:r>
      <w:r>
        <w:rPr>
          <w:b w:val="0"/>
          <w:i w:val="0"/>
        </w:rPr>
        <w:t>quyền sở hữu trong quản lý thay đổi, 132</w:t>
      </w:r>
    </w:p>
    <w:p>
      <w:pPr>
        <w:spacing w:after="80"/>
        <w:ind w:left="720"/>
      </w:pPr>
      <w:r>
        <w:t xml:space="preserve">• </w:t>
      </w:r>
      <w:r>
        <w:rPr>
          <w:b w:val="0"/>
          <w:i w:val="0"/>
        </w:rPr>
        <w:t>quyền sở hữu của các đội ngũ liên chức năng (cross-functional teams), 505</w:t>
      </w:r>
    </w:p>
    <w:p>
      <w:pPr>
        <w:spacing w:after="80"/>
        <w:ind w:left="720"/>
      </w:pPr>
      <w:r>
        <w:t xml:space="preserve">• </w:t>
      </w:r>
      <w:r>
        <w:rPr>
          <w:b w:val="0"/>
          <w:i w:val="0"/>
        </w:rPr>
        <w:t>quyền sở hữu như một chuẩn mực văn hóa, 523</w:t>
      </w:r>
    </w:p>
    <w:p>
      <w:pPr>
        <w:spacing w:after="80"/>
        <w:ind w:left="720"/>
      </w:pPr>
      <w:r>
        <w:t xml:space="preserve">• </w:t>
      </w:r>
      <w:r>
        <w:rPr>
          <w:b w:val="0"/>
          <w:i w:val="0"/>
        </w:rPr>
        <w:t>quyền sở hữu dữ liệu, 392, 401, 507</w:t>
      </w:r>
    </w:p>
    <w:p>
      <w:pPr>
        <w:spacing w:after="80"/>
        <w:ind w:left="720"/>
      </w:pPr>
      <w:r>
        <w:t xml:space="preserve">• </w:t>
      </w:r>
      <w:r>
        <w:rPr>
          <w:b w:val="0"/>
          <w:i w:val="0"/>
        </w:rPr>
        <w:t>quyền sở hữu trong quản trị dữ liệu (data governance), 422</w:t>
      </w:r>
    </w:p>
    <w:p>
      <w:pPr>
        <w:spacing w:after="80"/>
        <w:ind w:left="720"/>
      </w:pPr>
      <w:r>
        <w:t xml:space="preserve">• </w:t>
      </w:r>
      <w:r>
        <w:rPr>
          <w:b w:val="0"/>
          <w:i w:val="0"/>
        </w:rPr>
        <w:t xml:space="preserve">quyền sở hữu các domain, </w:t>
      </w:r>
      <w:r>
        <w:rPr>
          <w:b w:val="0"/>
          <w:i/>
        </w:rPr>
        <w:t>xem</w:t>
      </w:r>
      <w:r>
        <w:rPr>
          <w:b w:val="0"/>
          <w:i w:val="0"/>
        </w:rPr>
        <w:t xml:space="preserve"> Chủ sở hữu domain (Domain owners)</w:t>
      </w:r>
    </w:p>
    <w:p>
      <w:pPr>
        <w:spacing w:after="80"/>
        <w:ind w:left="720"/>
      </w:pPr>
      <w:r>
        <w:t xml:space="preserve">• </w:t>
      </w:r>
      <w:r>
        <w:rPr>
          <w:b w:val="0"/>
          <w:i w:val="0"/>
        </w:rPr>
        <w:t>quyền sở hữu khả năng quan sát (observability), 247</w:t>
      </w:r>
    </w:p>
    <w:p>
      <w:pPr>
        <w:spacing w:after="80"/>
        <w:ind w:left="720"/>
      </w:pPr>
      <w:r>
        <w:t xml:space="preserve">• </w:t>
      </w:r>
      <w:r>
        <w:rPr>
          <w:b w:val="0"/>
          <w:i w:val="0"/>
        </w:rPr>
        <w:t>quyền sở hữu vận hành, 443</w:t>
      </w:r>
    </w:p>
    <w:p>
      <w:pPr>
        <w:spacing w:after="80"/>
        <w:ind w:left="720"/>
      </w:pPr>
      <w:r>
        <w:t xml:space="preserve">• </w:t>
      </w:r>
      <w:r>
        <w:rPr>
          <w:b w:val="0"/>
          <w:i w:val="0"/>
        </w:rPr>
        <w:t>quyền sở hữu nền tảng (platform), 247</w:t>
      </w:r>
    </w:p>
    <w:p>
      <w:pPr>
        <w:spacing w:after="80"/>
        <w:ind w:left="720"/>
      </w:pPr>
      <w:r>
        <w:t xml:space="preserve">• </w:t>
      </w:r>
      <w:r>
        <w:rPr>
          <w:b w:val="0"/>
          <w:i w:val="0"/>
        </w:rPr>
        <w:t>của lớp ngữ nghĩa (semantic layer), 399</w:t>
      </w:r>
    </w:p>
    <w:p>
      <w:pPr>
        <w:spacing w:after="80"/>
        <w:ind w:left="360"/>
      </w:pPr>
      <w:r>
        <w:t xml:space="preserve">• </w:t>
      </w:r>
      <w:r>
        <w:rPr>
          <w:b/>
          <w:i w:val="0"/>
        </w:rPr>
        <w:t>P</w:t>
      </w:r>
    </w:p>
    <w:p>
      <w:pPr>
        <w:spacing w:after="80"/>
        <w:ind w:left="360"/>
      </w:pPr>
      <w:r>
        <w:t xml:space="preserve">• </w:t>
      </w:r>
      <w:r>
        <w:rPr>
          <w:b w:val="0"/>
          <w:i w:val="0"/>
        </w:rPr>
        <w:t>Paknad, Deidre, 213</w:t>
      </w:r>
    </w:p>
    <w:p>
      <w:pPr>
        <w:spacing w:after="80"/>
        <w:ind w:left="360"/>
      </w:pPr>
      <w:r>
        <w:t xml:space="preserve">• </w:t>
      </w:r>
      <w:r>
        <w:rPr>
          <w:b w:val="0"/>
          <w:i w:val="0"/>
        </w:rPr>
        <w:t>Công ty mẹ, 267–269</w:t>
      </w:r>
    </w:p>
    <w:p>
      <w:pPr>
        <w:spacing w:after="80"/>
        <w:ind w:left="360"/>
      </w:pPr>
      <w:r>
        <w:t xml:space="preserve">• </w:t>
      </w:r>
      <w:r>
        <w:rPr>
          <w:b w:val="0"/>
          <w:i w:val="0"/>
        </w:rPr>
        <w:t>Patel, Jeetu, 80, 184</w:t>
      </w:r>
    </w:p>
    <w:p>
      <w:pPr>
        <w:spacing w:after="80"/>
        <w:ind w:left="360"/>
      </w:pPr>
      <w:r>
        <w:t xml:space="preserve">• </w:t>
      </w:r>
      <w:r>
        <w:rPr>
          <w:b w:val="0"/>
          <w:i w:val="0"/>
        </w:rPr>
        <w:t>Nhận diện mẫu, 25, 27, 56, 77, 132, 186, 332, 519–520</w:t>
      </w:r>
    </w:p>
    <w:p>
      <w:pPr>
        <w:spacing w:after="80"/>
        <w:ind w:left="360"/>
      </w:pPr>
      <w:r>
        <w:t xml:space="preserve">• </w:t>
      </w:r>
      <w:r>
        <w:rPr>
          <w:b w:val="0"/>
          <w:i w:val="0"/>
        </w:rPr>
        <w:t>Chỉ số hiệu suất, 365, 413, 463, 484, 490</w:t>
      </w:r>
    </w:p>
    <w:p>
      <w:pPr>
        <w:spacing w:after="80"/>
        <w:ind w:left="360"/>
      </w:pPr>
      <w:r>
        <w:t xml:space="preserve">• </w:t>
      </w:r>
      <w:r>
        <w:rPr>
          <w:b w:val="0"/>
          <w:i w:val="0"/>
        </w:rPr>
        <w:t>Nguồn tài trợ bền vững, 139, 248–249, 254</w:t>
      </w:r>
    </w:p>
    <w:p>
      <w:pPr>
        <w:spacing w:after="80"/>
        <w:ind w:left="360"/>
      </w:pPr>
      <w:r>
        <w:t xml:space="preserve">• </w:t>
      </w:r>
      <w:r>
        <w:rPr>
          <w:b w:val="0"/>
          <w:i w:val="0"/>
        </w:rPr>
        <w:t>Pilot Company, 97–98</w:t>
      </w:r>
    </w:p>
    <w:p>
      <w:pPr>
        <w:spacing w:after="80"/>
        <w:ind w:left="360"/>
      </w:pPr>
      <w:r>
        <w:t xml:space="preserve">• </w:t>
      </w:r>
      <w:r>
        <w:rPr>
          <w:b w:val="0"/>
          <w:i w:val="0"/>
        </w:rPr>
        <w:t>P&amp;L, 135, 242, 285, 368, 413, 441, 502</w:t>
      </w:r>
    </w:p>
    <w:p>
      <w:pPr>
        <w:spacing w:after="80"/>
        <w:ind w:left="360"/>
      </w:pPr>
      <w:r>
        <w:t xml:space="preserve">• </w:t>
      </w:r>
      <w:r>
        <w:rPr>
          <w:b w:val="0"/>
          <w:i w:val="0"/>
        </w:rPr>
        <w:t>Nền tảng:</w:t>
      </w:r>
    </w:p>
    <w:p>
      <w:pPr>
        <w:spacing w:after="80"/>
        <w:ind w:left="720"/>
      </w:pPr>
      <w:r>
        <w:t xml:space="preserve">• </w:t>
      </w:r>
      <w:r>
        <w:rPr>
          <w:b w:val="0"/>
          <w:i w:val="0"/>
        </w:rPr>
        <w:t>AI, 290, 325–335</w:t>
      </w:r>
    </w:p>
    <w:p>
      <w:pPr>
        <w:spacing w:after="80"/>
        <w:ind w:left="720"/>
      </w:pPr>
      <w:r>
        <w:t xml:space="preserve">• </w:t>
      </w:r>
      <w:r>
        <w:rPr>
          <w:b w:val="0"/>
          <w:i w:val="0"/>
        </w:rPr>
        <w:t>API, 289</w:t>
      </w:r>
    </w:p>
    <w:p>
      <w:pPr>
        <w:spacing w:after="80"/>
        <w:ind w:left="720"/>
      </w:pPr>
      <w:r>
        <w:t xml:space="preserve">• </w:t>
      </w:r>
      <w:r>
        <w:rPr>
          <w:b w:val="0"/>
          <w:i w:val="0"/>
        </w:rPr>
        <w:t>năng lực-dưới-dạng-dịch-vụ (capability-as-a-service), 286</w:t>
      </w:r>
    </w:p>
    <w:p>
      <w:pPr>
        <w:spacing w:after="80"/>
        <w:ind w:left="720"/>
      </w:pPr>
      <w:r>
        <w:t xml:space="preserve">• </w:t>
      </w:r>
      <w:r>
        <w:rPr>
          <w:b w:val="0"/>
          <w:i w:val="0"/>
        </w:rPr>
        <w:t>doanh nghiệp hướng khách hàng, 220</w:t>
      </w:r>
    </w:p>
    <w:p>
      <w:pPr>
        <w:spacing w:after="80"/>
        <w:ind w:left="720"/>
      </w:pPr>
      <w:r>
        <w:t xml:space="preserve">• </w:t>
      </w:r>
      <w:r>
        <w:rPr>
          <w:b w:val="0"/>
          <w:i w:val="0"/>
        </w:rPr>
        <w:t>dữ liệu, 290</w:t>
      </w:r>
    </w:p>
    <w:p>
      <w:pPr>
        <w:spacing w:after="80"/>
        <w:ind w:left="720"/>
      </w:pPr>
      <w:r>
        <w:t xml:space="preserve">• </w:t>
      </w:r>
      <w:r>
        <w:rPr>
          <w:b w:val="0"/>
          <w:i w:val="0"/>
        </w:rPr>
        <w:t>định nghĩa của, 286</w:t>
      </w:r>
    </w:p>
    <w:p>
      <w:pPr>
        <w:spacing w:after="80"/>
        <w:ind w:left="720"/>
      </w:pPr>
      <w:r>
        <w:t xml:space="preserve">• </w:t>
      </w:r>
      <w:r>
        <w:rPr>
          <w:b w:val="0"/>
          <w:i w:val="0"/>
        </w:rPr>
        <w:t>kỹ thuật, 289, 303–304</w:t>
      </w:r>
    </w:p>
    <w:p>
      <w:pPr>
        <w:spacing w:after="80"/>
        <w:ind w:left="720"/>
      </w:pPr>
      <w:r>
        <w:t xml:space="preserve">• </w:t>
      </w:r>
      <w:r>
        <w:rPr>
          <w:b w:val="0"/>
          <w:i w:val="0"/>
        </w:rPr>
        <w:t>doanh nghiệp, 260, 290</w:t>
      </w:r>
    </w:p>
    <w:p>
      <w:pPr>
        <w:spacing w:after="80"/>
        <w:ind w:left="720"/>
      </w:pPr>
      <w:r>
        <w:t xml:space="preserve">• </w:t>
      </w:r>
      <w:r>
        <w:rPr>
          <w:b w:val="0"/>
          <w:i w:val="0"/>
        </w:rPr>
        <w:t>theo chiều ngang, 243, 349</w:t>
      </w:r>
    </w:p>
    <w:p>
      <w:pPr>
        <w:spacing w:after="80"/>
        <w:ind w:left="720"/>
      </w:pPr>
      <w:r>
        <w:t xml:space="preserve">• </w:t>
      </w:r>
      <w:r>
        <w:rPr>
          <w:b w:val="0"/>
          <w:i w:val="0"/>
        </w:rPr>
        <w:t>hạ tầng và bảo mật, 290</w:t>
      </w:r>
    </w:p>
    <w:p>
      <w:pPr>
        <w:spacing w:after="80"/>
        <w:ind w:left="720"/>
      </w:pPr>
      <w:r>
        <w:t xml:space="preserve">• </w:t>
      </w:r>
      <w:r>
        <w:rPr>
          <w:b w:val="0"/>
          <w:i w:val="0"/>
        </w:rPr>
        <w:t>trao quyền nội bộ, 220</w:t>
      </w:r>
    </w:p>
    <w:p>
      <w:pPr>
        <w:spacing w:after="80"/>
        <w:ind w:left="720"/>
      </w:pPr>
      <w:r>
        <w:t xml:space="preserve">• </w:t>
      </w:r>
      <w:r>
        <w:rPr>
          <w:b w:val="0"/>
          <w:i w:val="0"/>
        </w:rPr>
        <w:t>nhiều tác nhân (agentic), 353</w:t>
      </w:r>
    </w:p>
    <w:p>
      <w:pPr>
        <w:spacing w:after="80"/>
        <w:ind w:left="720"/>
      </w:pPr>
      <w:r>
        <w:t xml:space="preserve">• </w:t>
      </w:r>
      <w:r>
        <w:rPr>
          <w:b w:val="0"/>
          <w:i w:val="0"/>
        </w:rPr>
        <w:t>quyền sở hữu, 247</w:t>
      </w:r>
    </w:p>
    <w:p>
      <w:pPr>
        <w:spacing w:after="80"/>
        <w:ind w:left="720"/>
      </w:pPr>
      <w:r>
        <w:t xml:space="preserve">• </w:t>
      </w:r>
      <w:r>
        <w:rPr>
          <w:b w:val="0"/>
          <w:i w:val="0"/>
        </w:rPr>
        <w:t>các loại, 286–288</w:t>
      </w:r>
    </w:p>
    <w:p>
      <w:pPr>
        <w:spacing w:after="80"/>
        <w:ind w:left="720"/>
      </w:pPr>
      <w:r>
        <w:t xml:space="preserve">• </w:t>
      </w:r>
      <w:r>
        <w:rPr>
          <w:b w:val="0"/>
          <w:i w:val="0"/>
        </w:rPr>
        <w:t>dữ liệu hợp nhất, 186, 327, 374</w:t>
      </w:r>
    </w:p>
    <w:p>
      <w:pPr>
        <w:spacing w:after="80"/>
        <w:ind w:left="360"/>
      </w:pPr>
      <w:r>
        <w:t xml:space="preserve">• </w:t>
      </w:r>
      <w:r>
        <w:rPr>
          <w:b w:val="0"/>
          <w:i w:val="0"/>
        </w:rPr>
        <w:t>Bảo trì dự đoán, 225, 227, 398</w:t>
      </w:r>
    </w:p>
    <w:p>
      <w:pPr>
        <w:spacing w:after="80"/>
        <w:ind w:left="360"/>
      </w:pPr>
      <w:r>
        <w:t xml:space="preserve">• </w:t>
      </w:r>
      <w:r>
        <w:rPr>
          <w:b w:val="0"/>
          <w:i w:val="0"/>
        </w:rPr>
        <w:t>Mô hình dự đoán, 399</w:t>
      </w:r>
    </w:p>
    <w:p>
      <w:pPr>
        <w:spacing w:after="80"/>
        <w:ind w:left="360"/>
      </w:pPr>
      <w:r>
        <w:t xml:space="preserve">• </w:t>
      </w:r>
      <w:r>
        <w:rPr>
          <w:b w:val="0"/>
          <w:i w:val="0"/>
        </w:rPr>
        <w:t>Tốc độ định giá, 70</w:t>
      </w:r>
    </w:p>
    <w:p>
      <w:pPr>
        <w:spacing w:after="80"/>
        <w:ind w:left="360"/>
      </w:pPr>
      <w:r>
        <w:t xml:space="preserve">• </w:t>
      </w:r>
      <w:r>
        <w:rPr>
          <w:b w:val="0"/>
          <w:i w:val="0"/>
        </w:rPr>
        <w:t>Lãng phí quy trình, 70</w:t>
      </w:r>
    </w:p>
    <w:p>
      <w:pPr>
        <w:spacing w:after="80"/>
        <w:ind w:left="360"/>
      </w:pPr>
      <w:r>
        <w:t xml:space="preserve">• </w:t>
      </w:r>
      <w:r>
        <w:rPr>
          <w:b w:val="0"/>
          <w:i w:val="0"/>
        </w:rPr>
        <w:t>Giải pháp số cấp sản xuất, 115, 308–309, 321</w:t>
      </w:r>
    </w:p>
    <w:p>
      <w:pPr>
        <w:spacing w:after="80"/>
        <w:ind w:left="360"/>
      </w:pPr>
      <w:r>
        <w:t xml:space="preserve">• </w:t>
      </w:r>
      <w:r>
        <w:rPr>
          <w:b w:val="0"/>
          <w:i w:val="0"/>
        </w:rPr>
        <w:t>Mô hình vận hành định hướng sản phẩm, 553</w:t>
      </w:r>
    </w:p>
    <w:p>
      <w:pPr>
        <w:spacing w:after="80"/>
        <w:ind w:left="360"/>
      </w:pPr>
      <w:r>
        <w:t xml:space="preserve">• </w:t>
      </w:r>
      <w:r>
        <w:rPr>
          <w:b w:val="0"/>
          <w:i w:val="0"/>
        </w:rPr>
        <w:t>Văn phòng quản lý chương trình (PMO), 497</w:t>
      </w:r>
    </w:p>
    <w:p>
      <w:pPr>
        <w:spacing w:after="80"/>
        <w:ind w:left="360"/>
      </w:pPr>
      <w:r>
        <w:t xml:space="preserve">• </w:t>
      </w:r>
      <w:r>
        <w:rPr>
          <w:b w:val="0"/>
          <w:i w:val="0"/>
        </w:rPr>
        <w:t>Theo dõi tiến độ, 494–496</w:t>
      </w:r>
    </w:p>
    <w:p>
      <w:pPr>
        <w:spacing w:after="80"/>
        <w:ind w:left="360"/>
      </w:pPr>
      <w:r>
        <w:t xml:space="preserve">• </w:t>
      </w:r>
      <w:r>
        <w:rPr>
          <w:b w:val="0"/>
          <w:i w:val="0"/>
        </w:rPr>
        <w:t>Kỹ thuật gợi ý (prompt engineering), 148, 345, 532</w:t>
      </w:r>
    </w:p>
    <w:p>
      <w:pPr>
        <w:spacing w:after="80"/>
        <w:ind w:left="360"/>
      </w:pPr>
      <w:r>
        <w:t xml:space="preserve">• </w:t>
      </w:r>
      <w:r>
        <w:rPr>
          <w:b w:val="0"/>
          <w:i w:val="0"/>
        </w:rPr>
        <w:t>Bằng chứng khái niệm (POC), 64–65, 67, 134, 142, 205, 296, 579</w:t>
      </w:r>
    </w:p>
    <w:p>
      <w:pPr>
        <w:spacing w:after="80"/>
        <w:ind w:left="360"/>
      </w:pPr>
      <w:r>
        <w:t xml:space="preserve">• </w:t>
      </w:r>
      <w:r>
        <w:rPr>
          <w:b w:val="0"/>
          <w:i w:val="0"/>
        </w:rPr>
        <w:t>Dữ liệu độc quyền, 437–444</w:t>
      </w:r>
    </w:p>
    <w:p>
      <w:pPr>
        <w:spacing w:after="80"/>
        <w:ind w:left="360"/>
      </w:pPr>
      <w:r>
        <w:t xml:space="preserve">• </w:t>
      </w:r>
      <w:r>
        <w:rPr>
          <w:b w:val="0"/>
          <w:i w:val="0"/>
        </w:rPr>
        <w:t>Nguyên mẫu, 60, 65, 80, 267, 322, 515, 553</w:t>
      </w:r>
    </w:p>
    <w:p>
      <w:pPr>
        <w:spacing w:after="80"/>
        <w:ind w:left="360"/>
      </w:pPr>
      <w:r>
        <w:t xml:space="preserve">• </w:t>
      </w:r>
      <w:r>
        <w:rPr>
          <w:b w:val="0"/>
          <w:i w:val="0"/>
        </w:rPr>
        <w:t>Khung PURE (DBS Bank), 590</w:t>
      </w:r>
    </w:p>
    <w:p>
      <w:pPr>
        <w:spacing w:after="80"/>
        <w:ind w:left="360"/>
      </w:pPr>
      <w:r>
        <w:t xml:space="preserve">• </w:t>
      </w:r>
      <w:r>
        <w:rPr>
          <w:b/>
          <w:i w:val="0"/>
        </w:rPr>
        <w:t>R</w:t>
      </w:r>
    </w:p>
    <w:p>
      <w:pPr>
        <w:spacing w:after="80"/>
        <w:ind w:left="360"/>
      </w:pPr>
      <w:r>
        <w:t xml:space="preserve">• </w:t>
      </w:r>
      <w:r>
        <w:rPr>
          <w:b w:val="0"/>
          <w:i w:val="0"/>
        </w:rPr>
        <w:t>Ramakrishnan, Rama, 89, 95</w:t>
      </w:r>
    </w:p>
    <w:p>
      <w:pPr>
        <w:spacing w:after="80"/>
        <w:ind w:left="360"/>
      </w:pPr>
      <w:r>
        <w:t xml:space="preserve">• </w:t>
      </w:r>
      <w:r>
        <w:rPr>
          <w:b w:val="0"/>
          <w:i w:val="0"/>
        </w:rPr>
        <w:t>Đánh giá mức độ sẵn sàng, 57, 74</w:t>
      </w:r>
      <w:r>
        <w:rPr>
          <w:b w:val="0"/>
          <w:i/>
        </w:rPr>
        <w:t>e</w:t>
      </w:r>
      <w:r>
        <w:rPr>
          <w:b w:val="0"/>
          <w:i w:val="0"/>
        </w:rPr>
        <w:t>, 75</w:t>
      </w:r>
    </w:p>
    <w:p>
      <w:pPr>
        <w:spacing w:after="80"/>
        <w:ind w:left="360"/>
      </w:pPr>
      <w:r>
        <w:t xml:space="preserve">• </w:t>
      </w:r>
      <w:r>
        <w:rPr>
          <w:b w:val="0"/>
          <w:i w:val="0"/>
        </w:rPr>
        <w:t>Đo lường thời gian thực, 489</w:t>
      </w:r>
    </w:p>
    <w:p>
      <w:pPr>
        <w:spacing w:after="80"/>
        <w:ind w:left="360"/>
      </w:pPr>
      <w:r>
        <w:t xml:space="preserve">• </w:t>
      </w:r>
      <w:r>
        <w:rPr>
          <w:b w:val="0"/>
          <w:i w:val="0"/>
        </w:rPr>
        <w:t>Tác nhân lập kế hoạch đặt hàng lại, 180</w:t>
      </w:r>
      <w:r>
        <w:rPr>
          <w:b w:val="0"/>
          <w:i/>
        </w:rPr>
        <w:t>e</w:t>
      </w:r>
    </w:p>
    <w:p>
      <w:pPr>
        <w:spacing w:after="80"/>
        <w:ind w:left="360"/>
      </w:pPr>
      <w:r>
        <w:t xml:space="preserve">• </w:t>
      </w:r>
      <w:r>
        <w:rPr>
          <w:b w:val="0"/>
          <w:i w:val="0"/>
        </w:rPr>
        <w:t>Sao chép, 141, 362, 412, 469–470, 503, 535</w:t>
      </w:r>
    </w:p>
    <w:p>
      <w:pPr>
        <w:spacing w:after="80"/>
        <w:ind w:left="360"/>
      </w:pPr>
      <w:r>
        <w:t xml:space="preserve">• </w:t>
      </w:r>
      <w:r>
        <w:rPr>
          <w:b w:val="0"/>
          <w:i w:val="0"/>
        </w:rPr>
        <w:t>Khả năng phục hồi, 308, 365–366</w:t>
      </w:r>
    </w:p>
    <w:p>
      <w:pPr>
        <w:spacing w:after="80"/>
        <w:ind w:left="360"/>
      </w:pPr>
      <w:r>
        <w:t xml:space="preserve">• </w:t>
      </w:r>
      <w:r>
        <w:rPr>
          <w:b w:val="0"/>
          <w:i w:val="0"/>
        </w:rPr>
        <w:t xml:space="preserve">Đào tạo lại kỹ năng, 157, 186, 529. </w:t>
      </w:r>
      <w:r>
        <w:rPr>
          <w:b w:val="0"/>
          <w:i/>
        </w:rPr>
        <w:t>Xem thêm</w:t>
      </w:r>
      <w:r>
        <w:rPr>
          <w:b w:val="0"/>
          <w:i w:val="0"/>
        </w:rPr>
        <w:t xml:space="preserve"> Nâng cao kỹ năng</w:t>
      </w:r>
    </w:p>
    <w:p>
      <w:pPr>
        <w:spacing w:after="80"/>
        <w:ind w:left="360"/>
      </w:pPr>
      <w:r>
        <w:t xml:space="preserve">• </w:t>
      </w:r>
      <w:r>
        <w:rPr>
          <w:b w:val="0"/>
          <w:i w:val="0"/>
        </w:rPr>
        <w:t>AI có trách nhiệm (RAI), 329, 353, 515, 516, 518</w:t>
      </w:r>
    </w:p>
    <w:p>
      <w:pPr>
        <w:spacing w:after="80"/>
        <w:ind w:left="360"/>
      </w:pPr>
      <w:r>
        <w:t xml:space="preserve">• </w:t>
      </w:r>
      <w:r>
        <w:rPr>
          <w:b w:val="0"/>
          <w:i w:val="0"/>
        </w:rPr>
        <w:t>Độ chính xác truy xuất, 94</w:t>
      </w:r>
    </w:p>
    <w:p>
      <w:pPr>
        <w:spacing w:after="80"/>
        <w:ind w:left="360"/>
      </w:pPr>
      <w:r>
        <w:t xml:space="preserve">• </w:t>
      </w:r>
      <w:r>
        <w:rPr>
          <w:b w:val="0"/>
          <w:i w:val="0"/>
        </w:rPr>
        <w:t>Tạo sinh tăng cường truy xuất (retrieval-augmented generation - RAG), 179, 329, 345</w:t>
      </w:r>
    </w:p>
    <w:p>
      <w:pPr>
        <w:spacing w:after="80"/>
        <w:ind w:left="360"/>
      </w:pPr>
      <w:r>
        <w:t xml:space="preserve">• </w:t>
      </w:r>
      <w:r>
        <w:rPr>
          <w:b w:val="0"/>
          <w:i w:val="0"/>
        </w:rPr>
        <w:t>Khả năng tái sử dụng, (công nghệ), 352, 399, 408, 442, 469–481, 548</w:t>
      </w:r>
    </w:p>
    <w:p>
      <w:pPr>
        <w:spacing w:after="80"/>
        <w:ind w:left="360"/>
      </w:pPr>
      <w:r>
        <w:t xml:space="preserve">• </w:t>
      </w:r>
      <w:r>
        <w:rPr>
          <w:b w:val="0"/>
          <w:i w:val="0"/>
        </w:rPr>
        <w:t>Rios, Juliana, 547</w:t>
      </w:r>
    </w:p>
    <w:p>
      <w:pPr>
        <w:spacing w:after="80"/>
        <w:ind w:left="360"/>
      </w:pPr>
      <w:r>
        <w:t xml:space="preserve">• </w:t>
      </w:r>
      <w:r>
        <w:rPr>
          <w:b w:val="0"/>
          <w:i w:val="0"/>
        </w:rPr>
        <w:t>Rủi ro, 511–520</w:t>
      </w:r>
    </w:p>
    <w:p>
      <w:pPr>
        <w:spacing w:after="80"/>
        <w:ind w:left="720"/>
      </w:pPr>
      <w:r>
        <w:t xml:space="preserve">• </w:t>
      </w:r>
      <w:r>
        <w:rPr>
          <w:b w:val="0"/>
          <w:i w:val="0"/>
        </w:rPr>
        <w:t>Các loại GenAI, 513</w:t>
      </w:r>
      <w:r>
        <w:rPr>
          <w:b w:val="0"/>
          <w:i/>
        </w:rPr>
        <w:t>e</w:t>
      </w:r>
    </w:p>
    <w:p>
      <w:pPr>
        <w:spacing w:after="80"/>
        <w:ind w:left="720"/>
      </w:pPr>
      <w:r>
        <w:t xml:space="preserve">• </w:t>
      </w:r>
      <w:r>
        <w:rPr>
          <w:b w:val="0"/>
          <w:i w:val="0"/>
        </w:rPr>
        <w:t>và nhận dạng mẫu, 519–520</w:t>
      </w:r>
    </w:p>
    <w:p>
      <w:pPr>
        <w:spacing w:after="80"/>
        <w:ind w:left="720"/>
      </w:pPr>
      <w:r>
        <w:t xml:space="preserve">• </w:t>
      </w:r>
      <w:r>
        <w:rPr>
          <w:b w:val="0"/>
          <w:i w:val="0"/>
        </w:rPr>
        <w:t>vận hành chính sách cho, 518–519</w:t>
      </w:r>
    </w:p>
    <w:p>
      <w:pPr>
        <w:spacing w:after="80"/>
        <w:ind w:left="720"/>
      </w:pPr>
      <w:r>
        <w:t xml:space="preserve">• </w:t>
      </w:r>
      <w:r>
        <w:rPr>
          <w:b w:val="0"/>
          <w:i w:val="0"/>
        </w:rPr>
        <w:t>đánh giá chính sách cho, 515–518</w:t>
      </w:r>
    </w:p>
    <w:p>
      <w:pPr>
        <w:spacing w:after="80"/>
        <w:ind w:left="720"/>
      </w:pPr>
      <w:r>
        <w:t xml:space="preserve">• </w:t>
      </w:r>
      <w:r>
        <w:rPr>
          <w:b w:val="0"/>
          <w:i w:val="0"/>
        </w:rPr>
        <w:t>và AI có trách nhiệm, 516</w:t>
      </w:r>
    </w:p>
    <w:p>
      <w:pPr>
        <w:spacing w:after="80"/>
        <w:ind w:left="720"/>
      </w:pPr>
      <w:r>
        <w:t xml:space="preserve">• </w:t>
      </w:r>
      <w:r>
        <w:rPr>
          <w:b w:val="0"/>
          <w:i w:val="0"/>
        </w:rPr>
        <w:t>phân loại cho, 515</w:t>
      </w:r>
    </w:p>
    <w:p>
      <w:pPr>
        <w:spacing w:after="80"/>
        <w:ind w:left="720"/>
      </w:pPr>
      <w:r>
        <w:t xml:space="preserve">• </w:t>
      </w:r>
      <w:r>
        <w:rPr>
          <w:b w:val="0"/>
          <w:i w:val="0"/>
        </w:rPr>
        <w:t>và niềm tin, 512</w:t>
      </w:r>
    </w:p>
    <w:p>
      <w:pPr>
        <w:spacing w:after="80"/>
        <w:ind w:left="360"/>
      </w:pPr>
      <w:r>
        <w:t xml:space="preserve">• </w:t>
      </w:r>
      <w:r>
        <w:rPr>
          <w:b w:val="0"/>
          <w:i w:val="0"/>
        </w:rPr>
        <w:t>Tự động hóa kiểm soát rủi ro, 519</w:t>
      </w:r>
    </w:p>
    <w:p>
      <w:pPr>
        <w:spacing w:after="80"/>
        <w:ind w:left="360"/>
      </w:pPr>
      <w:r>
        <w:t xml:space="preserve">• </w:t>
      </w:r>
      <w:r>
        <w:rPr>
          <w:b w:val="0"/>
          <w:i w:val="0"/>
        </w:rPr>
        <w:t>Chuyên gia rủi ro, 134–135, 268, 587</w:t>
      </w:r>
    </w:p>
    <w:p>
      <w:pPr>
        <w:spacing w:after="80"/>
        <w:ind w:left="360"/>
      </w:pPr>
      <w:r>
        <w:t xml:space="preserve">• </w:t>
      </w:r>
      <w:r>
        <w:rPr>
          <w:b w:val="0"/>
          <w:i w:val="0"/>
        </w:rPr>
        <w:t>Phân loại rủi ro, 515, 518</w:t>
      </w:r>
    </w:p>
    <w:p>
      <w:pPr>
        <w:spacing w:after="80"/>
        <w:ind w:left="360"/>
      </w:pPr>
      <w:r>
        <w:t xml:space="preserve">• </w:t>
      </w:r>
      <w:r>
        <w:rPr>
          <w:b w:val="0"/>
          <w:i w:val="0"/>
        </w:rPr>
        <w:t>Lộ trình (cho chuyển đổi), 50, 70, 72</w:t>
      </w:r>
      <w:r>
        <w:rPr>
          <w:b w:val="0"/>
          <w:i/>
        </w:rPr>
        <w:t>e</w:t>
      </w:r>
      <w:r>
        <w:rPr>
          <w:b w:val="0"/>
          <w:i w:val="0"/>
        </w:rPr>
        <w:t>, 101, 112</w:t>
      </w:r>
      <w:r>
        <w:rPr>
          <w:b w:val="0"/>
          <w:i/>
        </w:rPr>
        <w:t>e</w:t>
      </w:r>
      <w:r>
        <w:rPr>
          <w:b w:val="0"/>
          <w:i w:val="0"/>
        </w:rPr>
        <w:t>, 363</w:t>
      </w:r>
    </w:p>
    <w:p>
      <w:pPr>
        <w:spacing w:after="80"/>
        <w:ind w:left="360"/>
      </w:pPr>
      <w:r>
        <w:t xml:space="preserve">• </w:t>
      </w:r>
      <w:r>
        <w:rPr>
          <w:b w:val="0"/>
          <w:i w:val="0"/>
        </w:rPr>
        <w:t>Robotic process automation (RPA), 80–81</w:t>
      </w:r>
    </w:p>
    <w:p>
      <w:pPr>
        <w:spacing w:after="80"/>
        <w:ind w:left="360"/>
      </w:pPr>
      <w:r>
        <w:t xml:space="preserve">• </w:t>
      </w:r>
      <w:r>
        <w:rPr>
          <w:b w:val="0"/>
          <w:i w:val="0"/>
        </w:rPr>
        <w:t>ROI, chuyển đổi Tech &amp; AI, 43–44</w:t>
      </w:r>
    </w:p>
    <w:p>
      <w:pPr>
        <w:spacing w:after="80"/>
        <w:ind w:left="720"/>
      </w:pPr>
      <w:r>
        <w:t xml:space="preserve">• </w:t>
      </w:r>
      <w:r>
        <w:rPr>
          <w:b w:val="0"/>
          <w:i w:val="0"/>
        </w:rPr>
        <w:t>sản phẩm dữ liệu, 408–410, 409</w:t>
      </w:r>
      <w:r>
        <w:rPr>
          <w:b w:val="0"/>
          <w:i/>
        </w:rPr>
        <w:t>e</w:t>
      </w:r>
    </w:p>
    <w:p>
      <w:pPr>
        <w:spacing w:after="80"/>
        <w:ind w:left="720"/>
      </w:pPr>
      <w:r>
        <w:t xml:space="preserve">• </w:t>
      </w:r>
      <w:r>
        <w:rPr>
          <w:b w:val="0"/>
          <w:i w:val="0"/>
        </w:rPr>
        <w:t>quản lý dữ liệu, 444</w:t>
      </w:r>
    </w:p>
    <w:p>
      <w:pPr>
        <w:spacing w:after="80"/>
        <w:ind w:left="720"/>
      </w:pPr>
      <w:r>
        <w:t xml:space="preserve">• </w:t>
      </w:r>
      <w:r>
        <w:rPr>
          <w:b w:val="0"/>
          <w:i w:val="0"/>
        </w:rPr>
        <w:t>các lĩnh vực, 41</w:t>
      </w:r>
      <w:r>
        <w:rPr>
          <w:b w:val="0"/>
          <w:i/>
        </w:rPr>
        <w:t>e</w:t>
      </w:r>
    </w:p>
    <w:p>
      <w:pPr>
        <w:spacing w:after="80"/>
        <w:ind w:left="360"/>
      </w:pPr>
      <w:r>
        <w:t xml:space="preserve">• </w:t>
      </w:r>
      <w:r>
        <w:rPr>
          <w:b w:val="0"/>
          <w:i w:val="0"/>
        </w:rPr>
        <w:t>Phân loại vai trò, 203</w:t>
      </w:r>
    </w:p>
    <w:p>
      <w:pPr>
        <w:spacing w:after="80"/>
        <w:ind w:left="360"/>
      </w:pPr>
      <w:r>
        <w:t xml:space="preserve">• </w:t>
      </w:r>
      <w:r>
        <w:rPr>
          <w:b w:val="0"/>
          <w:i w:val="0"/>
        </w:rPr>
        <w:t>Chi phí vận hành, 16, 76, 503</w:t>
      </w:r>
    </w:p>
    <w:p>
      <w:pPr>
        <w:spacing w:after="80"/>
        <w:ind w:left="360"/>
      </w:pPr>
      <w:r>
        <w:t xml:space="preserve">• </w:t>
      </w:r>
      <w:r>
        <w:rPr>
          <w:b/>
          <w:i w:val="0"/>
        </w:rPr>
        <w:t>S</w:t>
      </w:r>
    </w:p>
    <w:p>
      <w:pPr>
        <w:spacing w:after="80"/>
        <w:ind w:left="360"/>
      </w:pPr>
      <w:r>
        <w:t xml:space="preserve">• </w:t>
      </w:r>
      <w:r>
        <w:rPr>
          <w:b w:val="0"/>
          <w:i w:val="0"/>
        </w:rPr>
        <w:t>SaaS, 67, 143, 254, 330, 340, 350</w:t>
      </w:r>
    </w:p>
    <w:p>
      <w:pPr>
        <w:spacing w:after="80"/>
        <w:ind w:left="360"/>
      </w:pPr>
      <w:r>
        <w:t xml:space="preserve">• </w:t>
      </w:r>
      <w:r>
        <w:rPr>
          <w:b w:val="0"/>
          <w:i w:val="0"/>
        </w:rPr>
        <w:t>Triển khai an toàn, 148</w:t>
      </w:r>
    </w:p>
    <w:p>
      <w:pPr>
        <w:spacing w:after="80"/>
        <w:ind w:left="360"/>
      </w:pPr>
      <w:r>
        <w:t xml:space="preserve">• </w:t>
      </w:r>
      <w:r>
        <w:rPr>
          <w:b w:val="0"/>
          <w:i w:val="0"/>
        </w:rPr>
        <w:t>Salesforce, 90, 330</w:t>
      </w:r>
    </w:p>
    <w:p>
      <w:pPr>
        <w:spacing w:after="80"/>
        <w:ind w:left="360"/>
      </w:pPr>
      <w:r>
        <w:t xml:space="preserve">• </w:t>
      </w:r>
      <w:r>
        <w:rPr>
          <w:b w:val="0"/>
          <w:i w:val="0"/>
        </w:rPr>
        <w:t>Salesforce AI, 512</w:t>
      </w:r>
    </w:p>
    <w:p>
      <w:pPr>
        <w:spacing w:after="80"/>
        <w:ind w:left="360"/>
      </w:pPr>
      <w:r>
        <w:t xml:space="preserve">• </w:t>
      </w:r>
      <w:r>
        <w:rPr>
          <w:b w:val="0"/>
          <w:i w:val="0"/>
        </w:rPr>
        <w:t>Khả năng mở rộng, 469–481</w:t>
      </w:r>
    </w:p>
    <w:p>
      <w:pPr>
        <w:spacing w:after="80"/>
        <w:ind w:left="720"/>
      </w:pPr>
      <w:r>
        <w:t xml:space="preserve">• </w:t>
      </w:r>
      <w:r>
        <w:rPr>
          <w:b w:val="0"/>
          <w:i w:val="0"/>
        </w:rPr>
        <w:t>tài sản hóa cho, 474–478, 479</w:t>
      </w:r>
      <w:r>
        <w:rPr>
          <w:b w:val="0"/>
          <w:i/>
        </w:rPr>
        <w:t>e</w:t>
      </w:r>
    </w:p>
    <w:p>
      <w:pPr>
        <w:spacing w:after="80"/>
        <w:ind w:left="720"/>
      </w:pPr>
      <w:r>
        <w:t xml:space="preserve">• </w:t>
      </w:r>
      <w:r>
        <w:rPr>
          <w:b w:val="0"/>
          <w:i w:val="0"/>
        </w:rPr>
        <w:t>cách tiếp cận của Daimler, 472</w:t>
      </w:r>
    </w:p>
    <w:p>
      <w:pPr>
        <w:spacing w:after="80"/>
        <w:ind w:left="720"/>
      </w:pPr>
      <w:r>
        <w:t xml:space="preserve">• </w:t>
      </w:r>
      <w:r>
        <w:rPr>
          <w:b w:val="0"/>
          <w:i w:val="0"/>
        </w:rPr>
        <w:t>trong phân phối từ lĩnh vực đến giá trị (DVD), 65</w:t>
      </w:r>
    </w:p>
    <w:p>
      <w:pPr>
        <w:spacing w:after="80"/>
        <w:ind w:left="720"/>
      </w:pPr>
      <w:r>
        <w:t xml:space="preserve">• </w:t>
      </w:r>
      <w:r>
        <w:rPr>
          <w:b w:val="0"/>
          <w:i w:val="0"/>
        </w:rPr>
        <w:t>dễ dùng, 57</w:t>
      </w:r>
    </w:p>
    <w:p>
      <w:pPr>
        <w:spacing w:after="80"/>
        <w:ind w:left="720"/>
      </w:pPr>
      <w:r>
        <w:t xml:space="preserve">• </w:t>
      </w:r>
      <w:r>
        <w:rPr>
          <w:b w:val="0"/>
          <w:i w:val="0"/>
        </w:rPr>
        <w:t>trong phát triển mô hình, 327</w:t>
      </w:r>
    </w:p>
    <w:p>
      <w:pPr>
        <w:spacing w:after="80"/>
        <w:ind w:left="720"/>
      </w:pPr>
      <w:r>
        <w:t xml:space="preserve">• </w:t>
      </w:r>
      <w:r>
        <w:rPr>
          <w:b w:val="0"/>
          <w:i w:val="0"/>
        </w:rPr>
        <w:t>kiến trúc mô-đun cho, 477</w:t>
      </w:r>
      <w:r>
        <w:rPr>
          <w:b w:val="0"/>
          <w:i/>
        </w:rPr>
        <w:t>e</w:t>
      </w:r>
    </w:p>
    <w:p>
      <w:pPr>
        <w:spacing w:after="80"/>
        <w:ind w:left="720"/>
      </w:pPr>
      <w:r>
        <w:t xml:space="preserve">• </w:t>
      </w:r>
      <w:r>
        <w:rPr>
          <w:b w:val="0"/>
          <w:i w:val="0"/>
        </w:rPr>
        <w:t>nền tảng cho, 286–288, 325–335</w:t>
      </w:r>
    </w:p>
    <w:p>
      <w:pPr>
        <w:spacing w:after="80"/>
        <w:ind w:left="720"/>
      </w:pPr>
      <w:r>
        <w:t xml:space="preserve">• </w:t>
      </w:r>
      <w:r>
        <w:rPr>
          <w:b w:val="0"/>
          <w:i w:val="0"/>
        </w:rPr>
        <w:t>các lựa chọn sắp xếp trình tự cho, 470</w:t>
      </w:r>
    </w:p>
    <w:p>
      <w:pPr>
        <w:spacing w:after="80"/>
        <w:ind w:left="720"/>
      </w:pPr>
      <w:r>
        <w:t xml:space="preserve">• </w:t>
      </w:r>
      <w:r>
        <w:rPr>
          <w:b w:val="0"/>
          <w:i w:val="0"/>
        </w:rPr>
        <w:t>đánh giá định cỡ giá trị ba chiều cho, 473</w:t>
      </w:r>
      <w:r>
        <w:rPr>
          <w:b w:val="0"/>
          <w:i/>
        </w:rPr>
        <w:t>e</w:t>
      </w:r>
      <w:r>
        <w:rPr>
          <w:b w:val="0"/>
          <w:i w:val="0"/>
        </w:rPr>
        <w:t>, 474</w:t>
      </w:r>
    </w:p>
    <w:p>
      <w:pPr>
        <w:spacing w:after="80"/>
        <w:ind w:left="720"/>
      </w:pPr>
      <w:r>
        <w:t xml:space="preserve">• </w:t>
      </w:r>
      <w:r>
        <w:rPr>
          <w:b w:val="0"/>
          <w:i w:val="0"/>
        </w:rPr>
        <w:t>đơn vị cho, 470–471</w:t>
      </w:r>
    </w:p>
    <w:p>
      <w:pPr>
        <w:spacing w:after="80"/>
        <w:ind w:left="360"/>
      </w:pPr>
      <w:r>
        <w:t xml:space="preserve">• </w:t>
      </w:r>
      <w:r>
        <w:rPr>
          <w:b w:val="0"/>
          <w:i w:val="0"/>
        </w:rPr>
        <w:t>Schwab, 136</w:t>
      </w:r>
    </w:p>
    <w:p>
      <w:pPr>
        <w:spacing w:after="80"/>
        <w:ind w:left="360"/>
      </w:pPr>
      <w:r>
        <w:t xml:space="preserve">• </w:t>
      </w:r>
      <w:r>
        <w:rPr>
          <w:b w:val="0"/>
          <w:i w:val="0"/>
        </w:rPr>
        <w:t>Scintilla, 444</w:t>
      </w:r>
    </w:p>
    <w:p>
      <w:pPr>
        <w:spacing w:after="80"/>
        <w:ind w:left="360"/>
      </w:pPr>
      <w:r>
        <w:t xml:space="preserve">• </w:t>
      </w:r>
      <w:r>
        <w:rPr>
          <w:b w:val="0"/>
          <w:i w:val="0"/>
        </w:rPr>
        <w:t>Tinh thần khởi nghiệp (xây dựng doanh nghiệp mới), 270–271</w:t>
      </w:r>
    </w:p>
    <w:p>
      <w:pPr>
        <w:spacing w:after="80"/>
        <w:ind w:left="360"/>
      </w:pPr>
      <w:r>
        <w:t xml:space="preserve">• </w:t>
      </w:r>
      <w:r>
        <w:rPr>
          <w:b w:val="0"/>
          <w:i w:val="0"/>
        </w:rPr>
        <w:t>các nhà lãnh đạo Scrum, 162, 203, 253</w:t>
      </w:r>
    </w:p>
    <w:p>
      <w:pPr>
        <w:spacing w:after="80"/>
        <w:ind w:left="360"/>
      </w:pPr>
      <w:r>
        <w:t xml:space="preserve">• </w:t>
      </w:r>
      <w:r>
        <w:rPr>
          <w:b w:val="0"/>
          <w:i w:val="0"/>
        </w:rPr>
        <w:t>Tự động hóa bảo mật, 305, 310–311</w:t>
      </w:r>
    </w:p>
    <w:p>
      <w:pPr>
        <w:spacing w:after="80"/>
        <w:ind w:left="360"/>
      </w:pPr>
      <w:r>
        <w:t xml:space="preserve">• </w:t>
      </w:r>
      <w:r>
        <w:rPr>
          <w:b w:val="0"/>
          <w:i w:val="0"/>
        </w:rPr>
        <w:t>Công cụ bảo mật, 304</w:t>
      </w:r>
    </w:p>
    <w:p>
      <w:pPr>
        <w:spacing w:after="80"/>
        <w:ind w:left="360"/>
      </w:pPr>
      <w:r>
        <w:t xml:space="preserve">• </w:t>
      </w:r>
      <w:r>
        <w:rPr>
          <w:b w:val="0"/>
          <w:i w:val="0"/>
        </w:rPr>
        <w:t>Tự đánh giá, 151</w:t>
      </w:r>
    </w:p>
    <w:p>
      <w:pPr>
        <w:spacing w:after="80"/>
        <w:ind w:left="360"/>
      </w:pPr>
      <w:r>
        <w:t xml:space="preserve">• </w:t>
      </w:r>
      <w:r>
        <w:rPr>
          <w:b w:val="0"/>
          <w:i w:val="0"/>
        </w:rPr>
        <w:t>Các nhóm tự quản, 232, 235</w:t>
      </w:r>
    </w:p>
    <w:p>
      <w:pPr>
        <w:spacing w:after="80"/>
        <w:ind w:left="360"/>
      </w:pPr>
      <w:r>
        <w:t xml:space="preserve">• </w:t>
      </w:r>
      <w:r>
        <w:rPr>
          <w:b w:val="0"/>
          <w:i w:val="0"/>
        </w:rPr>
        <w:t>Lớp ngữ nghĩa, 392, 398–399, 412</w:t>
      </w:r>
    </w:p>
    <w:p>
      <w:pPr>
        <w:spacing w:after="80"/>
        <w:ind w:left="360"/>
      </w:pPr>
      <w:r>
        <w:t xml:space="preserve">• </w:t>
      </w:r>
      <w:r>
        <w:rPr>
          <w:b w:val="0"/>
          <w:i w:val="0"/>
        </w:rPr>
        <w:t>Độ tương đồng ngữ nghĩa (các loại “eval”), 94</w:t>
      </w:r>
    </w:p>
    <w:p>
      <w:pPr>
        <w:spacing w:after="80"/>
        <w:ind w:left="360"/>
      </w:pPr>
      <w:r>
        <w:t xml:space="preserve">• </w:t>
      </w:r>
      <w:r>
        <w:rPr>
          <w:b w:val="0"/>
          <w:i w:val="0"/>
        </w:rPr>
        <w:t>ServiceNow, 90, 330</w:t>
      </w:r>
    </w:p>
    <w:p>
      <w:pPr>
        <w:spacing w:after="80"/>
        <w:ind w:left="360"/>
      </w:pPr>
      <w:r>
        <w:t xml:space="preserve">• </w:t>
      </w:r>
      <w:r>
        <w:rPr>
          <w:b w:val="0"/>
          <w:i w:val="0"/>
        </w:rPr>
        <w:t>Các tác nhân bóng tối (Shadow agents), 431</w:t>
      </w:r>
    </w:p>
    <w:p>
      <w:pPr>
        <w:spacing w:after="80"/>
        <w:ind w:left="360"/>
      </w:pPr>
      <w:r>
        <w:t xml:space="preserve">• </w:t>
      </w:r>
      <w:r>
        <w:rPr>
          <w:b w:val="0"/>
          <w:i w:val="0"/>
        </w:rPr>
        <w:t>Shan, Tan Su, 591</w:t>
      </w:r>
    </w:p>
    <w:p>
      <w:pPr>
        <w:spacing w:after="80"/>
        <w:ind w:left="360"/>
      </w:pPr>
      <w:r>
        <w:t xml:space="preserve">• </w:t>
      </w:r>
      <w:r>
        <w:rPr>
          <w:b w:val="0"/>
          <w:i w:val="0"/>
        </w:rPr>
        <w:t>SHAP (SHapley Additive exPlanations), các công cụ giải thích GenAI, 518</w:t>
      </w:r>
    </w:p>
    <w:p>
      <w:pPr>
        <w:spacing w:after="80"/>
        <w:ind w:left="360"/>
      </w:pPr>
      <w:r>
        <w:t xml:space="preserve">• </w:t>
      </w:r>
      <w:r>
        <w:rPr>
          <w:b w:val="0"/>
          <w:i w:val="0"/>
        </w:rPr>
        <w:t>Các năng lực dùng chung, 76, 247, 281, 391</w:t>
      </w:r>
    </w:p>
    <w:p>
      <w:pPr>
        <w:spacing w:after="80"/>
        <w:ind w:left="360"/>
      </w:pPr>
      <w:r>
        <w:t xml:space="preserve">• </w:t>
      </w:r>
      <w:r>
        <w:rPr>
          <w:b w:val="0"/>
          <w:i w:val="0"/>
        </w:rPr>
        <w:t>Dịch chuyển sang trái (Shifting left), 310</w:t>
      </w:r>
      <w:r>
        <w:rPr>
          <w:b w:val="0"/>
          <w:i/>
        </w:rPr>
        <w:t>e</w:t>
      </w:r>
    </w:p>
    <w:p>
      <w:pPr>
        <w:spacing w:after="80"/>
        <w:ind w:left="360"/>
      </w:pPr>
      <w:r>
        <w:t xml:space="preserve">• </w:t>
      </w:r>
      <w:r>
        <w:rPr>
          <w:b w:val="0"/>
          <w:i w:val="0"/>
        </w:rPr>
        <w:t>Shih, Clara, 512</w:t>
      </w:r>
    </w:p>
    <w:p>
      <w:pPr>
        <w:spacing w:after="80"/>
        <w:ind w:left="360"/>
      </w:pPr>
      <w:r>
        <w:t xml:space="preserve">• </w:t>
      </w:r>
      <w:r>
        <w:rPr>
          <w:b w:val="0"/>
          <w:i w:val="0"/>
        </w:rPr>
        <w:t>Sinha, Vikram, 531</w:t>
      </w:r>
    </w:p>
    <w:p>
      <w:pPr>
        <w:spacing w:after="80"/>
        <w:ind w:left="360"/>
      </w:pPr>
      <w:r>
        <w:t xml:space="preserve">• </w:t>
      </w:r>
      <w:r>
        <w:rPr>
          <w:b w:val="0"/>
          <w:i w:val="0"/>
        </w:rPr>
        <w:t>Kỹ sư độ tin cậy trang web (Site reliability engineers - SREs), 309</w:t>
      </w:r>
    </w:p>
    <w:p>
      <w:pPr>
        <w:spacing w:after="80"/>
        <w:ind w:left="360"/>
      </w:pPr>
      <w:r>
        <w:t xml:space="preserve">• </w:t>
      </w:r>
      <w:r>
        <w:rPr>
          <w:b w:val="0"/>
          <w:i w:val="0"/>
        </w:rPr>
        <w:t>Thành thạo kỹ năng, 151, 162, 165, 167</w:t>
      </w:r>
    </w:p>
    <w:p>
      <w:pPr>
        <w:spacing w:after="80"/>
        <w:ind w:left="360"/>
      </w:pPr>
      <w:r>
        <w:t xml:space="preserve">• </w:t>
      </w:r>
      <w:r>
        <w:rPr>
          <w:b w:val="0"/>
          <w:i w:val="0"/>
        </w:rPr>
        <w:t>Kỳ vọng về kỹ năng, 170, 504</w:t>
      </w:r>
    </w:p>
    <w:p>
      <w:pPr>
        <w:spacing w:after="80"/>
        <w:ind w:left="360"/>
      </w:pPr>
      <w:r>
        <w:t xml:space="preserve">• </w:t>
      </w:r>
      <w:r>
        <w:rPr>
          <w:b w:val="0"/>
          <w:i w:val="0"/>
        </w:rPr>
        <w:t>Phân loại kỹ năng, 149, 150</w:t>
      </w:r>
      <w:r>
        <w:rPr>
          <w:b w:val="0"/>
          <w:i/>
        </w:rPr>
        <w:t>e</w:t>
      </w:r>
    </w:p>
    <w:p>
      <w:pPr>
        <w:spacing w:after="80"/>
        <w:ind w:left="360"/>
      </w:pPr>
      <w:r>
        <w:t xml:space="preserve">• </w:t>
      </w:r>
      <w:r>
        <w:rPr>
          <w:b w:val="0"/>
          <w:i w:val="0"/>
        </w:rPr>
        <w:t>Vòng đời phát triển phần mềm (Software development life cycle - SDLC), (còn gọi là vòng đời phát triển giải pháp):</w:t>
      </w:r>
    </w:p>
    <w:p>
      <w:pPr>
        <w:spacing w:after="80"/>
        <w:ind w:left="720"/>
      </w:pPr>
      <w:r>
        <w:t xml:space="preserve">• </w:t>
      </w:r>
      <w:r>
        <w:rPr>
          <w:b w:val="0"/>
          <w:i w:val="0"/>
        </w:rPr>
        <w:t>Tác động của AI lên, 313–322, 315</w:t>
      </w:r>
      <w:r>
        <w:rPr>
          <w:b w:val="0"/>
          <w:i/>
        </w:rPr>
        <w:t>e</w:t>
      </w:r>
    </w:p>
    <w:p>
      <w:pPr>
        <w:spacing w:after="80"/>
        <w:ind w:left="720"/>
      </w:pPr>
      <w:r>
        <w:t xml:space="preserve">• </w:t>
      </w:r>
      <w:r>
        <w:rPr>
          <w:b w:val="0"/>
          <w:i w:val="0"/>
        </w:rPr>
        <w:t>Các thực hành tốt nhất để áp dụng AI cho, 316–318</w:t>
      </w:r>
    </w:p>
    <w:p>
      <w:pPr>
        <w:spacing w:after="80"/>
        <w:ind w:left="720"/>
      </w:pPr>
      <w:r>
        <w:t xml:space="preserve">• </w:t>
      </w:r>
      <w:r>
        <w:rPr>
          <w:b w:val="0"/>
          <w:i w:val="0"/>
        </w:rPr>
        <w:t>so với quy trình domain-to-value (DVD), 202</w:t>
      </w:r>
    </w:p>
    <w:p>
      <w:pPr>
        <w:spacing w:after="80"/>
        <w:ind w:left="720"/>
      </w:pPr>
      <w:r>
        <w:t xml:space="preserve">• </w:t>
      </w:r>
      <w:r>
        <w:rPr>
          <w:b w:val="0"/>
          <w:i w:val="0"/>
        </w:rPr>
        <w:t>nền tảng kỹ thuật để tự động hóa, 303, 306</w:t>
      </w:r>
    </w:p>
    <w:p>
      <w:pPr>
        <w:spacing w:after="80"/>
        <w:ind w:left="720"/>
      </w:pPr>
      <w:r>
        <w:t xml:space="preserve">• </w:t>
      </w:r>
      <w:r>
        <w:rPr>
          <w:b w:val="0"/>
          <w:i w:val="0"/>
        </w:rPr>
        <w:t>tổng quan, 200–202, 201</w:t>
      </w:r>
      <w:r>
        <w:rPr>
          <w:b w:val="0"/>
          <w:i/>
        </w:rPr>
        <w:t>e</w:t>
      </w:r>
    </w:p>
    <w:p>
      <w:pPr>
        <w:spacing w:after="80"/>
        <w:ind w:left="720"/>
      </w:pPr>
      <w:r>
        <w:t xml:space="preserve">• </w:t>
      </w:r>
      <w:r>
        <w:rPr>
          <w:b w:val="0"/>
          <w:i w:val="0"/>
        </w:rPr>
        <w:t>bảo mật, 310–311</w:t>
      </w:r>
    </w:p>
    <w:p>
      <w:pPr>
        <w:spacing w:after="80"/>
        <w:ind w:left="360"/>
      </w:pPr>
      <w:r>
        <w:t xml:space="preserve">• </w:t>
      </w:r>
      <w:r>
        <w:rPr>
          <w:b w:val="0"/>
          <w:i w:val="0"/>
        </w:rPr>
        <w:t>Kiến trúc sư giải pháp, 75, 135, 203, 298</w:t>
      </w:r>
    </w:p>
    <w:p>
      <w:pPr>
        <w:spacing w:after="80"/>
        <w:ind w:left="360"/>
      </w:pPr>
      <w:r>
        <w:t xml:space="preserve">• </w:t>
      </w:r>
      <w:r>
        <w:rPr>
          <w:b w:val="0"/>
          <w:i w:val="0"/>
        </w:rPr>
        <w:t>Các trường hợp kinh doanh giải pháp, 382, 494</w:t>
      </w:r>
    </w:p>
    <w:p>
      <w:pPr>
        <w:spacing w:after="80"/>
        <w:ind w:left="360"/>
      </w:pPr>
      <w:r>
        <w:t xml:space="preserve">• </w:t>
      </w:r>
      <w:r>
        <w:rPr>
          <w:b w:val="0"/>
          <w:i w:val="0"/>
        </w:rPr>
        <w:t>Khám phá giải pháp, 64</w:t>
      </w:r>
    </w:p>
    <w:p>
      <w:pPr>
        <w:spacing w:after="80"/>
        <w:ind w:left="360"/>
      </w:pPr>
      <w:r>
        <w:t xml:space="preserve">• </w:t>
      </w:r>
      <w:r>
        <w:rPr>
          <w:b w:val="0"/>
          <w:i w:val="0"/>
        </w:rPr>
        <w:t>Tái sử dụng giải pháp, 475–479</w:t>
      </w:r>
    </w:p>
    <w:p>
      <w:pPr>
        <w:spacing w:after="80"/>
        <w:ind w:left="360"/>
      </w:pPr>
      <w:r>
        <w:t xml:space="preserve">• </w:t>
      </w:r>
      <w:r>
        <w:rPr>
          <w:b w:val="0"/>
          <w:i w:val="0"/>
        </w:rPr>
        <w:t>Ngăn xếp giải pháp, 288, 289</w:t>
      </w:r>
      <w:r>
        <w:rPr>
          <w:b w:val="0"/>
          <w:i/>
        </w:rPr>
        <w:t>e</w:t>
      </w:r>
    </w:p>
    <w:p>
      <w:pPr>
        <w:spacing w:after="80"/>
        <w:ind w:left="360"/>
      </w:pPr>
      <w:r>
        <w:t xml:space="preserve">• </w:t>
      </w:r>
      <w:r>
        <w:rPr>
          <w:b w:val="0"/>
          <w:i w:val="0"/>
        </w:rPr>
        <w:t>Kiểm soát nguồn, 304, 305</w:t>
      </w:r>
    </w:p>
    <w:p>
      <w:pPr>
        <w:spacing w:after="80"/>
        <w:ind w:left="360"/>
      </w:pPr>
      <w:r>
        <w:t xml:space="preserve">• </w:t>
      </w:r>
      <w:r>
        <w:rPr>
          <w:b w:val="0"/>
          <w:i w:val="0"/>
        </w:rPr>
        <w:t>SpaceX, 194, 523</w:t>
      </w:r>
    </w:p>
    <w:p>
      <w:pPr>
        <w:spacing w:after="80"/>
        <w:ind w:left="360"/>
      </w:pPr>
      <w:r>
        <w:t xml:space="preserve">• </w:t>
      </w:r>
      <w:r>
        <w:rPr>
          <w:b w:val="0"/>
          <w:i w:val="0"/>
        </w:rPr>
        <w:t>Spark NZ, 232</w:t>
      </w:r>
    </w:p>
    <w:p>
      <w:pPr>
        <w:spacing w:after="80"/>
        <w:ind w:left="360"/>
      </w:pPr>
      <w:r>
        <w:t xml:space="preserve">• </w:t>
      </w:r>
      <w:r>
        <w:rPr>
          <w:b w:val="0"/>
          <w:i w:val="0"/>
        </w:rPr>
        <w:t>Tốc độ tạo giá trị, 57, 157</w:t>
      </w:r>
    </w:p>
    <w:p>
      <w:pPr>
        <w:spacing w:after="80"/>
        <w:ind w:left="360"/>
      </w:pPr>
      <w:r>
        <w:t xml:space="preserve">• </w:t>
      </w:r>
      <w:r>
        <w:rPr>
          <w:b w:val="0"/>
          <w:i w:val="0"/>
        </w:rPr>
        <w:t>Phân giai đoạn (stage-gating), 13, 66–67, 75, 135, 268, 495</w:t>
      </w:r>
      <w:r>
        <w:rPr>
          <w:b w:val="0"/>
          <w:i/>
        </w:rPr>
        <w:t>e</w:t>
      </w:r>
      <w:r>
        <w:rPr>
          <w:b w:val="0"/>
          <w:i w:val="0"/>
        </w:rPr>
        <w:t>, 497</w:t>
      </w:r>
    </w:p>
    <w:p>
      <w:pPr>
        <w:spacing w:after="80"/>
        <w:ind w:left="720"/>
      </w:pPr>
      <w:r>
        <w:t xml:space="preserve">• </w:t>
      </w:r>
      <w:r>
        <w:rPr>
          <w:b w:val="0"/>
          <w:i w:val="0"/>
        </w:rPr>
        <w:t>tỷ lệ chuyển tiếp (các doanh nghiệp mới), 60, 61</w:t>
      </w:r>
      <w:r>
        <w:rPr>
          <w:b w:val="0"/>
          <w:i/>
        </w:rPr>
        <w:t>e</w:t>
      </w:r>
    </w:p>
    <w:p>
      <w:pPr>
        <w:spacing w:after="80"/>
        <w:ind w:left="360"/>
      </w:pPr>
      <w:r>
        <w:t xml:space="preserve">• </w:t>
      </w:r>
      <w:r>
        <w:rPr>
          <w:b w:val="0"/>
          <w:i w:val="0"/>
        </w:rPr>
        <w:t>Kiểm thử tĩnh (kiểm thử AI agent), 348</w:t>
      </w:r>
    </w:p>
    <w:p>
      <w:pPr>
        <w:spacing w:after="80"/>
        <w:ind w:left="360"/>
      </w:pPr>
      <w:r>
        <w:t xml:space="preserve">• </w:t>
      </w:r>
      <w:r>
        <w:rPr>
          <w:b w:val="0"/>
          <w:i w:val="0"/>
        </w:rPr>
        <w:t>Stevens, Cory, 571, 579</w:t>
      </w:r>
    </w:p>
    <w:p>
      <w:pPr>
        <w:spacing w:after="80"/>
        <w:ind w:left="360"/>
      </w:pPr>
      <w:r>
        <w:t xml:space="preserve">• </w:t>
      </w:r>
      <w:r>
        <w:rPr>
          <w:b w:val="0"/>
          <w:i w:val="0"/>
        </w:rPr>
        <w:t>Stiphout, Marnix van, 95</w:t>
      </w:r>
    </w:p>
    <w:p>
      <w:pPr>
        <w:spacing w:after="80"/>
        <w:ind w:left="360"/>
      </w:pPr>
      <w:r>
        <w:t xml:space="preserve">• </w:t>
      </w:r>
      <w:r>
        <w:rPr>
          <w:b w:val="0"/>
          <w:i w:val="0"/>
        </w:rPr>
        <w:t>Cách tiếp cận cây sung bóp nghẹt (strangler fig), 363</w:t>
      </w:r>
    </w:p>
    <w:p>
      <w:pPr>
        <w:spacing w:after="80"/>
        <w:ind w:left="360"/>
      </w:pPr>
      <w:r>
        <w:t xml:space="preserve">• </w:t>
      </w:r>
      <w:r>
        <w:rPr>
          <w:b w:val="0"/>
          <w:i w:val="0"/>
        </w:rPr>
        <w:t>Bánh đà chiến lược (strategic flywheels), 31–32, 32</w:t>
      </w:r>
      <w:r>
        <w:rPr>
          <w:b w:val="0"/>
          <w:i/>
        </w:rPr>
        <w:t>e</w:t>
      </w:r>
      <w:r>
        <w:rPr>
          <w:b w:val="0"/>
          <w:i w:val="0"/>
        </w:rPr>
        <w:t>, 402</w:t>
      </w:r>
    </w:p>
    <w:p>
      <w:pPr>
        <w:spacing w:after="80"/>
        <w:ind w:left="360"/>
      </w:pPr>
      <w:r>
        <w:t xml:space="preserve">• </w:t>
      </w:r>
      <w:r>
        <w:rPr>
          <w:b w:val="0"/>
          <w:i w:val="0"/>
        </w:rPr>
        <w:t>Đối tác chiến lược, 107</w:t>
      </w:r>
    </w:p>
    <w:p>
      <w:pPr>
        <w:spacing w:after="80"/>
        <w:ind w:left="360"/>
      </w:pPr>
      <w:r>
        <w:t xml:space="preserve">• </w:t>
      </w:r>
      <w:r>
        <w:rPr>
          <w:b w:val="0"/>
          <w:i w:val="0"/>
        </w:rPr>
        <w:t>Chuyên gia lĩnh vực (subject matter experts - SMEs), 203, 225, 413, 459, 497, 531, 564, 584</w:t>
      </w:r>
    </w:p>
    <w:p>
      <w:pPr>
        <w:spacing w:after="80"/>
        <w:ind w:left="360"/>
      </w:pPr>
      <w:r>
        <w:t xml:space="preserve">• </w:t>
      </w:r>
      <w:r>
        <w:rPr>
          <w:b w:val="0"/>
          <w:i w:val="0"/>
        </w:rPr>
        <w:t>Tính bền vững, 10, 226, 239, 334, 562, 573</w:t>
      </w:r>
    </w:p>
    <w:p>
      <w:pPr>
        <w:spacing w:after="80"/>
        <w:ind w:left="360"/>
      </w:pPr>
      <w:r>
        <w:t xml:space="preserve">• </w:t>
      </w:r>
      <w:r>
        <w:rPr>
          <w:b w:val="0"/>
          <w:i w:val="0"/>
        </w:rPr>
        <w:t>Đơn vị tích hợp hệ thống (system integrators), 107, 182, 186</w:t>
      </w:r>
    </w:p>
    <w:p>
      <w:pPr>
        <w:spacing w:after="80"/>
        <w:ind w:left="360"/>
      </w:pPr>
      <w:r>
        <w:t xml:space="preserve">• </w:t>
      </w:r>
      <w:r>
        <w:rPr>
          <w:b w:val="0"/>
          <w:i w:val="0"/>
        </w:rPr>
        <w:t>Độ tin cậy của hệ thống, 515</w:t>
      </w:r>
    </w:p>
    <w:p>
      <w:pPr>
        <w:spacing w:after="80"/>
        <w:ind w:left="360"/>
      </w:pPr>
      <w:r>
        <w:t xml:space="preserve">• </w:t>
      </w:r>
      <w:r>
        <w:rPr>
          <w:b/>
          <w:i w:val="0"/>
        </w:rPr>
        <w:t>T</w:t>
      </w:r>
    </w:p>
    <w:p>
      <w:pPr>
        <w:spacing w:after="80"/>
        <w:ind w:left="360"/>
      </w:pPr>
      <w:r>
        <w:t xml:space="preserve">• </w:t>
      </w:r>
      <w:r>
        <w:rPr>
          <w:b w:val="0"/>
          <w:i w:val="0"/>
        </w:rPr>
        <w:t>Nhúng chìm nhân tài (talent embedding), 217–235</w:t>
      </w:r>
    </w:p>
    <w:p>
      <w:pPr>
        <w:spacing w:after="80"/>
        <w:ind w:left="720"/>
      </w:pPr>
      <w:r>
        <w:t xml:space="preserve">• </w:t>
      </w:r>
      <w:r>
        <w:rPr>
          <w:b w:val="0"/>
          <w:i w:val="0"/>
        </w:rPr>
        <w:t>mô hình nhà máy số (digital factory model), 225–229</w:t>
      </w:r>
    </w:p>
    <w:p>
      <w:pPr>
        <w:spacing w:after="80"/>
        <w:ind w:left="720"/>
      </w:pPr>
      <w:r>
        <w:t xml:space="preserve">• </w:t>
      </w:r>
      <w:r>
        <w:rPr>
          <w:b w:val="0"/>
          <w:i w:val="0"/>
        </w:rPr>
        <w:t>các mô hình vận hành phân tán (distributed operating models), 218–223</w:t>
      </w:r>
    </w:p>
    <w:p>
      <w:pPr>
        <w:spacing w:after="80"/>
        <w:ind w:left="720"/>
      </w:pPr>
      <w:r>
        <w:t xml:space="preserve">• </w:t>
      </w:r>
      <w:r>
        <w:rPr>
          <w:b w:val="0"/>
          <w:i w:val="0"/>
        </w:rPr>
        <w:t>mô hình lĩnh vực và nền tảng (domain and platform model), 229–232</w:t>
      </w:r>
    </w:p>
    <w:p>
      <w:pPr>
        <w:spacing w:after="80"/>
        <w:ind w:left="720"/>
      </w:pPr>
      <w:r>
        <w:t xml:space="preserve">• </w:t>
      </w:r>
      <w:r>
        <w:rPr>
          <w:b w:val="0"/>
          <w:i w:val="0"/>
        </w:rPr>
        <w:t>mô hình toàn doanh nghiệp (enterprise-wide model), 232–234</w:t>
      </w:r>
      <w:r>
        <w:rPr>
          <w:b w:val="0"/>
          <w:i/>
        </w:rPr>
        <w:t>e</w:t>
      </w:r>
      <w:r>
        <w:rPr>
          <w:b w:val="0"/>
          <w:i w:val="0"/>
        </w:rPr>
        <w:t>, 235</w:t>
      </w:r>
    </w:p>
    <w:p>
      <w:pPr>
        <w:spacing w:after="80"/>
        <w:ind w:left="720"/>
      </w:pPr>
      <w:r>
        <w:t xml:space="preserve">• </w:t>
      </w:r>
      <w:r>
        <w:rPr>
          <w:b w:val="0"/>
          <w:i w:val="0"/>
        </w:rPr>
        <w:t>các mô hình truyền thống, 218</w:t>
      </w:r>
    </w:p>
    <w:p>
      <w:pPr>
        <w:spacing w:after="80"/>
        <w:ind w:left="360"/>
      </w:pPr>
      <w:r>
        <w:t xml:space="preserve">• </w:t>
      </w:r>
      <w:r>
        <w:rPr>
          <w:b w:val="0"/>
          <w:i w:val="0"/>
        </w:rPr>
        <w:t>Kế hoạch di chuyển nhân tài, 504</w:t>
      </w:r>
    </w:p>
    <w:p>
      <w:pPr>
        <w:spacing w:after="80"/>
        <w:ind w:left="360"/>
      </w:pPr>
      <w:r>
        <w:t xml:space="preserve">• </w:t>
      </w:r>
      <w:r>
        <w:rPr>
          <w:b w:val="0"/>
          <w:i w:val="0"/>
        </w:rPr>
        <w:t>Hoạch định nhân tài, 152</w:t>
      </w:r>
      <w:r>
        <w:rPr>
          <w:b w:val="0"/>
          <w:i/>
        </w:rPr>
        <w:t>e</w:t>
      </w:r>
    </w:p>
    <w:p>
      <w:pPr>
        <w:spacing w:after="80"/>
        <w:ind w:left="360"/>
      </w:pPr>
      <w:r>
        <w:t xml:space="preserve">• </w:t>
      </w:r>
      <w:r>
        <w:rPr>
          <w:b w:val="0"/>
          <w:i w:val="0"/>
        </w:rPr>
        <w:t>Đối tác cung ứng nhân tài, 107</w:t>
      </w:r>
    </w:p>
    <w:p>
      <w:pPr>
        <w:spacing w:after="80"/>
        <w:ind w:left="360"/>
      </w:pPr>
      <w:r>
        <w:t xml:space="preserve">• </w:t>
      </w:r>
      <w:r>
        <w:rPr>
          <w:b w:val="0"/>
          <w:i w:val="0"/>
        </w:rPr>
        <w:t>Phòng chiến thắng nhân tài (Talent win room - TWR), 164</w:t>
      </w:r>
    </w:p>
    <w:p>
      <w:pPr>
        <w:spacing w:after="80"/>
        <w:ind w:left="360"/>
      </w:pPr>
      <w:r>
        <w:t xml:space="preserve">• </w:t>
      </w:r>
      <w:r>
        <w:rPr>
          <w:b w:val="0"/>
          <w:i w:val="0"/>
        </w:rPr>
        <w:t>Tự động hóa tác vụ (agentic AI), 82</w:t>
      </w:r>
      <w:r>
        <w:rPr>
          <w:b w:val="0"/>
          <w:i/>
        </w:rPr>
        <w:t>e</w:t>
      </w:r>
      <w:r>
        <w:rPr>
          <w:b w:val="0"/>
          <w:i w:val="0"/>
        </w:rPr>
        <w:t>, 83, 350</w:t>
      </w:r>
    </w:p>
    <w:p>
      <w:pPr>
        <w:spacing w:after="80"/>
        <w:ind w:left="360"/>
      </w:pPr>
      <w:r>
        <w:t xml:space="preserve">• </w:t>
      </w:r>
      <w:r>
        <w:rPr>
          <w:b w:val="0"/>
          <w:i w:val="0"/>
        </w:rPr>
        <w:t>Tỷ lệ thành công của tác vụ, 94</w:t>
      </w:r>
    </w:p>
    <w:p>
      <w:pPr>
        <w:spacing w:after="80"/>
        <w:ind w:left="360"/>
      </w:pPr>
      <w:r>
        <w:t xml:space="preserve">• </w:t>
      </w:r>
      <w:r>
        <w:rPr>
          <w:b w:val="0"/>
          <w:i w:val="0"/>
        </w:rPr>
        <w:t>Nguyên mẫu đội nhóm, 205–207, 206</w:t>
      </w:r>
      <w:r>
        <w:rPr>
          <w:b w:val="0"/>
          <w:i/>
        </w:rPr>
        <w:t>e</w:t>
      </w:r>
      <w:r>
        <w:rPr>
          <w:b w:val="0"/>
          <w:i w:val="0"/>
        </w:rPr>
        <w:t>, 232, 246</w:t>
      </w:r>
    </w:p>
    <w:p>
      <w:pPr>
        <w:spacing w:after="80"/>
        <w:ind w:left="360"/>
      </w:pPr>
      <w:r>
        <w:t xml:space="preserve">• </w:t>
      </w:r>
      <w:r>
        <w:rPr>
          <w:b w:val="0"/>
          <w:i w:val="0"/>
        </w:rPr>
        <w:t>Các chỉ số sức khỏe đội nhóm, 489–490</w:t>
      </w:r>
    </w:p>
    <w:p>
      <w:pPr>
        <w:spacing w:after="80"/>
        <w:ind w:left="360"/>
      </w:pPr>
      <w:r>
        <w:t xml:space="preserve">• </w:t>
      </w:r>
      <w:r>
        <w:rPr>
          <w:b w:val="0"/>
          <w:i w:val="0"/>
        </w:rPr>
        <w:t>Triển khai công nghệ, 133, 196, 221</w:t>
      </w:r>
      <w:r>
        <w:rPr>
          <w:b w:val="0"/>
          <w:i/>
        </w:rPr>
        <w:t>e</w:t>
      </w:r>
      <w:r>
        <w:rPr>
          <w:b w:val="0"/>
          <w:i w:val="0"/>
        </w:rPr>
        <w:t>, 229, 235</w:t>
      </w:r>
    </w:p>
    <w:p>
      <w:pPr>
        <w:spacing w:after="80"/>
        <w:ind w:left="360"/>
      </w:pPr>
      <w:r>
        <w:t xml:space="preserve">• </w:t>
      </w:r>
      <w:r>
        <w:rPr>
          <w:b w:val="0"/>
          <w:i w:val="0"/>
        </w:rPr>
        <w:t>Cơ bắp công nghệ, (nâng cao kỹ năng lãnh đạo) 131–139</w:t>
      </w:r>
    </w:p>
    <w:p>
      <w:pPr>
        <w:spacing w:after="80"/>
        <w:ind w:left="360"/>
      </w:pPr>
      <w:r>
        <w:t xml:space="preserve">• </w:t>
      </w:r>
      <w:r>
        <w:rPr>
          <w:b w:val="0"/>
          <w:i w:val="0"/>
        </w:rPr>
        <w:t>Nhân tài công nghệ, 159–173</w:t>
      </w:r>
    </w:p>
    <w:p>
      <w:pPr>
        <w:spacing w:after="80"/>
        <w:ind w:left="720"/>
      </w:pPr>
      <w:r>
        <w:t xml:space="preserve">• </w:t>
      </w:r>
      <w:r>
        <w:rPr>
          <w:b w:val="0"/>
          <w:i w:val="0"/>
        </w:rPr>
        <w:t>lộ trình phát triển sự nghiệp cho họ, 168</w:t>
      </w:r>
      <w:r>
        <w:rPr>
          <w:b w:val="0"/>
          <w:i/>
        </w:rPr>
        <w:t>e</w:t>
      </w:r>
    </w:p>
    <w:p>
      <w:pPr>
        <w:spacing w:after="80"/>
        <w:ind w:left="720"/>
      </w:pPr>
      <w:r>
        <w:t xml:space="preserve">• </w:t>
      </w:r>
      <w:r>
        <w:rPr>
          <w:b w:val="0"/>
          <w:i w:val="0"/>
        </w:rPr>
        <w:t>vai trò của CHRO trong đó, 172</w:t>
      </w:r>
    </w:p>
    <w:p>
      <w:pPr>
        <w:spacing w:after="80"/>
        <w:ind w:left="720"/>
      </w:pPr>
      <w:r>
        <w:t xml:space="preserve">• </w:t>
      </w:r>
      <w:r>
        <w:rPr>
          <w:b w:val="0"/>
          <w:i w:val="0"/>
        </w:rPr>
        <w:t>sự xuất sắc trong tay nghề của họ, 170</w:t>
      </w:r>
    </w:p>
    <w:p>
      <w:pPr>
        <w:spacing w:after="80"/>
        <w:ind w:left="720"/>
      </w:pPr>
      <w:r>
        <w:t xml:space="preserve">• </w:t>
      </w:r>
      <w:r>
        <w:rPr>
          <w:b w:val="0"/>
          <w:i w:val="0"/>
        </w:rPr>
        <w:t>nâng tầm họ, 160</w:t>
      </w:r>
    </w:p>
    <w:p>
      <w:pPr>
        <w:spacing w:after="80"/>
        <w:ind w:left="720"/>
      </w:pPr>
      <w:r>
        <w:t xml:space="preserve">• </w:t>
      </w:r>
      <w:r>
        <w:rPr>
          <w:b w:val="0"/>
          <w:i w:val="0"/>
        </w:rPr>
        <w:t>tuyển dụng, 161–163</w:t>
      </w:r>
    </w:p>
    <w:p>
      <w:pPr>
        <w:spacing w:after="80"/>
        <w:ind w:left="720"/>
      </w:pPr>
      <w:r>
        <w:t xml:space="preserve">• </w:t>
      </w:r>
      <w:r>
        <w:rPr>
          <w:b w:val="0"/>
          <w:i w:val="0"/>
        </w:rPr>
        <w:t>Hành trình học tập của, 171</w:t>
      </w:r>
      <w:r>
        <w:rPr>
          <w:b w:val="0"/>
          <w:i/>
        </w:rPr>
        <w:t>e</w:t>
      </w:r>
    </w:p>
    <w:p>
      <w:pPr>
        <w:spacing w:after="80"/>
        <w:ind w:left="720"/>
      </w:pPr>
      <w:r>
        <w:t xml:space="preserve">• </w:t>
      </w:r>
      <w:r>
        <w:rPr>
          <w:b w:val="0"/>
          <w:i w:val="0"/>
        </w:rPr>
        <w:t>nhận diện, 165–167</w:t>
      </w:r>
    </w:p>
    <w:p>
      <w:pPr>
        <w:spacing w:after="80"/>
        <w:ind w:left="360"/>
      </w:pPr>
      <w:r>
        <w:t xml:space="preserve">• </w:t>
      </w:r>
      <w:r>
        <w:rPr>
          <w:b w:val="0"/>
          <w:i w:val="0"/>
        </w:rPr>
        <w:t>Kim tự tháp kỹ năng nhân tài công nghệ (mô hình tổ chức), 144–145, 145</w:t>
      </w:r>
      <w:r>
        <w:rPr>
          <w:b w:val="0"/>
          <w:i/>
        </w:rPr>
        <w:t>e</w:t>
      </w:r>
      <w:r>
        <w:rPr>
          <w:b w:val="0"/>
          <w:i w:val="0"/>
        </w:rPr>
        <w:t>, 149, 183</w:t>
      </w:r>
    </w:p>
    <w:p>
      <w:pPr>
        <w:spacing w:after="80"/>
        <w:ind w:left="360"/>
      </w:pPr>
      <w:r>
        <w:t xml:space="preserve">• </w:t>
      </w:r>
      <w:r>
        <w:rPr>
          <w:b w:val="0"/>
          <w:i w:val="0"/>
        </w:rPr>
        <w:t>Nợ kỹ thuật, 271, 308</w:t>
      </w:r>
    </w:p>
    <w:p>
      <w:pPr>
        <w:spacing w:after="80"/>
        <w:ind w:left="360"/>
      </w:pPr>
      <w:r>
        <w:t xml:space="preserve">• </w:t>
      </w:r>
      <w:r>
        <w:rPr>
          <w:b w:val="0"/>
          <w:i w:val="0"/>
        </w:rPr>
        <w:t>Phỏng vấn kỹ thuật, 151</w:t>
      </w:r>
    </w:p>
    <w:p>
      <w:pPr>
        <w:spacing w:after="80"/>
        <w:ind w:left="360"/>
      </w:pPr>
      <w:r>
        <w:t xml:space="preserve">• </w:t>
      </w:r>
      <w:r>
        <w:rPr>
          <w:b w:val="0"/>
          <w:i w:val="0"/>
        </w:rPr>
        <w:t>Đối tác công nghệ, 108</w:t>
      </w:r>
    </w:p>
    <w:p>
      <w:pPr>
        <w:spacing w:after="80"/>
        <w:ind w:left="360"/>
      </w:pPr>
      <w:r>
        <w:t xml:space="preserve">• </w:t>
      </w:r>
      <w:r>
        <w:rPr>
          <w:b w:val="0"/>
          <w:i w:val="0"/>
        </w:rPr>
        <w:t>Tesla, 160, 194, 444, 523</w:t>
      </w:r>
    </w:p>
    <w:p>
      <w:pPr>
        <w:spacing w:after="80"/>
        <w:ind w:left="360"/>
      </w:pPr>
      <w:r>
        <w:t xml:space="preserve">• </w:t>
      </w:r>
      <w:r>
        <w:rPr>
          <w:b w:val="0"/>
          <w:i w:val="0"/>
        </w:rPr>
        <w:t>Cách tiếp cận thử-và-học, 59, 97, 573</w:t>
      </w:r>
    </w:p>
    <w:p>
      <w:pPr>
        <w:spacing w:after="80"/>
        <w:ind w:left="360"/>
      </w:pPr>
      <w:r>
        <w:t xml:space="preserve">• </w:t>
      </w:r>
      <w:r>
        <w:rPr>
          <w:b w:val="0"/>
          <w:i w:val="0"/>
        </w:rPr>
        <w:t>Các thay đổi 30–70, 14, 142, 145</w:t>
      </w:r>
    </w:p>
    <w:p>
      <w:pPr>
        <w:spacing w:after="80"/>
        <w:ind w:left="360"/>
      </w:pPr>
      <w:r>
        <w:t xml:space="preserve">• </w:t>
      </w:r>
      <w:r>
        <w:rPr>
          <w:b w:val="0"/>
          <w:i w:val="0"/>
        </w:rPr>
        <w:t>Đánh giá định cỡ giá trị ba chiều, 473</w:t>
      </w:r>
      <w:r>
        <w:rPr>
          <w:b w:val="0"/>
          <w:i/>
        </w:rPr>
        <w:t>e</w:t>
      </w:r>
    </w:p>
    <w:p>
      <w:pPr>
        <w:spacing w:after="80"/>
        <w:ind w:left="360"/>
      </w:pPr>
      <w:r>
        <w:t xml:space="preserve">• </w:t>
      </w:r>
      <w:r>
        <w:rPr>
          <w:b w:val="0"/>
          <w:i w:val="0"/>
        </w:rPr>
        <w:t>Công cụ, 253–254, 475, 516</w:t>
      </w:r>
    </w:p>
    <w:p>
      <w:pPr>
        <w:spacing w:after="80"/>
        <w:ind w:left="360"/>
      </w:pPr>
      <w:r>
        <w:t xml:space="preserve">• </w:t>
      </w:r>
      <w:r>
        <w:rPr>
          <w:b w:val="0"/>
          <w:i w:val="0"/>
        </w:rPr>
        <w:t>Toyota Motor North America (TMNA), 13, 40, 49, 442, 459, 463, 541, 555–565</w:t>
      </w:r>
    </w:p>
    <w:p>
      <w:pPr>
        <w:spacing w:after="80"/>
        <w:ind w:left="360"/>
      </w:pPr>
      <w:r>
        <w:t xml:space="preserve">• </w:t>
      </w:r>
      <w:r>
        <w:rPr>
          <w:b w:val="0"/>
          <w:i w:val="0"/>
        </w:rPr>
        <w:t>Các điều chỉnh trong chuyển đổi, 501–509</w:t>
      </w:r>
    </w:p>
    <w:p>
      <w:pPr>
        <w:spacing w:after="80"/>
        <w:ind w:left="720"/>
      </w:pPr>
      <w:r>
        <w:t xml:space="preserve">• </w:t>
      </w:r>
      <w:r>
        <w:rPr>
          <w:b w:val="0"/>
          <w:i w:val="0"/>
        </w:rPr>
        <w:t>quản lý thay đổi trong đó, 508–509</w:t>
      </w:r>
    </w:p>
    <w:p>
      <w:pPr>
        <w:spacing w:after="80"/>
        <w:ind w:left="720"/>
      </w:pPr>
      <w:r>
        <w:t xml:space="preserve">• </w:t>
      </w:r>
      <w:r>
        <w:rPr>
          <w:b w:val="0"/>
          <w:i w:val="0"/>
        </w:rPr>
        <w:t>thách thức về dữ liệu trong đó, 507</w:t>
      </w:r>
    </w:p>
    <w:p>
      <w:pPr>
        <w:spacing w:after="80"/>
        <w:ind w:left="720"/>
      </w:pPr>
      <w:r>
        <w:t xml:space="preserve">• </w:t>
      </w:r>
      <w:r>
        <w:rPr>
          <w:b w:val="0"/>
          <w:i w:val="0"/>
        </w:rPr>
        <w:t>thách thức về mô hình vận hành trong đó, 506</w:t>
      </w:r>
    </w:p>
    <w:p>
      <w:pPr>
        <w:spacing w:after="80"/>
        <w:ind w:left="720"/>
      </w:pPr>
      <w:r>
        <w:t xml:space="preserve">• </w:t>
      </w:r>
      <w:r>
        <w:rPr>
          <w:b w:val="0"/>
          <w:i w:val="0"/>
        </w:rPr>
        <w:t>lộ trình cho, 502–504</w:t>
      </w:r>
    </w:p>
    <w:p>
      <w:pPr>
        <w:spacing w:after="80"/>
        <w:ind w:left="720"/>
      </w:pPr>
      <w:r>
        <w:t xml:space="preserve">• </w:t>
      </w:r>
      <w:r>
        <w:rPr>
          <w:b w:val="0"/>
          <w:i w:val="0"/>
        </w:rPr>
        <w:t>những thách thức về nhân tài trong, 504–505</w:t>
      </w:r>
    </w:p>
    <w:p>
      <w:pPr>
        <w:spacing w:after="80"/>
        <w:ind w:left="720"/>
      </w:pPr>
      <w:r>
        <w:t xml:space="preserve">• </w:t>
      </w:r>
      <w:r>
        <w:rPr>
          <w:b w:val="0"/>
          <w:i w:val="0"/>
        </w:rPr>
        <w:t>những thách thức về công nghệ trong, 508</w:t>
      </w:r>
    </w:p>
    <w:p>
      <w:pPr>
        <w:spacing w:after="80"/>
        <w:ind w:left="360"/>
      </w:pPr>
      <w:r>
        <w:t xml:space="preserve">• </w:t>
      </w:r>
      <w:r>
        <w:rPr>
          <w:b w:val="0"/>
          <w:i w:val="0"/>
        </w:rPr>
        <w:t>Kiến trúc chuyển đổi, 53, 257–259, 259</w:t>
      </w:r>
      <w:r>
        <w:rPr>
          <w:b w:val="0"/>
          <w:i/>
        </w:rPr>
        <w:t>e</w:t>
      </w:r>
    </w:p>
    <w:p>
      <w:pPr>
        <w:spacing w:after="80"/>
        <w:ind w:left="360"/>
      </w:pPr>
      <w:r>
        <w:t xml:space="preserve">• </w:t>
      </w:r>
      <w:r>
        <w:rPr>
          <w:b w:val="0"/>
          <w:i w:val="0"/>
        </w:rPr>
        <w:t>Đà chuyển đổi, 6, 77, 570</w:t>
      </w:r>
    </w:p>
    <w:p>
      <w:pPr>
        <w:spacing w:after="80"/>
        <w:ind w:left="360"/>
      </w:pPr>
      <w:r>
        <w:t xml:space="preserve">• </w:t>
      </w:r>
      <w:r>
        <w:rPr>
          <w:b w:val="0"/>
          <w:i w:val="0"/>
        </w:rPr>
        <w:t>Văn phòng chuyển đổi (TOs), 258, 497</w:t>
      </w:r>
    </w:p>
    <w:p>
      <w:pPr>
        <w:spacing w:after="80"/>
        <w:ind w:left="360"/>
      </w:pPr>
      <w:r>
        <w:t xml:space="preserve">• </w:t>
      </w:r>
      <w:r>
        <w:rPr>
          <w:b w:val="0"/>
          <w:i w:val="0"/>
        </w:rPr>
        <w:t>Phạm vi chuyển đổi, 61</w:t>
      </w:r>
    </w:p>
    <w:p>
      <w:pPr>
        <w:spacing w:after="80"/>
        <w:ind w:left="360"/>
      </w:pPr>
      <w:r>
        <w:t xml:space="preserve">• </w:t>
      </w:r>
      <w:r>
        <w:rPr>
          <w:b w:val="0"/>
          <w:i w:val="0"/>
        </w:rPr>
        <w:t>Khung thời gian chuyển đổi, 111</w:t>
      </w:r>
    </w:p>
    <w:p>
      <w:pPr>
        <w:spacing w:after="80"/>
        <w:ind w:left="360"/>
      </w:pPr>
      <w:r>
        <w:t xml:space="preserve">• </w:t>
      </w:r>
      <w:r>
        <w:rPr>
          <w:b w:val="0"/>
          <w:i w:val="0"/>
        </w:rPr>
        <w:t>Tầm nhìn mang tính chuyển đổi, 132</w:t>
      </w:r>
    </w:p>
    <w:p>
      <w:pPr>
        <w:spacing w:after="80"/>
        <w:ind w:left="360"/>
      </w:pPr>
      <w:r>
        <w:t xml:space="preserve">• </w:t>
      </w:r>
      <w:r>
        <w:rPr>
          <w:b w:val="0"/>
          <w:i w:val="0"/>
        </w:rPr>
        <w:t>Quy tắc phân loại ưu tiên, 346</w:t>
      </w:r>
    </w:p>
    <w:p>
      <w:pPr>
        <w:spacing w:after="80"/>
        <w:ind w:left="360"/>
      </w:pPr>
      <w:r>
        <w:t xml:space="preserve">• </w:t>
      </w:r>
      <w:r>
        <w:rPr>
          <w:b w:val="0"/>
          <w:i w:val="0"/>
        </w:rPr>
        <w:t>Các nhóm (Tribes), 361</w:t>
      </w:r>
    </w:p>
    <w:p>
      <w:pPr>
        <w:spacing w:after="80"/>
        <w:ind w:left="360"/>
      </w:pPr>
      <w:r>
        <w:t xml:space="preserve">• </w:t>
      </w:r>
      <w:r>
        <w:rPr>
          <w:b w:val="0"/>
          <w:i w:val="0"/>
        </w:rPr>
        <w:t>Cách tiếp cận chuyển đổi dữ liệu theo mô hình chữ T, 583, 585</w:t>
      </w:r>
    </w:p>
    <w:p>
      <w:pPr>
        <w:spacing w:after="80"/>
        <w:ind w:left="360"/>
      </w:pPr>
      <w:r>
        <w:t xml:space="preserve">• </w:t>
      </w:r>
      <w:r>
        <w:rPr>
          <w:b w:val="0"/>
          <w:i w:val="0"/>
        </w:rPr>
        <w:t>Turing, Alan, 586</w:t>
      </w:r>
    </w:p>
    <w:p>
      <w:pPr>
        <w:spacing w:after="80"/>
        <w:ind w:left="360"/>
      </w:pPr>
      <w:r>
        <w:t xml:space="preserve">• </w:t>
      </w:r>
      <w:r>
        <w:rPr>
          <w:b w:val="0"/>
          <w:i w:val="0"/>
        </w:rPr>
        <w:t>Đội nhóm hai chiếc pizza, 146–147, 147</w:t>
      </w:r>
      <w:r>
        <w:rPr>
          <w:b w:val="0"/>
          <w:i/>
        </w:rPr>
        <w:t>e</w:t>
      </w:r>
    </w:p>
    <w:p>
      <w:pPr>
        <w:spacing w:after="80"/>
        <w:ind w:left="360"/>
      </w:pPr>
      <w:r>
        <w:t xml:space="preserve">• </w:t>
      </w:r>
      <w:r>
        <w:rPr>
          <w:b w:val="0"/>
          <w:i w:val="0"/>
        </w:rPr>
        <w:t>Mô hình nhân tài hai tầng, 504, 550</w:t>
      </w:r>
    </w:p>
    <w:p>
      <w:pPr>
        <w:spacing w:after="80"/>
        <w:ind w:left="360"/>
      </w:pPr>
      <w:r>
        <w:t xml:space="preserve">• </w:t>
      </w:r>
      <w:r>
        <w:rPr>
          <w:b/>
          <w:i w:val="0"/>
        </w:rPr>
        <w:t>U</w:t>
      </w:r>
    </w:p>
    <w:p>
      <w:pPr>
        <w:spacing w:after="80"/>
        <w:ind w:left="360"/>
      </w:pPr>
      <w:r>
        <w:t xml:space="preserve">• </w:t>
      </w:r>
      <w:r>
        <w:rPr>
          <w:b w:val="0"/>
          <w:i w:val="0"/>
        </w:rPr>
        <w:t>Các nền tảng dữ liệu hợp nhất, 186, 327, 374</w:t>
      </w:r>
    </w:p>
    <w:p>
      <w:pPr>
        <w:spacing w:after="80"/>
        <w:ind w:left="360"/>
      </w:pPr>
      <w:r>
        <w:t xml:space="preserve">• </w:t>
      </w:r>
      <w:r>
        <w:rPr>
          <w:b w:val="0"/>
          <w:i w:val="0"/>
        </w:rPr>
        <w:t>Thiết kế đơn vị (mô hình vận hành), 242–243</w:t>
      </w:r>
    </w:p>
    <w:p>
      <w:pPr>
        <w:spacing w:after="80"/>
        <w:ind w:left="360"/>
      </w:pPr>
      <w:r>
        <w:t xml:space="preserve">• </w:t>
      </w:r>
      <w:r>
        <w:rPr>
          <w:b w:val="0"/>
          <w:i w:val="0"/>
        </w:rPr>
        <w:t>Kinh tế học đơn vị theo quy mô, 502–503</w:t>
      </w:r>
    </w:p>
    <w:p>
      <w:pPr>
        <w:spacing w:after="80"/>
        <w:ind w:left="360"/>
      </w:pPr>
      <w:r>
        <w:t xml:space="preserve">• </w:t>
      </w:r>
      <w:r>
        <w:rPr>
          <w:b w:val="0"/>
          <w:i w:val="0"/>
        </w:rPr>
        <w:t>Khung Quản lý Rủi ro AI của NIST Hoa Kỳ, 517</w:t>
      </w:r>
    </w:p>
    <w:p>
      <w:pPr>
        <w:spacing w:after="80"/>
        <w:ind w:left="360"/>
      </w:pPr>
      <w:r>
        <w:t xml:space="preserve">• </w:t>
      </w:r>
      <w:r>
        <w:rPr>
          <w:b w:val="0"/>
          <w:i w:val="0"/>
        </w:rPr>
        <w:t>Dữ liệu phi cấu trúc, 384–385</w:t>
      </w:r>
    </w:p>
    <w:p>
      <w:pPr>
        <w:spacing w:after="80"/>
        <w:ind w:left="360"/>
      </w:pPr>
      <w:r>
        <w:t xml:space="preserve">• </w:t>
      </w:r>
      <w:r>
        <w:rPr>
          <w:b w:val="0"/>
          <w:i w:val="0"/>
        </w:rPr>
        <w:t xml:space="preserve">Nâng cao kỹ năng. </w:t>
      </w:r>
      <w:r>
        <w:rPr>
          <w:b w:val="0"/>
          <w:i/>
        </w:rPr>
        <w:t>Xem thêm</w:t>
      </w:r>
      <w:r>
        <w:rPr>
          <w:b w:val="0"/>
          <w:i w:val="0"/>
        </w:rPr>
        <w:t xml:space="preserve"> Đào tạo lại kỹ năng</w:t>
      </w:r>
    </w:p>
    <w:p>
      <w:pPr>
        <w:spacing w:after="80"/>
        <w:ind w:left="720"/>
      </w:pPr>
      <w:r>
        <w:t xml:space="preserve">• </w:t>
      </w:r>
      <w:r>
        <w:rPr>
          <w:b w:val="0"/>
          <w:i w:val="0"/>
        </w:rPr>
        <w:t>và xây dựng năng lực, 492</w:t>
      </w:r>
    </w:p>
    <w:p>
      <w:pPr>
        <w:spacing w:after="80"/>
        <w:ind w:left="720"/>
      </w:pPr>
      <w:r>
        <w:t xml:space="preserve">• </w:t>
      </w:r>
      <w:r>
        <w:rPr>
          <w:b w:val="0"/>
          <w:i w:val="0"/>
        </w:rPr>
        <w:t>từ các CHRO, 117, 172</w:t>
      </w:r>
    </w:p>
    <w:p>
      <w:pPr>
        <w:spacing w:after="80"/>
        <w:ind w:left="720"/>
      </w:pPr>
      <w:r>
        <w:t xml:space="preserve">• </w:t>
      </w:r>
      <w:r>
        <w:rPr>
          <w:b w:val="0"/>
          <w:i w:val="0"/>
        </w:rPr>
        <w:t>trong văn hóa doanh nghiệp, 253, 528</w:t>
      </w:r>
    </w:p>
    <w:p>
      <w:pPr>
        <w:spacing w:after="80"/>
        <w:ind w:left="720"/>
      </w:pPr>
      <w:r>
        <w:t xml:space="preserve">• </w:t>
      </w:r>
      <w:r>
        <w:rPr>
          <w:b w:val="0"/>
          <w:i w:val="0"/>
        </w:rPr>
        <w:t>trong mô hình lĩnh vực &amp; nền tảng, 231</w:t>
      </w:r>
    </w:p>
    <w:p>
      <w:pPr>
        <w:spacing w:after="80"/>
        <w:ind w:left="720"/>
      </w:pPr>
      <w:r>
        <w:t xml:space="preserve">• </w:t>
      </w:r>
      <w:r>
        <w:rPr>
          <w:b w:val="0"/>
          <w:i w:val="0"/>
        </w:rPr>
        <w:t>dành cho lãnh đạo cấp cao, 27</w:t>
      </w:r>
    </w:p>
    <w:p>
      <w:pPr>
        <w:spacing w:after="80"/>
        <w:ind w:left="720"/>
      </w:pPr>
      <w:r>
        <w:t xml:space="preserve">• </w:t>
      </w:r>
      <w:r>
        <w:rPr>
          <w:b w:val="0"/>
          <w:i w:val="0"/>
        </w:rPr>
        <w:t>đầu tư vào, 317</w:t>
      </w:r>
    </w:p>
    <w:p>
      <w:pPr>
        <w:spacing w:after="80"/>
        <w:ind w:left="720"/>
      </w:pPr>
      <w:r>
        <w:t xml:space="preserve">• </w:t>
      </w:r>
      <w:r>
        <w:rPr>
          <w:b w:val="0"/>
          <w:i w:val="0"/>
        </w:rPr>
        <w:t>và đào tạo lại kỹ năng, 529</w:t>
      </w:r>
    </w:p>
    <w:p>
      <w:pPr>
        <w:spacing w:after="80"/>
        <w:ind w:left="720"/>
      </w:pPr>
      <w:r>
        <w:t xml:space="preserve">• </w:t>
      </w:r>
      <w:r>
        <w:rPr>
          <w:b w:val="0"/>
          <w:i w:val="0"/>
        </w:rPr>
        <w:t>trong các kế hoạch chuyển dịch nhân tài, 504</w:t>
      </w:r>
    </w:p>
    <w:p>
      <w:pPr>
        <w:spacing w:after="80"/>
        <w:ind w:left="720"/>
      </w:pPr>
      <w:r>
        <w:t xml:space="preserve">• </w:t>
      </w:r>
      <w:r>
        <w:rPr>
          <w:b w:val="0"/>
          <w:i w:val="0"/>
        </w:rPr>
        <w:t>từ các đối tác cung ứng nhân tài, 107</w:t>
      </w:r>
    </w:p>
    <w:p>
      <w:pPr>
        <w:spacing w:after="80"/>
        <w:ind w:left="720"/>
      </w:pPr>
      <w:r>
        <w:t xml:space="preserve">• </w:t>
      </w:r>
      <w:r>
        <w:rPr>
          <w:b w:val="0"/>
          <w:i w:val="0"/>
        </w:rPr>
        <w:t>cho các nhà lãnh đạo doanh nghiệp có năng lực công nghệ, 137–139</w:t>
      </w:r>
    </w:p>
    <w:p>
      <w:pPr>
        <w:spacing w:after="80"/>
        <w:ind w:left="720"/>
      </w:pPr>
      <w:r>
        <w:t xml:space="preserve">• </w:t>
      </w:r>
      <w:r>
        <w:rPr>
          <w:b w:val="0"/>
          <w:i w:val="0"/>
        </w:rPr>
        <w:t>value of, 564–565</w:t>
      </w:r>
    </w:p>
    <w:p>
      <w:pPr>
        <w:spacing w:after="80"/>
        <w:ind w:left="360"/>
      </w:pPr>
      <w:r>
        <w:t xml:space="preserve">• </w:t>
      </w:r>
      <w:r>
        <w:rPr>
          <w:b w:val="0"/>
          <w:i w:val="0"/>
        </w:rPr>
        <w:t>Các trường hợp sử dụng, 49–61</w:t>
      </w:r>
    </w:p>
    <w:p>
      <w:pPr>
        <w:spacing w:after="80"/>
        <w:ind w:left="360"/>
      </w:pPr>
      <w:r>
        <w:t xml:space="preserve">• </w:t>
      </w:r>
      <w:r>
        <w:rPr>
          <w:b w:val="0"/>
          <w:i w:val="0"/>
        </w:rPr>
        <w:t xml:space="preserve">Trải nghiệm người dùng, 205, 220, 247, 309, 459, 462, 515, 545. </w:t>
      </w:r>
      <w:r>
        <w:rPr>
          <w:b w:val="0"/>
          <w:i/>
        </w:rPr>
        <w:t>Xem thêm</w:t>
      </w:r>
      <w:r>
        <w:rPr>
          <w:b w:val="0"/>
          <w:i w:val="0"/>
        </w:rPr>
        <w:t xml:space="preserve"> Trải nghiệm khách hàng</w:t>
      </w:r>
    </w:p>
    <w:p>
      <w:pPr>
        <w:spacing w:after="80"/>
        <w:ind w:left="360"/>
      </w:pPr>
      <w:r>
        <w:t xml:space="preserve">• </w:t>
      </w:r>
      <w:r>
        <w:rPr>
          <w:b w:val="0"/>
          <w:i w:val="0"/>
        </w:rPr>
        <w:t>Thiết kế trải nghiệm người dùng, 489</w:t>
      </w:r>
    </w:p>
    <w:p>
      <w:pPr>
        <w:spacing w:after="80"/>
        <w:ind w:left="360"/>
      </w:pPr>
      <w:r>
        <w:t xml:space="preserve">• </w:t>
      </w:r>
      <w:r>
        <w:rPr>
          <w:b w:val="0"/>
          <w:i w:val="0"/>
        </w:rPr>
        <w:t>Hệ thống tiện ích, 104, 143, 146, 505</w:t>
      </w:r>
    </w:p>
    <w:p>
      <w:pPr>
        <w:spacing w:after="80"/>
        <w:ind w:left="360"/>
      </w:pPr>
      <w:r>
        <w:t xml:space="preserve">• </w:t>
      </w:r>
      <w:r>
        <w:rPr>
          <w:b w:val="0"/>
          <w:i w:val="0"/>
        </w:rPr>
        <w:t>Nhà thiết kế UX, 170, 546</w:t>
      </w:r>
    </w:p>
    <w:p>
      <w:pPr>
        <w:spacing w:after="80"/>
        <w:ind w:left="360"/>
      </w:pPr>
      <w:r>
        <w:t xml:space="preserve">• </w:t>
      </w:r>
      <w:r>
        <w:rPr>
          <w:b/>
          <w:i w:val="0"/>
        </w:rPr>
        <w:t>V</w:t>
      </w:r>
    </w:p>
    <w:p>
      <w:pPr>
        <w:spacing w:after="80"/>
        <w:ind w:left="360"/>
      </w:pPr>
      <w:r>
        <w:t xml:space="preserve">• </w:t>
      </w:r>
      <w:r>
        <w:rPr>
          <w:b w:val="0"/>
          <w:i w:val="0"/>
        </w:rPr>
        <w:t>Nắm bắt giá trị, 484–488</w:t>
      </w:r>
    </w:p>
    <w:p>
      <w:pPr>
        <w:spacing w:after="80"/>
        <w:ind w:left="360"/>
      </w:pPr>
      <w:r>
        <w:t xml:space="preserve">• </w:t>
      </w:r>
      <w:r>
        <w:rPr>
          <w:b w:val="0"/>
          <w:i w:val="0"/>
        </w:rPr>
        <w:t>Các chỉ số tạo giá trị, 484–488, 488</w:t>
      </w:r>
      <w:r>
        <w:rPr>
          <w:b w:val="0"/>
          <w:i/>
        </w:rPr>
        <w:t>e</w:t>
      </w:r>
    </w:p>
    <w:p>
      <w:pPr>
        <w:spacing w:after="80"/>
        <w:ind w:left="360"/>
      </w:pPr>
      <w:r>
        <w:t xml:space="preserve">• </w:t>
      </w:r>
      <w:r>
        <w:rPr>
          <w:b w:val="0"/>
          <w:i w:val="0"/>
        </w:rPr>
        <w:t>Cây động lực giá trị, 485–487, 486</w:t>
      </w:r>
      <w:r>
        <w:rPr>
          <w:b w:val="0"/>
          <w:i/>
        </w:rPr>
        <w:t>e</w:t>
      </w:r>
    </w:p>
    <w:p>
      <w:pPr>
        <w:spacing w:after="80"/>
        <w:ind w:left="360"/>
      </w:pPr>
      <w:r>
        <w:t xml:space="preserve">• </w:t>
      </w:r>
      <w:r>
        <w:rPr>
          <w:b w:val="0"/>
          <w:i w:val="0"/>
        </w:rPr>
        <w:t>Tiềm năng giá trị, 55–56, 88, 408, 471</w:t>
      </w:r>
    </w:p>
    <w:p>
      <w:pPr>
        <w:spacing w:after="80"/>
        <w:ind w:left="360"/>
      </w:pPr>
      <w:r>
        <w:t xml:space="preserve">• </w:t>
      </w:r>
      <w:r>
        <w:rPr>
          <w:b w:val="0"/>
          <w:i w:val="0"/>
        </w:rPr>
        <w:t>Kho vector, 332, 396, 475</w:t>
      </w:r>
    </w:p>
    <w:p>
      <w:pPr>
        <w:spacing w:after="80"/>
        <w:ind w:left="360"/>
      </w:pPr>
      <w:r>
        <w:t xml:space="preserve">• </w:t>
      </w:r>
      <w:r>
        <w:rPr>
          <w:b w:val="0"/>
          <w:i w:val="0"/>
        </w:rPr>
        <w:t>Verizon, 229, 334</w:t>
      </w:r>
    </w:p>
    <w:p>
      <w:pPr>
        <w:spacing w:after="80"/>
        <w:ind w:left="360"/>
      </w:pPr>
      <w:r>
        <w:t xml:space="preserve">• </w:t>
      </w:r>
      <w:r>
        <w:rPr>
          <w:b w:val="0"/>
          <w:i w:val="0"/>
        </w:rPr>
        <w:t>Nền tảng Verizon Enterprise GenAI Services (VEGAS), 334</w:t>
      </w:r>
    </w:p>
    <w:p>
      <w:pPr>
        <w:spacing w:after="80"/>
        <w:ind w:left="360"/>
      </w:pPr>
      <w:r>
        <w:t xml:space="preserve">• </w:t>
      </w:r>
      <w:r>
        <w:rPr>
          <w:b w:val="0"/>
          <w:i w:val="0"/>
        </w:rPr>
        <w:t>Vistra, 480–481</w:t>
      </w:r>
    </w:p>
    <w:p>
      <w:pPr>
        <w:spacing w:after="80"/>
        <w:ind w:left="360"/>
      </w:pPr>
      <w:r>
        <w:t xml:space="preserve">• </w:t>
      </w:r>
      <w:r>
        <w:rPr>
          <w:b/>
          <w:i w:val="0"/>
        </w:rPr>
        <w:t>W</w:t>
      </w:r>
    </w:p>
    <w:p>
      <w:pPr>
        <w:spacing w:after="80"/>
        <w:ind w:left="360"/>
      </w:pPr>
      <w:r>
        <w:t xml:space="preserve">• </w:t>
      </w:r>
      <w:r>
        <w:rPr>
          <w:b w:val="0"/>
          <w:i w:val="0"/>
        </w:rPr>
        <w:t>Walmart, 31, 157, 444</w:t>
      </w:r>
    </w:p>
    <w:p>
      <w:pPr>
        <w:spacing w:after="80"/>
        <w:ind w:left="360"/>
      </w:pPr>
      <w:r>
        <w:t xml:space="preserve">• </w:t>
      </w:r>
      <w:r>
        <w:rPr>
          <w:b w:val="0"/>
          <w:i w:val="0"/>
        </w:rPr>
        <w:t>Kết quả chuyển đổi trọng số (các ưu đãi), 138</w:t>
      </w:r>
    </w:p>
    <w:p>
      <w:pPr>
        <w:spacing w:after="80"/>
        <w:ind w:left="360"/>
      </w:pPr>
      <w:r>
        <w:t xml:space="preserve">• </w:t>
      </w:r>
      <w:r>
        <w:rPr>
          <w:b w:val="0"/>
          <w:i w:val="0"/>
        </w:rPr>
        <w:t>Weill, Peter, 26, 288</w:t>
      </w:r>
    </w:p>
    <w:p>
      <w:pPr>
        <w:spacing w:after="80"/>
        <w:ind w:left="360"/>
      </w:pPr>
      <w:r>
        <w:t xml:space="preserve">• </w:t>
      </w:r>
      <w:r>
        <w:rPr>
          <w:b w:val="0"/>
          <w:i w:val="0"/>
        </w:rPr>
        <w:t>WhatsApp, 362, 547–548</w:t>
      </w:r>
    </w:p>
    <w:p>
      <w:pPr>
        <w:spacing w:after="80"/>
        <w:ind w:left="360"/>
      </w:pPr>
      <w:r>
        <w:t xml:space="preserve">• </w:t>
      </w:r>
      <w:r>
        <w:rPr>
          <w:b w:val="0"/>
          <w:i w:val="0"/>
        </w:rPr>
        <w:t>Wixom, Barbara, 380</w:t>
      </w:r>
    </w:p>
    <w:p>
      <w:pPr>
        <w:spacing w:after="80"/>
        <w:ind w:left="360"/>
      </w:pPr>
      <w:r>
        <w:t xml:space="preserve">• </w:t>
      </w:r>
      <w:r>
        <w:rPr>
          <w:b w:val="0"/>
          <w:i w:val="0"/>
        </w:rPr>
        <w:t>Woerner, Stephanie, 286</w:t>
      </w:r>
    </w:p>
    <w:p>
      <w:pPr>
        <w:spacing w:after="80"/>
        <w:ind w:left="360"/>
      </w:pPr>
      <w:r>
        <w:t xml:space="preserve">• </w:t>
      </w:r>
      <w:r>
        <w:rPr>
          <w:b w:val="0"/>
          <w:i w:val="0"/>
        </w:rPr>
        <w:t>Bàn làm việc (Workbenches), 589</w:t>
      </w:r>
    </w:p>
    <w:p>
      <w:pPr>
        <w:spacing w:after="80"/>
        <w:ind w:left="360"/>
      </w:pPr>
      <w:r>
        <w:t xml:space="preserve">• </w:t>
      </w:r>
      <w:r>
        <w:rPr>
          <w:b w:val="0"/>
          <w:i w:val="0"/>
        </w:rPr>
        <w:t>WorkBoard, 213</w:t>
      </w:r>
    </w:p>
    <w:p>
      <w:pPr>
        <w:spacing w:after="80"/>
        <w:ind w:left="360"/>
      </w:pPr>
      <w:r>
        <w:t xml:space="preserve">• </w:t>
      </w:r>
      <w:r>
        <w:rPr>
          <w:b w:val="0"/>
          <w:i w:val="0"/>
        </w:rPr>
        <w:t>Workday, 330</w:t>
      </w:r>
    </w:p>
    <w:p>
      <w:pPr>
        <w:spacing w:after="80"/>
        <w:ind w:left="360"/>
      </w:pPr>
      <w:r>
        <w:t xml:space="preserve">• </w:t>
      </w:r>
      <w:r>
        <w:rPr>
          <w:b w:val="0"/>
          <w:i w:val="0"/>
        </w:rPr>
        <w:t>Quy trình làm việc (Workflow):</w:t>
      </w:r>
    </w:p>
    <w:p>
      <w:pPr>
        <w:spacing w:after="80"/>
        <w:ind w:left="720"/>
      </w:pPr>
      <w:r>
        <w:t xml:space="preserve">• </w:t>
      </w:r>
      <w:r>
        <w:rPr>
          <w:b w:val="0"/>
          <w:i w:val="0"/>
        </w:rPr>
        <w:t>tác tử từ đầu đến cuối (agentic end to end), 83–84</w:t>
      </w:r>
    </w:p>
    <w:p>
      <w:pPr>
        <w:spacing w:after="80"/>
        <w:ind w:left="720"/>
      </w:pPr>
      <w:r>
        <w:t xml:space="preserve">• </w:t>
      </w:r>
      <w:r>
        <w:rPr>
          <w:b w:val="0"/>
          <w:i w:val="0"/>
        </w:rPr>
        <w:t>ví dụ tác tử (agentic example), 85–88, 86</w:t>
      </w:r>
      <w:r>
        <w:rPr>
          <w:b w:val="0"/>
          <w:i/>
        </w:rPr>
        <w:t>e</w:t>
      </w:r>
    </w:p>
    <w:p>
      <w:pPr>
        <w:spacing w:after="80"/>
        <w:ind w:left="720"/>
      </w:pPr>
      <w:r>
        <w:t xml:space="preserve">• </w:t>
      </w:r>
      <w:r>
        <w:rPr>
          <w:b w:val="0"/>
          <w:i w:val="0"/>
        </w:rPr>
        <w:t>lựa chọn quy trình làm việc tác tử (agentic workflow selection), 88–90</w:t>
      </w:r>
    </w:p>
    <w:p>
      <w:pPr>
        <w:spacing w:after="80"/>
        <w:ind w:left="720"/>
      </w:pPr>
      <w:r>
        <w:t xml:space="preserve">• </w:t>
      </w:r>
      <w:r>
        <w:rPr>
          <w:b w:val="0"/>
          <w:i w:val="0"/>
        </w:rPr>
        <w:t>kiến trúc nền tảng AI (AI platform architecture), 328</w:t>
      </w:r>
      <w:r>
        <w:rPr>
          <w:b w:val="0"/>
          <w:i/>
        </w:rPr>
        <w:t>e</w:t>
      </w:r>
    </w:p>
    <w:p>
      <w:pPr>
        <w:spacing w:after="80"/>
        <w:ind w:left="720"/>
      </w:pPr>
      <w:r>
        <w:t xml:space="preserve">• </w:t>
      </w:r>
      <w:r>
        <w:rPr>
          <w:b w:val="0"/>
          <w:i w:val="0"/>
        </w:rPr>
        <w:t>xây dựng quy trình làm việc tác tử (building agentic workflows), 343, 344</w:t>
      </w:r>
      <w:r>
        <w:rPr>
          <w:b w:val="0"/>
          <w:i/>
        </w:rPr>
        <w:t>e</w:t>
      </w:r>
    </w:p>
    <w:p>
      <w:pPr>
        <w:spacing w:after="80"/>
        <w:ind w:left="720"/>
      </w:pPr>
      <w:r>
        <w:t xml:space="preserve">• </w:t>
      </w:r>
      <w:r>
        <w:rPr>
          <w:b w:val="0"/>
          <w:i w:val="0"/>
        </w:rPr>
        <w:t>thiết kế (design), 518</w:t>
      </w:r>
    </w:p>
    <w:p>
      <w:pPr>
        <w:spacing w:after="80"/>
        <w:ind w:left="720"/>
      </w:pPr>
      <w:r>
        <w:t xml:space="preserve">• </w:t>
      </w:r>
      <w:r>
        <w:rPr>
          <w:b w:val="0"/>
          <w:i w:val="0"/>
        </w:rPr>
        <w:t>trọng tâm nhiệm vụ, 350, 351</w:t>
      </w:r>
      <w:r>
        <w:rPr>
          <w:b w:val="0"/>
          <w:i/>
        </w:rPr>
        <w:t>e</w:t>
      </w:r>
    </w:p>
    <w:p>
      <w:pPr>
        <w:spacing w:after="80"/>
        <w:ind w:left="720"/>
      </w:pPr>
      <w:r>
        <w:t xml:space="preserve">• </w:t>
      </w:r>
      <w:r>
        <w:rPr>
          <w:b w:val="0"/>
          <w:i w:val="0"/>
        </w:rPr>
        <w:t>công cụ và quản lý đội nhóm, 253</w:t>
      </w:r>
    </w:p>
    <w:p>
      <w:pPr>
        <w:spacing w:after="80"/>
        <w:ind w:left="360"/>
      </w:pPr>
      <w:r>
        <w:t xml:space="preserve">• </w:t>
      </w:r>
      <w:r>
        <w:rPr>
          <w:b/>
          <w:i w:val="0"/>
        </w:rPr>
        <w:t>Z</w:t>
      </w:r>
    </w:p>
    <w:p>
      <w:pPr>
        <w:spacing w:after="80"/>
        <w:ind w:left="360"/>
      </w:pPr>
      <w:r>
        <w:t xml:space="preserve">• </w:t>
      </w:r>
      <w:r>
        <w:rPr>
          <w:b w:val="0"/>
          <w:i w:val="0"/>
        </w:rPr>
        <w:t>Tư duy không chi phí (hàm ý GenAI), 71</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