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00035.jpeg"/>
                    <pic:cNvPicPr/>
                  </pic:nvPicPr>
                  <pic:blipFill>
                    <a:blip r:embed="rId9"/>
                    <a:stretch>
                      <a:fillRect/>
                    </a:stretch>
                  </pic:blipFill>
                  <pic:spPr>
                    <a:xfrm>
                      <a:off x="0" y="0"/>
                      <a:ext cx="5486400" cy="8229600"/>
                    </a:xfrm>
                    <a:prstGeom prst="rect"/>
                  </pic:spPr>
                </pic:pic>
              </a:graphicData>
            </a:graphic>
          </wp:inline>
        </w:drawing>
      </w:r>
    </w:p>
    <w:p>
      <w:pPr>
        <w:jc w:val="center"/>
      </w:pPr>
      <w:r>
        <w:drawing>
          <wp:inline xmlns:a="http://schemas.openxmlformats.org/drawingml/2006/main" xmlns:pic="http://schemas.openxmlformats.org/drawingml/2006/picture">
            <wp:extent cx="5486400" cy="8176453"/>
            <wp:docPr id="2" name="Picture 2"/>
            <wp:cNvGraphicFramePr>
              <a:graphicFrameLocks noChangeAspect="1"/>
            </wp:cNvGraphicFramePr>
            <a:graphic>
              <a:graphicData uri="http://schemas.openxmlformats.org/drawingml/2006/picture">
                <pic:pic>
                  <pic:nvPicPr>
                    <pic:cNvPr id="0" name="00056.jpeg"/>
                    <pic:cNvPicPr/>
                  </pic:nvPicPr>
                  <pic:blipFill>
                    <a:blip r:embed="rId10"/>
                    <a:stretch>
                      <a:fillRect/>
                    </a:stretch>
                  </pic:blipFill>
                  <pic:spPr>
                    <a:xfrm>
                      <a:off x="0" y="0"/>
                      <a:ext cx="5486400" cy="8176453"/>
                    </a:xfrm>
                    <a:prstGeom prst="rect"/>
                  </pic:spPr>
                </pic:pic>
              </a:graphicData>
            </a:graphic>
          </wp:inline>
        </w:drawing>
      </w:r>
    </w:p>
    <w:p>
      <w:pPr>
        <w:spacing w:after="80"/>
      </w:pPr>
      <w:r>
        <w:rPr>
          <w:b w:val="0"/>
          <w:i w:val="0"/>
        </w:rPr>
        <w:t>Bản quyền © 2018 thuộc về Howard M. Schilit. Mọi quyền được bảo lưu. Trừ khi được cho phép theo Đạo luật Bản quyền Hoa Kỳ năm 1976, không phần nào của ấn phẩm này được sao chép hoặc phân phối dưới bất kỳ hình thức nào hoặc bằng bất kỳ phương tiện nào, hoặc lưu trữ trong hệ thống cơ sở dữ liệu hoặc hệ thống truy xuất, mà không có sự cho phép trước bằng văn bản của nhà xuất bản.</w:t>
      </w:r>
    </w:p>
    <w:p>
      <w:pPr>
        <w:spacing w:after="80"/>
      </w:pPr>
      <w:r>
        <w:rPr>
          <w:b w:val="0"/>
          <w:i w:val="0"/>
        </w:rPr>
        <w:t>ISBN: 978-1-26-011727-1</w:t>
      </w:r>
      <w:r>
        <w:br/>
      </w:r>
      <w:r>
        <w:rPr>
          <w:b w:val="0"/>
          <w:i w:val="0"/>
        </w:rPr>
        <w:t>MHID: 1-26-011727-8</w:t>
      </w:r>
    </w:p>
    <w:p>
      <w:pPr>
        <w:spacing w:after="80"/>
      </w:pPr>
      <w:r>
        <w:rPr>
          <w:b w:val="0"/>
          <w:i w:val="0"/>
        </w:rPr>
        <w:t>Nội dung trong eBook này cũng xuất hiện trong phiên bản in của tựa sách này: ISBN: 978-1-26-011726-4,</w:t>
      </w:r>
      <w:r>
        <w:br/>
      </w:r>
      <w:r>
        <w:rPr>
          <w:b w:val="0"/>
          <w:i w:val="0"/>
        </w:rPr>
        <w:t>MHID: 1-26-011726-X.</w:t>
      </w:r>
    </w:p>
    <w:p>
      <w:pPr>
        <w:spacing w:after="80"/>
      </w:pPr>
      <w:r>
        <w:rPr>
          <w:b w:val="0"/>
          <w:i w:val="0"/>
        </w:rPr>
        <w:t>Chuyển đổi eBook bởi codeMantra</w:t>
      </w:r>
      <w:r>
        <w:br/>
      </w:r>
      <w:r>
        <w:rPr>
          <w:b w:val="0"/>
          <w:i w:val="0"/>
        </w:rPr>
        <w:t>Phiên bản 1.0</w:t>
      </w:r>
    </w:p>
    <w:p>
      <w:pPr>
        <w:spacing w:after="80"/>
      </w:pPr>
      <w:r>
        <w:rPr>
          <w:b w:val="0"/>
          <w:i w:val="0"/>
        </w:rPr>
        <w:t>Tất cả các nhãn hiệu đều là nhãn hiệu của chủ sở hữu tương ứng. Thay vì đặt ký hiệu nhãn hiệu sau mỗi lần xuất hiện của một tên đã được đăng ký nhãn hiệu, chúng tôi sử dụng tên chỉ với mục đích biên tập và vì lợi ích của chủ sở hữu nhãn hiệu, không có ý định xâm phạm nhãn hiệu. Khi những chỉ dẫn như vậy xuất hiện trong cuốn sách này, chúng được in với chữ cái đầu viết hoa.</w:t>
      </w:r>
    </w:p>
    <w:p>
      <w:pPr>
        <w:spacing w:after="80"/>
      </w:pPr>
      <w:r>
        <w:rPr>
          <w:b w:val="0"/>
          <w:i w:val="0"/>
        </w:rPr>
        <w:t>eBook của McGraw-Hill Education có sẵn với mức chiết khấu số lượng đặc biệt để dùng làm quà tặng và khuyến mãi bán hàng hoặc cho các chương trình đào tạo doanh nghiệp. Để liên hệ với người đại diện, vui lòng truy cập trang Liên hệ với chúng tôi tại www.mhprofessional.com.</w:t>
      </w:r>
    </w:p>
    <w:p>
      <w:pPr>
        <w:spacing w:after="80"/>
      </w:pPr>
      <w:r>
        <w:rPr>
          <w:b w:val="0"/>
          <w:i w:val="0"/>
        </w:rPr>
        <w:t>Ấn phẩm này được thiết kế để cung cấp thông tin chính xác và có thẩm quyền về chủ đề được đề cập. Nó được bán với sự hiểu biết rằng cả tác giả lẫn nhà xuất bản đều không tham gia cung cấp các dịch vụ pháp lý, kế toán, giao dịch chứng khoán hoặc các dịch vụ chuyên môn khác. Nếu cần tư vấn pháp lý hoặc hỗ trợ chuyên môn khác, nên tìm đến dịch vụ của một chuyên gia có năng lực.</w:t>
      </w:r>
    </w:p>
    <w:p>
      <w:pPr>
        <w:spacing w:after="80"/>
      </w:pPr>
      <w:r>
        <w:rPr>
          <w:b w:val="0"/>
          <w:i w:val="0"/>
        </w:rPr>
        <w:t>—</w:t>
      </w:r>
      <w:r>
        <w:rPr>
          <w:b w:val="0"/>
          <w:i/>
        </w:rPr>
        <w:t>Trích từ Tuyên bố Nguyên tắc được Đồng thông qua</w:t>
      </w:r>
      <w:r>
        <w:br/>
      </w:r>
      <w:r>
        <w:rPr>
          <w:b w:val="0"/>
          <w:i/>
        </w:rPr>
        <w:t>bởi một Ủy ban của Hiệp hội Luật sư Hoa Kỳ</w:t>
      </w:r>
      <w:r>
        <w:br/>
      </w:r>
      <w:r>
        <w:rPr>
          <w:b w:val="0"/>
          <w:i/>
        </w:rPr>
        <w:t>và một Ủy ban của các Nhà xuất bản và Hiệp hội</w:t>
      </w:r>
    </w:p>
    <w:p>
      <w:pPr>
        <w:spacing w:after="80"/>
      </w:pPr>
      <w:r>
        <w:rPr>
          <w:b w:val="0"/>
          <w:i w:val="0"/>
        </w:rPr>
        <w:t>ĐIỀU KHOẢN SỬ DỤNG</w:t>
      </w:r>
    </w:p>
    <w:p>
      <w:pPr>
        <w:spacing w:after="80"/>
      </w:pPr>
      <w:r>
        <w:rPr>
          <w:b w:val="0"/>
          <w:i w:val="0"/>
        </w:rPr>
        <w:t>Đây là một tác phẩm có bản quyền và McGraw-Hill Education cùng các bên cấp phép của mình bảo lưu mọi quyền đối với tác phẩm. Việc sử dụng tác phẩm này phải tuân theo các điều khoản này. Trừ khi được cho phép theo Đạo luật Bản quyền năm 1976 và quyền lưu trữ và truy xuất một bản sao của tác phẩm, bạn không được dịch ngược, tháo gỡ, kỹ nghịch đảo, sao chép, sửa đổi, tạo tác phẩm phái sinh dựa trên, truyền, phân phối, phổ biến, bán, xuất bản hoặc cấp phép lại tác phẩm hoặc bất kỳ phần nào của nó mà không có sự đồng ý trước của McGraw-Hill Education. Bạn có thể sử dụng tác phẩm cho mục đích phi thương mại và cá nhân của riêng mình; mọi mục đích sử dụng khác của tác phẩm đều bị nghiêm cấm. Quyền sử dụng tác phẩm của bạn có thể bị chấm dứt nếu bạn không tuân thủ các điều khoản này.</w:t>
      </w:r>
    </w:p>
    <w:p>
      <w:pPr>
        <w:spacing w:after="80"/>
      </w:pPr>
      <w:r>
        <w:rPr>
          <w:b w:val="0"/>
          <w:i w:val="0"/>
        </w:rPr>
        <w:t>TÁC PHẨM ĐƯỢC CUNG CẤP “NGUYÊN TRẠNG.” McGRAW-HILL EDUCATION VÀ CÁC BÊN CẤP PHÉP CỦA MÌNH KHÔNG ĐƯA RA BẤT KỲ BẢO ĐẢM HAY CAM KẾT NÀO VỀ TÍNH CHÍNH XÁC, ĐẦY ĐỦ HOẶC HOÀN CHỈNH CỦA TÁC PHẨM HOẶC KẾT QUẢ THU ĐƯỢC TỪ VIỆC SỬ DỤNG TÁC PHẨM, BAO GỒM BẤT KỲ THÔNG TIN NÀO CÓ THỂ ĐƯỢC TRUY CẬP THÔNG QUA TÁC PHẨM QUA SIÊU LIÊN KẾT HOẶC CÁCH KHÁC, VÀ TUYÊN BỐ MIỄN TRỪ RÕ RÀNG MỌI BẢO ĐẢM, DÙ RÕ RÀNG HAY NGỤ Ý, BAO GỒM NHƯNG KHÔNG GIỚI HẠN Ở CÁC BẢO ĐẢM NGỤ Ý VỀ KHẢ NĂNG THƯƠNG MẠI HOẶC SỰ PHÙ HỢP CHO MỘT MỤC ĐÍCH CỤ THỂ. McGraw-Hill Education và các bên cấp phép của mình không bảo đảm hay cam kết rằng các chức năng chứa trong tác phẩm sẽ đáp ứng yêu cầu của bạn hoặc rằng hoạt động của nó sẽ không bị gián đoạn hoặc không có lỗi. Cả McGraw-Hill Education lẫn các bên cấp phép của mình đều không chịu trách nhiệm với bạn hoặc bất kỳ ai khác về bất kỳ sự thiếu chính xác, lỗi hoặc thiếu sót nào, bất kể nguyên nhân, trong tác phẩm hoặc về bất kỳ thiệt hại nào phát sinh từ đó. McGraw-Hill Education không có trách nhiệm về nội dung của bất kỳ thông tin nào được truy cập qua tác phẩm. Trong mọi trường hợp, McGraw-Hill Education và/hoặc các bên cấp phép của mình sẽ không chịu trách nhiệm về bất kỳ thiệt hại gián tiếp, ngẫu nhiên, đặc biệt, mang tính trừng phạt, do hậu quả hoặc tương tự nào phát sinh từ việc sử dụng hoặc không thể sử dụng tác phẩm, ngay cả khi bất kỳ bên nào trong số họ đã được thông báo về khả năng xảy ra những thiệt hại như vậy. Giới hạn trách nhiệm này sẽ áp dụng cho bất kỳ khiếu nại hoặc nguyên nhân nào bất kể khiếu nại hoặc nguyên nhân đó phát sinh từ hợp đồng, vi phạm dân sự hay cách khác.</w:t>
      </w:r>
    </w:p>
    <w:p>
      <w:pPr>
        <w:spacing w:after="80"/>
      </w:pPr>
      <w:r>
        <w:rPr>
          <w:b w:val="0"/>
          <w:i w:val="0"/>
        </w:rPr>
        <w:t>Để tưởng nhớ đầy yêu thương Rob Schilit, người anh em thân thiết của Howard,</w:t>
      </w:r>
    </w:p>
    <w:p>
      <w:pPr>
        <w:spacing w:after="80"/>
      </w:pPr>
      <w:r>
        <w:rPr>
          <w:b w:val="0"/>
          <w:i w:val="0"/>
        </w:rPr>
        <w:t>người đã đóng góp to lớn cho các phiên bản trước của</w:t>
      </w:r>
    </w:p>
    <w:p>
      <w:pPr>
        <w:spacing w:after="80"/>
      </w:pPr>
      <w:r>
        <w:rPr>
          <w:b w:val="0"/>
          <w:i/>
        </w:rPr>
        <w:t>Financial Shenanigans</w:t>
      </w:r>
      <w:r>
        <w:rPr>
          <w:b w:val="0"/>
          <w:i w:val="0"/>
        </w:rPr>
        <w:t>, và là nguồn cảm hứng không ngừng.</w:t>
      </w:r>
    </w:p>
    <w:p>
      <w:pPr>
        <w:spacing w:after="80"/>
      </w:pPr>
      <w:r>
        <w:rPr>
          <w:b w:val="0"/>
          <w:i w:val="0"/>
        </w:rPr>
        <w:t>Ông ấy được nhớ nhung vô cùng.</w:t>
      </w:r>
    </w:p>
    <w:p>
      <w:pPr>
        <w:pStyle w:val="Heading2"/>
      </w:pPr>
      <w:r>
        <w:rPr>
          <w:rFonts w:ascii="Calibri" w:hAnsi="Calibri"/>
          <w:b/>
          <w:i w:val="0"/>
          <w:sz w:val="32"/>
        </w:rPr>
        <w:t>Mục lục</w:t>
      </w:r>
    </w:p>
    <w:p>
      <w:pPr>
        <w:spacing w:after="80"/>
      </w:pPr>
      <w:r>
        <w:rPr>
          <w:b w:val="0"/>
          <w:i w:val="0"/>
        </w:rPr>
        <w:t>Lời tựa: Nhìn lại 25 năm qua của tôi</w:t>
      </w:r>
    </w:p>
    <w:p>
      <w:pPr>
        <w:spacing w:after="80"/>
      </w:pPr>
      <w:r>
        <w:rPr>
          <w:b w:val="0"/>
          <w:i w:val="0"/>
        </w:rPr>
        <w:t>PHẦN MỘT</w:t>
      </w:r>
      <w:r>
        <w:br/>
      </w:r>
      <w:r>
        <w:rPr>
          <w:b w:val="0"/>
          <w:i w:val="0"/>
        </w:rPr>
        <w:t>XÂY DỰNG NỀN TẢNG</w:t>
      </w:r>
    </w:p>
    <w:p>
      <w:pPr>
        <w:spacing w:after="80"/>
      </w:pPr>
      <w:r>
        <w:rPr>
          <w:b w:val="0"/>
          <w:i w:val="0"/>
        </w:rPr>
        <w:t>1 25 năm của những chiêu trò</w:t>
      </w:r>
    </w:p>
    <w:p>
      <w:pPr>
        <w:spacing w:after="80"/>
      </w:pPr>
      <w:r>
        <w:rPr>
          <w:b w:val="0"/>
          <w:i w:val="0"/>
        </w:rPr>
        <w:t>2 Chỉ cần chỉnh sửa phim X-quang</w:t>
      </w:r>
    </w:p>
    <w:p>
      <w:pPr>
        <w:spacing w:after="80"/>
      </w:pPr>
      <w:r>
        <w:rPr>
          <w:b w:val="0"/>
          <w:i w:val="0"/>
        </w:rPr>
        <w:t>PHẦN HAI</w:t>
      </w:r>
      <w:r>
        <w:br/>
      </w:r>
      <w:r>
        <w:rPr>
          <w:b w:val="0"/>
          <w:i w:val="0"/>
        </w:rPr>
        <w:t>NHỮNG CHIÊU TRÒ THAO TÚNG LỢI NHUẬN</w:t>
      </w:r>
    </w:p>
    <w:p>
      <w:pPr>
        <w:spacing w:after="80"/>
      </w:pPr>
      <w:r>
        <w:rPr>
          <w:b w:val="0"/>
          <w:i w:val="0"/>
        </w:rPr>
        <w:t>3 Chiêu trò thao túng lợi nhuận số 1: Ghi nhận doanh thu quá sớm</w:t>
      </w:r>
    </w:p>
    <w:p>
      <w:pPr>
        <w:spacing w:after="80"/>
      </w:pPr>
      <w:r>
        <w:rPr>
          <w:b w:val="0"/>
          <w:i w:val="0"/>
        </w:rPr>
        <w:t>4 Chiêu trò thao túng lợi nhuận số 2: Ghi nhận doanh thu khống</w:t>
      </w:r>
    </w:p>
    <w:p>
      <w:pPr>
        <w:spacing w:after="80"/>
      </w:pPr>
      <w:r>
        <w:rPr>
          <w:b w:val="0"/>
          <w:i w:val="0"/>
        </w:rPr>
        <w:t>5 Chiêu trò thao túng lợi nhuận số 3: Đẩy thu nhập lên bằng các hoạt động một lần hoặc không bền vững</w:t>
      </w:r>
    </w:p>
    <w:p>
      <w:pPr>
        <w:spacing w:after="80"/>
      </w:pPr>
      <w:r>
        <w:rPr>
          <w:b w:val="0"/>
          <w:i w:val="0"/>
        </w:rPr>
        <w:t>6 Chiêu trò thao túng lợi nhuận số 4: Chuyển chi phí hiện tại sang kỳ sau</w:t>
      </w:r>
    </w:p>
    <w:p>
      <w:pPr>
        <w:spacing w:after="80"/>
      </w:pPr>
      <w:r>
        <w:rPr>
          <w:b w:val="0"/>
          <w:i w:val="0"/>
        </w:rPr>
        <w:t>7 Chiêu trò thao túng lợi nhuận số 5: Dùng các thủ thuật khác để che giấu chi phí hoặc lỗ</w:t>
      </w:r>
    </w:p>
    <w:p>
      <w:pPr>
        <w:spacing w:after="80"/>
      </w:pPr>
      <w:r>
        <w:rPr>
          <w:b w:val="0"/>
          <w:i w:val="0"/>
        </w:rPr>
        <w:t>8 Chiêu trò thao túng lợi nhuận số 6: Chuyển thu nhập hiện tại sang kỳ sau</w:t>
      </w:r>
    </w:p>
    <w:p>
      <w:pPr>
        <w:spacing w:after="80"/>
      </w:pPr>
      <w:r>
        <w:rPr>
          <w:b w:val="0"/>
          <w:i w:val="0"/>
        </w:rPr>
        <w:t>9 Chiêu trò thao túng lợi nhuận số 7: Chuyển chi phí tương lai về kỳ hiện tại</w:t>
      </w:r>
    </w:p>
    <w:p>
      <w:pPr>
        <w:spacing w:after="80"/>
      </w:pPr>
      <w:r>
        <w:rPr>
          <w:b w:val="0"/>
          <w:i w:val="0"/>
        </w:rPr>
        <w:t>PHẦN BA</w:t>
      </w:r>
      <w:r>
        <w:br/>
      </w:r>
      <w:r>
        <w:rPr>
          <w:b w:val="0"/>
          <w:i w:val="0"/>
        </w:rPr>
        <w:t>NHỮNG CHIÊU TRÒ DÒNG TIỀN</w:t>
      </w:r>
    </w:p>
    <w:p>
      <w:pPr>
        <w:spacing w:after="80"/>
      </w:pPr>
      <w:r>
        <w:rPr>
          <w:b w:val="0"/>
          <w:i w:val="0"/>
        </w:rPr>
        <w:t>10 Chiêu trò dòng tiền số 1: Chuyển dòng tiền vào từ hoạt động tài chính sang phần hoạt động kinh doanh</w:t>
      </w:r>
    </w:p>
    <w:p>
      <w:pPr>
        <w:spacing w:after="80"/>
      </w:pPr>
      <w:r>
        <w:rPr>
          <w:b w:val="0"/>
          <w:i w:val="0"/>
        </w:rPr>
        <w:t>11 Chiêu trò dòng tiền số 2: Chuyển dòng tiền ra từ hoạt động kinh doanh sang các phần khác</w:t>
      </w:r>
    </w:p>
    <w:p>
      <w:pPr>
        <w:spacing w:after="80"/>
      </w:pPr>
      <w:r>
        <w:rPr>
          <w:b w:val="0"/>
          <w:i w:val="0"/>
        </w:rPr>
        <w:t>12 Chiêu trò dòng tiền số 3: Đẩy dòng tiền từ hoạt động kinh doanh lên bằng các hoạt động không bền vững</w:t>
      </w:r>
    </w:p>
    <w:p>
      <w:pPr>
        <w:spacing w:after="80"/>
      </w:pPr>
      <w:r>
        <w:rPr>
          <w:b w:val="0"/>
          <w:i w:val="0"/>
        </w:rPr>
        <w:t>PHẦN BỐN</w:t>
      </w:r>
      <w:r>
        <w:br/>
      </w:r>
      <w:r>
        <w:rPr>
          <w:b w:val="0"/>
          <w:i w:val="0"/>
        </w:rPr>
        <w:t>NHỮNG CHIÊU TRÒ VỚI CHỈ SỐ QUAN TRỌNG</w:t>
      </w:r>
    </w:p>
    <w:p>
      <w:pPr>
        <w:spacing w:after="80"/>
      </w:pPr>
      <w:r>
        <w:rPr>
          <w:b w:val="0"/>
          <w:i w:val="0"/>
        </w:rPr>
        <w:t>13 Chiêu trò số 1 với chỉ số quan trọng: Phô diễn những chỉ số gây hiểu lầm khiến hiệu suất trông tốt hơn thực tế</w:t>
      </w:r>
    </w:p>
    <w:p>
      <w:pPr>
        <w:spacing w:after="80"/>
      </w:pPr>
      <w:r>
        <w:rPr>
          <w:b w:val="0"/>
          <w:i w:val="0"/>
        </w:rPr>
        <w:t>14 Chiêu trò số 2 với chỉ số quan trọng: Bóp méo các chỉ số trên bảng cân đối kế toán để tránh phải cho thấy sự suy thoái</w:t>
      </w:r>
    </w:p>
    <w:p>
      <w:pPr>
        <w:spacing w:after="80"/>
      </w:pPr>
      <w:r>
        <w:rPr>
          <w:b w:val="0"/>
          <w:i w:val="0"/>
        </w:rPr>
        <w:t>PHẦN NĂM</w:t>
      </w:r>
      <w:r>
        <w:br/>
      </w:r>
      <w:r>
        <w:rPr>
          <w:b w:val="0"/>
          <w:i w:val="0"/>
        </w:rPr>
        <w:t>NHỮNG CHIÊU TRÒ KẾ TOÁN MUA BÁN - SÁP NHẬP</w:t>
      </w:r>
    </w:p>
    <w:p>
      <w:pPr>
        <w:spacing w:after="80"/>
      </w:pPr>
      <w:r>
        <w:rPr>
          <w:b w:val="0"/>
          <w:i w:val="0"/>
        </w:rPr>
        <w:t>15 Chiêu trò kế toán mua bán - sáp nhập số 1: Thổi phồng doanh thu và lợi nhuận một cách nhân tạo</w:t>
      </w:r>
    </w:p>
    <w:p>
      <w:pPr>
        <w:spacing w:after="80"/>
      </w:pPr>
      <w:r>
        <w:rPr>
          <w:b w:val="0"/>
          <w:i w:val="0"/>
        </w:rPr>
        <w:t>16 Chiêu trò kế toán mua bán - sáp nhập số 2: Thổi phồng dòng tiền được báo cáo</w:t>
      </w:r>
    </w:p>
    <w:p>
      <w:pPr>
        <w:spacing w:after="80"/>
      </w:pPr>
      <w:r>
        <w:rPr>
          <w:b w:val="0"/>
          <w:i w:val="0"/>
        </w:rPr>
        <w:t>17 Chiêu trò kế toán mua bán - sáp nhập số 3: Thao túng các chỉ số quan trọng</w:t>
      </w:r>
    </w:p>
    <w:p>
      <w:pPr>
        <w:spacing w:after="80"/>
      </w:pPr>
      <w:r>
        <w:rPr>
          <w:b w:val="0"/>
          <w:i w:val="0"/>
        </w:rPr>
        <w:t>PHẦN SÁU</w:t>
      </w:r>
      <w:r>
        <w:br/>
      </w:r>
      <w:r>
        <w:rPr>
          <w:b w:val="0"/>
          <w:i w:val="0"/>
        </w:rPr>
        <w:t>GHÉP TẤT CẢ LẠI VỚI NHAU</w:t>
      </w:r>
    </w:p>
    <w:p>
      <w:pPr>
        <w:spacing w:after="80"/>
      </w:pPr>
      <w:r>
        <w:rPr>
          <w:b w:val="0"/>
          <w:i w:val="0"/>
        </w:rPr>
        <w:t>18 Sự bại lộ</w:t>
      </w:r>
    </w:p>
    <w:p>
      <w:pPr>
        <w:spacing w:after="80"/>
      </w:pPr>
      <w:r>
        <w:rPr>
          <w:b w:val="0"/>
          <w:i w:val="0"/>
        </w:rPr>
        <w:t>19 Tư duy điều tra</w:t>
      </w:r>
    </w:p>
    <w:p>
      <w:pPr>
        <w:spacing w:after="80"/>
      </w:pPr>
      <w:r>
        <w:rPr>
          <w:b w:val="0"/>
          <w:i w:val="0"/>
        </w:rPr>
        <w:t>Mục lục tra cứu</w:t>
      </w:r>
    </w:p>
    <w:p>
      <w:pPr>
        <w:spacing w:after="80"/>
      </w:pPr>
      <w:r>
        <w:rPr>
          <w:b w:val="0"/>
          <w:i w:val="0"/>
        </w:rPr>
        <w:t>Lời cảm ơn</w:t>
      </w:r>
    </w:p>
    <w:p>
      <w:pPr>
        <w:pStyle w:val="Heading2"/>
      </w:pPr>
      <w:r>
        <w:rPr>
          <w:rFonts w:ascii="Calibri" w:hAnsi="Calibri"/>
          <w:b/>
          <w:i w:val="0"/>
          <w:sz w:val="32"/>
        </w:rPr>
        <w:t>Lời nói đầu</w:t>
      </w:r>
    </w:p>
    <w:p>
      <w:pPr>
        <w:spacing w:after="80"/>
      </w:pPr>
      <w:r>
        <w:rPr>
          <w:b w:val="0"/>
          <w:i w:val="0"/>
        </w:rPr>
        <w:t>Nhìn lại 25 năm qua của tôi</w:t>
      </w:r>
    </w:p>
    <w:p>
      <w:pPr>
        <w:spacing w:after="80"/>
      </w:pPr>
      <w:r>
        <w:rPr>
          <w:b w:val="0"/>
          <w:i w:val="0"/>
        </w:rPr>
        <w:t>Howard Schilit</w:t>
      </w:r>
    </w:p>
    <w:p>
      <w:pPr>
        <w:spacing w:after="80"/>
      </w:pPr>
      <w:r>
        <w:rPr>
          <w:b w:val="0"/>
          <w:i w:val="0"/>
        </w:rPr>
        <w:t>Mùa thu 2017</w:t>
      </w:r>
    </w:p>
    <w:p>
      <w:pPr>
        <w:spacing w:after="80"/>
      </w:pPr>
      <w:r>
        <w:rPr>
          <w:b w:val="0"/>
          <w:i w:val="0"/>
        </w:rPr>
        <w:t>Bạn thân mến,</w:t>
      </w:r>
    </w:p>
    <w:p>
      <w:pPr>
        <w:spacing w:after="80"/>
      </w:pPr>
      <w:r>
        <w:rPr>
          <w:b w:val="0"/>
          <w:i w:val="0"/>
        </w:rPr>
        <w:t xml:space="preserve">Gần đây tôi vừa đón sinh nhật lần thứ sáu mươi lăm của mình, và tôi bắt đầu ngẫm nghĩ về cuộc đời mình cùng bao nhiêu thay đổi trong suốt một phần tư thế kỷ kể từ khi viết ấn bản đầu tiên của </w:t>
      </w:r>
      <w:r>
        <w:rPr>
          <w:b w:val="0"/>
          <w:i/>
        </w:rPr>
        <w:t>Financial Shenanigans</w:t>
      </w:r>
      <w:r>
        <w:rPr>
          <w:b w:val="0"/>
          <w:i w:val="0"/>
        </w:rPr>
        <w:t>. Nói ngắn gọn, tôi cảm thấy mình vô cùng may mắn. Ở khía cạnh cá nhân, vợ tôi là Diane và tôi rất thích dành thời gian bên ba đứa cháu nhỏ, và đang háo hức chờ đón đứa cháu thứ tư. Về mặt công việc, tôi đang tận hưởng niềm vui xây dựng doanh nghiệp thứ hai của mình, một công ty tư vấn kế toán điều tra (forensic accounting) mang tên Schilit Forensics, cùng với những đối tác và đồng tác giả tuyệt vời của tôi là Jeremy Perler và Yoni Engelhart.</w:t>
      </w:r>
    </w:p>
    <w:p>
      <w:pPr>
        <w:spacing w:after="80"/>
      </w:pPr>
      <w:r>
        <w:rPr>
          <w:b w:val="0"/>
          <w:i w:val="0"/>
        </w:rPr>
        <w:t xml:space="preserve">Ngoài các dự án nghiên cứu mà chúng tôi thực hiện cho khách hàng, chúng tôi cũng dành khá nhiều thời gian để giảng dạy nghề kế toán điều tra (forensic accounting) — cho các nhà đầu tư, cơ quan quản lý, nhà báo và sinh viên cao học. Sau một buổi thuyết trình gần đây tại Trường Kinh doanh Sau đại học Stanford (Stanford’s Graduate School of Business), tôi và các đối tác nhận ra rằng đã bảy năm dài trôi qua kể từ khi ấn bản cuối cùng của </w:t>
      </w:r>
      <w:r>
        <w:rPr>
          <w:b w:val="0"/>
          <w:i/>
        </w:rPr>
        <w:t>Financial Shenanigans</w:t>
      </w:r>
      <w:r>
        <w:rPr>
          <w:b w:val="0"/>
          <w:i w:val="0"/>
        </w:rPr>
        <w:t xml:space="preserve"> được xuất bản, và gần 25 năm đã trôi qua kể từ ấn bản đầu tiên. Trong khoảng thời gian đó, hơn 100.000 độc giả trên khắp thế giới đã mua cuốn sách này, bao gồm cả các bản dịch tiếng Trung, tiếng Nhật và tiếng Hàn. Chúng tôi đã học được rất nhiều điều trong những năm qua, và vì thế chúng tôi thấy đã đến lúc chia sẻ với bạn những thủ thuật kế toán mới nhất cũng như một bản tổng kết kỹ lưỡng hơn về những bài học quan trọng nhất của một phần tư thế kỷ vừa qua.</w:t>
      </w:r>
    </w:p>
    <w:p>
      <w:pPr>
        <w:spacing w:after="80"/>
      </w:pPr>
      <w:r>
        <w:rPr>
          <w:b w:val="0"/>
          <w:i w:val="0"/>
        </w:rPr>
        <w:t xml:space="preserve">Nhưng trước khi lật sang trang để bắt đầu ấn bản mới này của </w:t>
      </w:r>
      <w:r>
        <w:rPr>
          <w:b w:val="0"/>
          <w:i/>
        </w:rPr>
        <w:t>Financial Shenanigans</w:t>
      </w:r>
      <w:r>
        <w:rPr>
          <w:b w:val="0"/>
          <w:i w:val="0"/>
        </w:rPr>
        <w:t>, hãy cùng quay ngược đồng hồ 25 năm để kể lại khởi đầu hành trình tìm kiếm những “trò lừa đảo” (shenanigans) của tôi và chặng đường đầy bất ngờ và thú vị kể từ năm 1990.</w:t>
      </w:r>
    </w:p>
    <w:p>
      <w:pPr>
        <w:pStyle w:val="Heading3"/>
      </w:pPr>
      <w:r>
        <w:rPr>
          <w:rFonts w:ascii="Calibri" w:hAnsi="Calibri"/>
          <w:b/>
          <w:i w:val="0"/>
          <w:sz w:val="26"/>
        </w:rPr>
        <w:t>Khởi đầu — Đầu thập niên 1990</w:t>
      </w:r>
    </w:p>
    <w:p>
      <w:pPr>
        <w:spacing w:after="80"/>
      </w:pPr>
      <w:r>
        <w:rPr>
          <w:b w:val="0"/>
          <w:i w:val="0"/>
        </w:rPr>
        <w:t>Khi còn là giáo sư kế toán tại Đại học American ở Washington, D.C., tôi bắt đầu nghiên cứu những vụ gian lận kế toán nổi bật nhất trong 40 năm trước đó. Nhiều vụ đã được ghi lại trong các Bản Công bố Thực thi Kế toán và Kiểm toán (Accounting and Auditing Enforcement Releases – AAER) tại Ủy ban Chứng khoán và Giao dịch Hoa Kỳ (SEC). Tôi bắt đầu sử dụng nhiều câu chuyện thú vị đó để giảng dạy cho các lớp Kế toán Trung cấp và Kiểm toán của mình. Khi thấy sinh viên vô cùng thích thú với những câu chuyện ấy, tôi bắt đầu viết bài về chủ đề này để chia sẻ với nhiều người hơn. Và tất nhiên, bước tiếp theo hợp lý để tiếp cận lượng độc giả còn lớn hơn nữa chính là viết một cuốn sách.</w:t>
      </w:r>
    </w:p>
    <w:p>
      <w:pPr>
        <w:pStyle w:val="Heading3"/>
      </w:pPr>
      <w:r>
        <w:rPr>
          <w:rFonts w:ascii="Calibri" w:hAnsi="Calibri"/>
          <w:b/>
          <w:i w:val="0"/>
          <w:sz w:val="26"/>
        </w:rPr>
        <w:t xml:space="preserve">Xuất bản </w:t>
      </w:r>
      <w:r>
        <w:rPr>
          <w:rFonts w:ascii="Calibri" w:hAnsi="Calibri"/>
          <w:b/>
          <w:i/>
          <w:sz w:val="26"/>
        </w:rPr>
        <w:t>Financial Shenanigans</w:t>
      </w:r>
      <w:r>
        <w:rPr>
          <w:rFonts w:ascii="Calibri" w:hAnsi="Calibri"/>
          <w:b/>
          <w:i w:val="0"/>
          <w:sz w:val="26"/>
        </w:rPr>
        <w:t xml:space="preserve"> và Những năm đầu làm doanh nhân</w:t>
      </w:r>
    </w:p>
    <w:p>
      <w:pPr>
        <w:spacing w:after="80"/>
      </w:pPr>
      <w:r>
        <w:rPr>
          <w:b w:val="0"/>
          <w:i w:val="0"/>
        </w:rPr>
        <w:t xml:space="preserve">Không lâu sau sinh nhật lần thứ bốn mươi mốt của tôi, vào đầu năm 1993, McGraw-Hill đã xuất bản ấn bản đầu tiên của </w:t>
      </w:r>
      <w:r>
        <w:rPr>
          <w:b w:val="0"/>
          <w:i/>
        </w:rPr>
        <w:t>Financial Shenanigans</w:t>
      </w:r>
      <w:r>
        <w:rPr>
          <w:b w:val="0"/>
          <w:i w:val="0"/>
        </w:rPr>
        <w:t>. Cuốn sách giới thiệu với độc giả bảy nhóm lớn về việc xuyên tạc lợi nhuận, chỉ ra 20 kỹ thuật riêng biệt mà ban lãnh đạo có thể sử dụng, và điểm xuyết thêm nhiều ví dụ về các công ty thực tế từng bị xử phạt vì lừa dối nhà đầu tư.</w:t>
      </w:r>
    </w:p>
    <w:p>
      <w:pPr>
        <w:spacing w:after="80"/>
      </w:pPr>
      <w:r>
        <w:rPr>
          <w:b w:val="0"/>
          <w:i w:val="0"/>
        </w:rPr>
        <w:t>Sau khi cuốn sách ra mắt, có vài điều bất ngờ thú vị xuất hiện. Thứ nhất, rất nhiều độc giả liên hệ để cảm ơn tôi vì đã làm sáng tỏ những bước mà nhà đầu tư có thể thực hiện để bảo vệ tài sản của mình. Thứ hai, cuốn sách đã len vào hàng ngũ các nhà đầu tư tổ chức lớn, những người tìm cách thuê tôi để huấn luyện các chuyên viên phân tích của họ cách nhận diện những công ty đang chơi trò kế toán. Cuối cùng, họ bắt đầu đề nghị tôi kiểm tra các công ty trong danh mục đầu tư của họ. May mắn thay, trong một vài trường hợp, tôi đã có thể dùng những kỹ thuật này để cảnh báo họ về những vấn đề nghiêm trọng, và họ vô cùng biết ơn vì tôi đã giúp họ tránh khỏi nguy hiểm.</w:t>
      </w:r>
    </w:p>
    <w:p>
      <w:pPr>
        <w:pStyle w:val="Heading3"/>
      </w:pPr>
      <w:r>
        <w:rPr>
          <w:rFonts w:ascii="Calibri" w:hAnsi="Calibri"/>
          <w:b/>
          <w:i w:val="0"/>
          <w:sz w:val="26"/>
        </w:rPr>
        <w:t>Thành lập Trung tâm Nghiên cứu &amp; Phân tích Tài chính (CFRA) năm 1994</w:t>
      </w:r>
    </w:p>
    <w:p>
      <w:pPr>
        <w:spacing w:after="80"/>
      </w:pPr>
      <w:r>
        <w:rPr>
          <w:b w:val="0"/>
          <w:i w:val="0"/>
        </w:rPr>
        <w:t xml:space="preserve">Năm 1993 là một năm đầy biến cố với việc xuất bản </w:t>
      </w:r>
      <w:r>
        <w:rPr>
          <w:b w:val="0"/>
          <w:i/>
        </w:rPr>
        <w:t>Financial Shenanigans</w:t>
      </w:r>
      <w:r>
        <w:rPr>
          <w:b w:val="0"/>
          <w:i w:val="0"/>
        </w:rPr>
        <w:t xml:space="preserve"> và lần đầu tôi gặp gỡ một số nhà đầu tư có tầm ảnh hưởng, nhưng thật không thể nào đoán trước được những thay đổi kịch tính diễn ra sau đó vào năm 1994 khi tôi thành lập Trung tâm Nghiên cứu và Phân tích Tài chính (Center for Financial Research and Analysis – CFRA). Từ căn phòng trống trong nhà mình, tôi bắt đầu xuất bản một bản tin hàng tháng nêu bật những công ty mà tôi cho là đang gặp khó khăn nhưng lại dùng thủ thuật kế toán để che giấu vấn đề. Vào ngày mười lăm mỗi tháng, tôi gửi báo cáo qua dịch vụ chuyển phát qua đêm cho các thuê bao của mình. (Bạn nhớ nhé, hồi đó chúng ta vẫn còn sống trong “thời kỳ đồ đá” trước khi có Internet và e-mail.) Thật may mắn, dịch vụ này được đón nhận nồng nhiệt, và hơn 60 công ty đầu tư đã trở thành thuê bao trong năm đầu tiên của chúng tôi.</w:t>
      </w:r>
    </w:p>
    <w:p>
      <w:pPr>
        <w:pStyle w:val="Heading3"/>
      </w:pPr>
      <w:r>
        <w:rPr>
          <w:rFonts w:ascii="Calibri" w:hAnsi="Calibri"/>
          <w:b/>
          <w:i w:val="0"/>
          <w:sz w:val="26"/>
        </w:rPr>
        <w:t>Chuyển từ giáo sư thành doanh nhân toàn thời gian</w:t>
      </w:r>
    </w:p>
    <w:p>
      <w:pPr>
        <w:spacing w:after="80"/>
      </w:pPr>
      <w:r>
        <w:rPr>
          <w:b w:val="0"/>
          <w:i w:val="0"/>
        </w:rPr>
        <w:t>Năm 1995, tôi từ chức vị trí giảng dạy biên chế (tenured) tại Đại học American để toàn tâm toàn ý dành cho công việc kinh doanh đang phát triển. Tôi thuê văn phòng và bắt đầu tuyển một đội ngũ chuyên viên phân tích; CFRA đã cất cánh. Đến năm 1999, chúng tôi bắt đầu đăng các cảnh báo cho khách hàng trực tuyến và gửi e-mail. (Hoan hô, không còn phải in ấn, sắp xếp báo cáo rồi gửi qua dịch vụ chuyển phát qua đêm nữa.) Số lượng khách hàng của chúng tôi tăng đáng kể khi chúng tôi trở thành một nhân tố quan trọng trên Phố Wall và khắp thế giới, với khách hàng ở năm châu lục và văn phòng tại Washington, D.C., London, New York và Boston.</w:t>
      </w:r>
    </w:p>
    <w:p>
      <w:pPr>
        <w:pStyle w:val="Heading3"/>
      </w:pPr>
      <w:r>
        <w:rPr>
          <w:rFonts w:ascii="Calibri" w:hAnsi="Calibri"/>
          <w:b/>
          <w:i w:val="0"/>
          <w:sz w:val="26"/>
        </w:rPr>
        <w:t>Những năm sau đó điều hành CFRA và thương vụ bán công ty</w:t>
      </w:r>
    </w:p>
    <w:p>
      <w:pPr>
        <w:spacing w:after="80"/>
      </w:pPr>
      <w:r>
        <w:rPr>
          <w:b w:val="0"/>
          <w:i w:val="0"/>
        </w:rPr>
        <w:t>Trong đầu thập niên 2000, các vụ bê bối kế toán lan tràn, với gian lận bị phanh phui tại Enron, WorldCom và Tyco. Ủy ban Các vấn đề Chính phủ của Thượng viện Hoa Kỳ, khi điều tra vụ gian lận Enron, đã mời tôi ra làm chứng vào tháng 2 năm 2002. Tôi thường xuyên được phỏng vấn trên TV và báo chí về việc sử dụng ngày càng nhiều các thủ thuật kế toán.</w:t>
      </w:r>
    </w:p>
    <w:p>
      <w:pPr>
        <w:spacing w:after="80"/>
      </w:pPr>
      <w:r>
        <w:rPr>
          <w:b w:val="0"/>
          <w:i w:val="0"/>
        </w:rPr>
        <w:t xml:space="preserve">Tháng 4 năm 2002, ấn bản thứ hai của </w:t>
      </w:r>
      <w:r>
        <w:rPr>
          <w:b w:val="0"/>
          <w:i/>
        </w:rPr>
        <w:t>Financial Shenanigans</w:t>
      </w:r>
      <w:r>
        <w:rPr>
          <w:b w:val="0"/>
          <w:i w:val="0"/>
        </w:rPr>
        <w:t xml:space="preserve"> được phát hành, và doanh số tăng vọt khi thị trường chứng khoán bị hoảng sợ bởi một chuỗi dường như bất tận các công ty sử dụng thủ thuật kế toán.</w:t>
      </w:r>
    </w:p>
    <w:p>
      <w:pPr>
        <w:spacing w:after="80"/>
      </w:pPr>
      <w:r>
        <w:rPr>
          <w:b w:val="0"/>
          <w:i w:val="0"/>
        </w:rPr>
        <w:t>Như bạn có thể hình dung, đó là khoảng thời gian hoàng kim của CFRA. Chỉ riêng năm 2002, hơn 200 người đăng ký mới đã đăng ký sản phẩm nghiên cứu của chúng tôi, và đến cuối năm đó, chúng tôi đã phục vụ hơn 500 khách hàng. Các công ty đầu tư cần thêm sự hỗ trợ trong việc giám sát các công ty trong danh mục đầu tư của họ, và những nhà bán khống (short seller) thì đang rình rập tìm kiếm “Enron tiếp theo.” Trong giai đoạn bận rộn này tại CFRA, chúng tôi đã tuyển thêm các nhà phân tích, và thật may mắn, cả Jeremy lẫn Yoni đều gia nhập công ty và nhanh chóng trở thành những người dẫn dắt. Jeremy cuối cùng trở thành trưởng bộ phận nghiên cứu toàn cầu, còn Yoni lãnh đạo nhóm nghiên cứu định lượng của chúng tôi và phụ trách chiến lược kinh doanh cho công ty.</w:t>
      </w:r>
    </w:p>
    <w:p>
      <w:pPr>
        <w:spacing w:after="80"/>
      </w:pPr>
      <w:r>
        <w:rPr>
          <w:b w:val="0"/>
          <w:i w:val="0"/>
        </w:rPr>
        <w:t>Đầu năm 2003, một số nhà thâu tóm tiềm năng gõ cửa, và tôi quyết định bán phần lớn cổ phần cho công ty cổ phần tư nhân (private equity) TA Associates có trụ sở tại Boston. Jeremy và Yoni vẫn ở lại CFRA thêm vài năm nữa, trong khi tôi rời bỏ công việc điều hành kinh doanh hằng ngày và bắt đầu “những năm ngủ đông” của mình, tuân thủ một thỏa thuận không cạnh tranh (noncompete) dài hạn, có hiệu lực cho đến cuối năm 2010. Yoni rời đi để theo học Harvard Business School vào năm 2008, và sau khi tốt nghiệp, anh làm việc cho một công ty quản lý đầu tư ở Boston. Jeremy ở lại CFRA đến năm 2011 rồi trở thành chuyên gia kế toán pháp y (forensic accounting) tại một quỹ đầu cơ (hedge fund) nổi tiếng.</w:t>
      </w:r>
    </w:p>
    <w:p>
      <w:pPr>
        <w:pStyle w:val="Heading3"/>
      </w:pPr>
      <w:r>
        <w:rPr>
          <w:rFonts w:ascii="Calibri" w:hAnsi="Calibri"/>
          <w:b/>
          <w:i w:val="0"/>
          <w:sz w:val="26"/>
        </w:rPr>
        <w:t xml:space="preserve">Những năm thầm lặng và sự ra đời của ấn bản thứ ba cuốn </w:t>
      </w:r>
      <w:r>
        <w:rPr>
          <w:rFonts w:ascii="Calibri" w:hAnsi="Calibri"/>
          <w:b/>
          <w:i/>
          <w:sz w:val="26"/>
        </w:rPr>
        <w:t>Financial Shenanigans</w:t>
      </w:r>
    </w:p>
    <w:p>
      <w:pPr>
        <w:spacing w:after="80"/>
      </w:pPr>
      <w:r>
        <w:rPr>
          <w:b w:val="0"/>
          <w:i w:val="0"/>
        </w:rPr>
        <w:t xml:space="preserve">Những năm nghỉ hưu của tôi gắn liền với rất nhiều chuyến đi, vẫn tổ chức các buổi hội thảo cho các nhóm đầu tư và sinh viên MBA. Đến năm 2009, tôi háo hức muốn chia sẻ một số ý tưởng mới của mình và tôi đã ngỏ lời với Jeremy về việc hợp tác cùng tôi đồng viết ấn bản thứ ba của </w:t>
      </w:r>
      <w:r>
        <w:rPr>
          <w:b w:val="0"/>
          <w:i/>
        </w:rPr>
        <w:t>Financial Shenanigans</w:t>
      </w:r>
      <w:r>
        <w:rPr>
          <w:b w:val="0"/>
          <w:i w:val="0"/>
        </w:rPr>
        <w:t>. Chúng tôi làm việc rất sát sao với cuốn sách trong suốt mùa hè và đầu mùa thu năm 2009, và cuốn sách được phát hành vào tháng Tư năm sau. Biết rằng thỏa thuận không cạnh tranh của mình sẽ kết thúc vào cuối năm đó, tôi trở nên tích cực hơn nhiều trên vòng diễn thuyết, tổ chức các buổi hội thảo và phỏng vấn cũng như thực hiện nghiên cứu chuyên sâu về các công ty. Tôi vô cùng phấn khích khi được tái xuất sau thời gian nghỉ hưu và xây dựng một doanh nghiệp mới từ con số không.</w:t>
      </w:r>
    </w:p>
    <w:p>
      <w:pPr>
        <w:pStyle w:val="Heading3"/>
      </w:pPr>
      <w:r>
        <w:rPr>
          <w:rFonts w:ascii="Calibri" w:hAnsi="Calibri"/>
          <w:b/>
          <w:i w:val="0"/>
          <w:sz w:val="26"/>
        </w:rPr>
        <w:t>Xây dựng doanh nghiệp thứ hai: Schilit Forensics LLC</w:t>
      </w:r>
    </w:p>
    <w:p>
      <w:pPr>
        <w:spacing w:after="80"/>
      </w:pPr>
      <w:r>
        <w:rPr>
          <w:b w:val="0"/>
          <w:i w:val="0"/>
        </w:rPr>
        <w:t xml:space="preserve">Đến cuối năm 2010, thỏa thuận không cạnh tranh của tôi đã kết thúc, doanh số của ấn bản thứ ba cuốn </w:t>
      </w:r>
      <w:r>
        <w:rPr>
          <w:b w:val="0"/>
          <w:i/>
        </w:rPr>
        <w:t>Financial Shenanigans</w:t>
      </w:r>
      <w:r>
        <w:rPr>
          <w:b w:val="0"/>
          <w:i w:val="0"/>
        </w:rPr>
        <w:t xml:space="preserve"> rất chạy, và giới truyền thông đã để ý đến sự trở lại của tôi sau thời gian nghỉ hưu. </w:t>
      </w:r>
      <w:r>
        <w:rPr>
          <w:b w:val="0"/>
          <w:i/>
        </w:rPr>
        <w:t>Barron’s</w:t>
      </w:r>
      <w:r>
        <w:rPr>
          <w:b w:val="0"/>
          <w:i w:val="0"/>
        </w:rPr>
        <w:t xml:space="preserve"> đã đăng một bài viết có tựa đề “A Financial Sleuth Finds a World of Abuse.”</w:t>
      </w:r>
    </w:p>
    <w:p>
      <w:pPr>
        <w:spacing w:after="80"/>
      </w:pPr>
      <w:r>
        <w:rPr>
          <w:b w:val="0"/>
          <w:i w:val="0"/>
        </w:rPr>
        <w:t>Vậy nên vào năm 2011, tôi thành lập Schilit Forensics LLC ở quy mô nhỏ, chỉ nhận một vài khách hàng để thử sức xem sao. Tôi cố ý làm chậm rãi, vì việc chuyển từ cuộc sống nhàn nhã sang cam kết toàn thời gian có vẻ khá đáng sợ. Khách hàng ký các thỏa thuận ba tháng để tôi giúp gỡ rối những vấn đề phức tạp xoay quanh kế toán. Khác với doanh nghiệp đầu tiên của tôi, Schilit Forensics hoạt động như một đơn vị tư vấn được thuê để thực hiện các dự án nghiên cứu theo yêu cầu, chứ không phải một dịch vụ đăng ký bán bản tin.</w:t>
      </w:r>
    </w:p>
    <w:p>
      <w:pPr>
        <w:spacing w:after="80"/>
      </w:pPr>
      <w:r>
        <w:rPr>
          <w:b w:val="0"/>
          <w:i w:val="0"/>
        </w:rPr>
        <w:t>Tôi thực sự thích thú với bản chất công việc và sự tương tác gần gũi với một nhóm nhỏ khách hàng vô cùng trân trọng tôi. Vào tháng 3 năm 2013, Jeremy làm tôi bất ngờ bằng một cuộc điện thoại đầy hứa hẹn. Anh vẫn đang làm việc tại quỹ đầu cơ đó, và dù rất hạnh phúc ở đó, anh đang nghĩ đến những cách khởi nghiệp hơn để phát huy chuyên môn kế toán pháp y của mình. Cả hai chúng tôi nhanh chóng nhận ra rằng chúng tôi nên bắt tay nhau để phát triển Schilit Forensics hơn nữa. Cuối tuần đó, anh bay đến ngôi nhà mùa đông của tôi ở Florida, và chúng tôi chính thức hóa quan hệ đối tác.</w:t>
      </w:r>
    </w:p>
    <w:p>
      <w:pPr>
        <w:spacing w:after="80"/>
      </w:pPr>
      <w:r>
        <w:rPr>
          <w:b w:val="0"/>
          <w:i w:val="0"/>
        </w:rPr>
        <w:t>Chỉ vài tháng sau, Jeremy và tôi ngỏ lời với người bạn thân và đồng nghiệp cũ Yoni về việc gia nhập cùng chúng tôi với tư cách đối tác thứ ba. Anh đang gặt hái thành công lớn tại một công ty đầu tư danh giá nhưng ấp ủ một khát khao mạnh mẽ muốn phát huy tinh thần khởi nghiệp của mình. Sự nhiệt huyết của Yoni cũng giống như của chúng tôi, và anh gia nhập Schilit Forensics vào tháng 7 năm 2013. Ba chúng tôi giờ đây đã bước sang năm thứ năm làm việc cùng nhau, và chúng tôi đã xây dựng được một đội ngũ nhà phân tích ấn tượng cùng một danh sách khách hàng đa dạng. Mỗi ngày, chúng tôi đọc kỹ những dòng chữ nhỏ trong các hồ sơ pháp lý, bài thuyết trình nhà đầu tư và các tài liệu khác để nhận diện dấu hiệu của những vấn đề kinh doanh trước khi chúng lộ diện. Nhờ đó, chúng tôi có thể giúp khách hàng đưa ra những quyết định đầu tư tốt hơn.</w:t>
      </w:r>
    </w:p>
    <w:p>
      <w:pPr>
        <w:spacing w:after="80"/>
      </w:pPr>
      <w:r>
        <w:rPr>
          <w:b w:val="0"/>
          <w:i w:val="0"/>
        </w:rPr>
        <w:t xml:space="preserve">Tôi và các đối tác thực sự yêu thích việc dạy cho khách hàng và những học viên háo hức về cách phát hiện các công ty đang cố che giấu vấn đề hoạt động bằng những trò chơi kế toán sáng tạo. Và với cùng niềm phấn khích đó, chúng tôi rất vui được truyền đạt một phần tư thế kỷ những bài học và kinh nghiệm của mình đến với các bạn, những độc giả và người bạn của chúng tôi, trong ấn bản đặc biệt mới này của </w:t>
      </w:r>
      <w:r>
        <w:rPr>
          <w:b w:val="0"/>
          <w:i/>
        </w:rPr>
        <w:t>Financial Shenanigans</w:t>
      </w:r>
      <w:r>
        <w:rPr>
          <w:b w:val="0"/>
          <w:i w:val="0"/>
        </w:rPr>
        <w:t>. Chúc các bạn đọc vui vẻ và hãy thoải mái liên hệ nhé!</w:t>
      </w:r>
    </w:p>
    <w:p>
      <w:pPr>
        <w:spacing w:after="80"/>
      </w:pPr>
      <w:r>
        <w:rPr>
          <w:b w:val="0"/>
          <w:i w:val="0"/>
        </w:rPr>
        <w:t xml:space="preserve">Howard M. Schilit </w:t>
      </w:r>
      <w:r>
        <w:br/>
      </w:r>
      <w:r>
        <w:rPr>
          <w:b w:val="0"/>
          <w:i w:val="0"/>
        </w:rPr>
        <w:t xml:space="preserve">Nhà sáng lập và CEO </w:t>
      </w:r>
      <w:r>
        <w:br/>
      </w:r>
      <w:r>
        <w:rPr>
          <w:b w:val="0"/>
          <w:i w:val="0"/>
        </w:rPr>
        <w:t>Schilit Forensics LLC</w:t>
      </w:r>
      <w:r>
        <w:br/>
      </w:r>
      <w:r>
        <w:rPr>
          <w:b w:val="0"/>
          <w:i w:val="0"/>
        </w:rPr>
        <w:t>howard@schilit.com</w:t>
      </w:r>
    </w:p>
    <w:p>
      <w:pPr>
        <w:pStyle w:val="Heading1"/>
      </w:pPr>
      <w:r>
        <w:rPr>
          <w:rFonts w:ascii="Calibri" w:hAnsi="Calibri"/>
          <w:b/>
          <w:i w:val="0"/>
          <w:sz w:val="40"/>
        </w:rPr>
        <w:t>PHẦN MỘT</w:t>
      </w:r>
    </w:p>
    <w:p>
      <w:pPr>
        <w:pStyle w:val="Heading1"/>
      </w:pPr>
      <w:r>
        <w:rPr>
          <w:rFonts w:ascii="Calibri" w:hAnsi="Calibri"/>
          <w:b/>
          <w:i w:val="0"/>
          <w:sz w:val="40"/>
        </w:rPr>
        <w:t>XÂY DỰNG NỀN TẢNG</w:t>
      </w:r>
    </w:p>
    <w:p>
      <w:pPr>
        <w:pStyle w:val="Heading2"/>
      </w:pPr>
      <w:r>
        <w:rPr>
          <w:rFonts w:ascii="Calibri" w:hAnsi="Calibri"/>
          <w:b/>
          <w:i w:val="0"/>
          <w:sz w:val="32"/>
        </w:rPr>
        <w:t>1</w:t>
      </w:r>
    </w:p>
    <w:p>
      <w:pPr>
        <w:pStyle w:val="Heading2"/>
      </w:pPr>
      <w:r>
        <w:rPr>
          <w:rFonts w:ascii="Calibri" w:hAnsi="Calibri"/>
          <w:b/>
          <w:i w:val="0"/>
          <w:sz w:val="32"/>
        </w:rPr>
        <w:t>25 năm của những trò gian dối</w:t>
      </w:r>
    </w:p>
    <w:p>
      <w:pPr>
        <w:spacing w:after="80"/>
      </w:pPr>
      <w:r>
        <w:rPr>
          <w:b w:val="0"/>
          <w:i w:val="0"/>
        </w:rPr>
        <w:t>Đầu năm 2001, Joe Nacchio, CEO của Qwest Communications, đứng trên sân khấu tại một cuộc họp toàn công ty và có một bài phát biểu sôi nổi nhằm tiếp thêm năng lượng cho đội ngũ của mình và hướng họ tập trung vào những ưu tiên của ông dành cho công ty. “Điều quan trọng nhất chúng ta làm là đạt được các con số của mình,” Nacchio tuyên bố. “Nó quan trọng hơn bất kỳ sản phẩm riêng lẻ nào, nó quan trọng hơn bất kỳ triết lý riêng lẻ nào, nó quan trọng hơn bất kỳ thay đổi văn hóa nào chúng ta đang thực hiện. Chúng ta dừng mọi thứ khác lại khi chúng ta không đạt được các con số.” Qua lời nói và hành động của mình, Joe Nacchio đã tạo ra một nền văn hóa dẫn đến 2,5 tỷ đô la lợi nhuận ảo, khiến bản thân ông phải vào tù liên bang và tàn phá các nhà đầu tư khi chứng kiến giá cổ phiếu lao dốc 97 phần trăm trong 18 tháng sau bài phát biểu của ông.</w:t>
      </w:r>
    </w:p>
    <w:p>
      <w:pPr>
        <w:spacing w:after="80"/>
      </w:pPr>
      <w:r>
        <w:rPr>
          <w:b w:val="0"/>
          <w:i w:val="0"/>
        </w:rPr>
        <w:t>Các nhà quản lý cấp cao ở mọi công ty đại chúng đều khao khát báo cáo tin tốt và những kết quả tài chính ấn tượng để làm hài lòng nhà đầu tư và đẩy giá cổ phiếu lên cao hơn. Trong khi hầu hết các công ty đều hành xử có đạo đức và tuân thủ luật lệ khi báo cáo hiệu quả tài chính của mình, một số lại lợi dụng những vùng xám trong quy định (hoặc tệ hơn, phớt lờ luật lệ hoàn toàn) để “làm đẹp các con số.”</w:t>
      </w:r>
    </w:p>
    <w:p>
      <w:pPr>
        <w:spacing w:after="80"/>
      </w:pPr>
      <w:r>
        <w:rPr>
          <w:b w:val="0"/>
          <w:i w:val="0"/>
        </w:rPr>
        <w:t>Mong muốn tô hồng kết quả tài chính của các giám đốc điều hành đã tồn tại kể từ khi có các tập đoàn và chính các nhà đầu tư. Những công ty gian dối từ lâu đã dùng những chiêu trò này để săn mồi trên những nhà đầu tư nhẹ dạ, và điều đó khó có thể thay đổi. Như Vua Solomon đã quan sát trong sách Truyền Đạo: “Điều gì đã có sẽ lại có, điều gì đã làm sẽ lại được làm.” Với nhu cầu làm hài lòng nhà đầu tư không bao giờ kết thúc, sự cám dỗ để ban lãnh đạo phóng đại hiệu quả hoạt động của công ty bằng các thủ thuật tài chính sẽ luôn tồn tại.</w:t>
      </w:r>
    </w:p>
    <w:p>
      <w:pPr>
        <w:spacing w:after="80"/>
      </w:pPr>
      <w:r>
        <w:rPr>
          <w:b w:val="0"/>
          <w:i w:val="0"/>
        </w:rPr>
        <w:t>Sức hút của những trò ma mãnh kế toán đặc biệt mạnh mẽ ở những công ty đang chật vật, cố gắng theo kịp kỳ vọng của nhà đầu tư hoặc hiệu quả hoạt động của đối thủ. Và dù nhà đầu tư đã trở nên tinh khôn hơn với những chiêu trò này qua năm tháng, các công ty gian dối vẫn sáng tạo để tìm ra những thủ thuật mới (và tái chế những chiêu cũ khoái khẩu) nhằm lừa gạt cổ đông.</w:t>
      </w:r>
    </w:p>
    <w:p>
      <w:pPr>
        <w:pStyle w:val="Heading3"/>
      </w:pPr>
      <w:r>
        <w:rPr>
          <w:rFonts w:ascii="Calibri" w:hAnsi="Calibri"/>
          <w:b/>
          <w:i w:val="0"/>
          <w:sz w:val="26"/>
        </w:rPr>
        <w:t>Nghệ thuật Lừa gạt Nhà đầu tư</w:t>
      </w:r>
    </w:p>
    <w:p>
      <w:pPr>
        <w:spacing w:after="80"/>
      </w:pPr>
      <w:r>
        <w:rPr>
          <w:b w:val="0"/>
          <w:i w:val="0"/>
        </w:rPr>
        <w:t>Về cốt lõi, cuốn sách này nói về những cách khác nhau mà ban lãnh đạo doanh nghiệp lừa gạt nhà đầu tư. Những chiêu trò này thường nhằm che đậy sự suy thoái nghiêm trọng nào đó trong hoạt động kinh doanh của công ty, chẳng hạn như doanh số chậm lại, biên lợi nhuận thu hẹp, hoặc dòng tiền suy giảm.</w:t>
      </w:r>
    </w:p>
    <w:p>
      <w:pPr>
        <w:spacing w:after="80"/>
      </w:pPr>
      <w:r>
        <w:rPr>
          <w:b w:val="0"/>
          <w:i w:val="0"/>
        </w:rPr>
        <w:t>Trong khi những trò ma mãnh kế toán đã là tai họa cho nhà đầu tư từ thuở xa xưa, thì một phần tư thế kỷ vừa qua đặc biệt khắc nghiệt. Để tự trang bị tốt hơn cho những thách thức không thể tránh khỏi của 25 năm tới, hãy bắt đầu bằng việc xem lại một số nghiên cứu tình huống quan trọng nhất và những bài học then chốt từ một phần tư thế kỷ qua.</w:t>
      </w:r>
    </w:p>
    <w:p>
      <w:pPr>
        <w:pStyle w:val="Heading4"/>
      </w:pPr>
      <w:r>
        <w:rPr>
          <w:rFonts w:ascii="Calibri" w:hAnsi="Calibri"/>
          <w:b/>
          <w:i w:val="0"/>
          <w:sz w:val="23"/>
        </w:rPr>
        <w:t>Waste Management: Nhà đầu tư Không thể Luôn Dựa vào Kiểm toán viên</w:t>
      </w:r>
    </w:p>
    <w:p>
      <w:pPr>
        <w:spacing w:after="80"/>
      </w:pPr>
      <w:r>
        <w:rPr>
          <w:b w:val="0"/>
          <w:i w:val="0"/>
        </w:rPr>
        <w:t>Được SEC mô tả là “một trong những vụ gian lận trắng trợn nhất mà chúng tôi từng thấy,” công ty thu gom rác có trụ sở tại Chicago là Waste Management Inc. (WM) đã thổi phồng lợi nhuận trước thuế của mình lên 1,7 tỷ đô la trong khoảng thời gian sáu năm bắt đầu từ năm 1992. Vào thời điểm đó, đây là vụ khai khống thu nhập lớn nhất trong lịch sử doanh nghiệp Hoa Kỳ.</w:t>
      </w:r>
    </w:p>
    <w:p>
      <w:pPr>
        <w:spacing w:after="80"/>
      </w:pPr>
      <w:r>
        <w:rPr>
          <w:b w:val="0"/>
          <w:i w:val="0"/>
        </w:rPr>
        <w:t>Waste Management đã tăng trưởng vượt bậc trong giai đoạn từ 1993 đến 1995, chi hàng tỷ đô la để thâu tóm tới 441 công ty - một con số không thể tưởng tượng nổi. Kéo theo những thương vụ thâu tóm này là những khoản chi phí đặc biệt không thể tránh khỏi đánh vào thu nhập. Những khoản chi phí “một lần” này trở nên phổ biến đến mức trong giai đoạn bảy năm từ 1991 đến 1997, WM đã ghi giảm tài sản trong sáu năm, tổng cộng 1,6 tỷ đô la. Vì nhà đầu tư thường bỏ qua các khoản chi phí đặc biệt khi đánh giá khả năng sinh lời, nên WM trông có vẻ trong tình trạng tuyệt vời. Ngoài ra, để giữ nhà đầu tư trong bóng tối về những gì thực sự đang diễn ra, WM đã bù trừ (hay “cấn trừ”) nhiều khoản lãi đầu tư một lần từ việc bán tài sản với những khoản chi phí đặc biệt này.</w:t>
      </w:r>
    </w:p>
    <w:p>
      <w:pPr>
        <w:spacing w:after="80"/>
      </w:pPr>
      <w:r>
        <w:rPr>
          <w:b w:val="0"/>
          <w:i w:val="0"/>
        </w:rPr>
        <w:t>Waste Management cũng nổi tiếng với việc tìm cách thổi phồng lợi nhuận bằng cách hoãn chi phí sang giai đoạn sau. Công ty đã mạnh tay vốn hóa các chi phí bảo trì, sửa chữa và lãi vay vào Bảng cân đối kế toán thay vì ghi nhận chúng là chi phí, và giảm thiểu chi phí khấu hao trên xe tải chở rác của mình bằng cách sử dụng giá trị thanh lý phóng đại và kéo dài thời gian sử dụng hữu ích của chúng.</w:t>
      </w:r>
    </w:p>
    <w:p>
      <w:pPr>
        <w:spacing w:after="80"/>
      </w:pPr>
      <w:r>
        <w:rPr>
          <w:b w:val="0"/>
          <w:i w:val="0"/>
        </w:rPr>
        <w:t>Như bạn sẽ thấy xuyên suốt cuốn sách này, những vấn đề kế toán lớn có thể được che đậy một cách thuận tiện khi các công ty thực hiện nhiều thương vụ thâu tóm. Sau thương vụ Waste Management mua lại USA Waste Services vào tháng 7 năm 1998, vị CEO mới được bổ nhiệm của công ty đã lo ngại về các kiểm soát nội bộ và thông lệ kế toán, và đã ra lệnh rà soát đặc biệt. Một trong những phát hiện đáng lo ngại nhất của cuộc rà soát là các kiểm soát nội bộ của công ty yếu kém đến mức không thể tin cậy vào các báo cáo tài chính đã công bố trước đó. WM đã đưa ra cảnh báo sau đây cho nhà đầu tư trong báo cáo 10-Q của mình:</w:t>
      </w:r>
    </w:p>
    <w:p>
      <w:pPr>
        <w:spacing w:after="80"/>
      </w:pPr>
      <w:r>
        <w:rPr>
          <w:b w:val="0"/>
          <w:i w:val="0"/>
        </w:rPr>
        <w:t>Công ty, sau khi tham khảo ý kiến các kế toán viên công chúng độc lập của mình (Arthur Andersen), đã kết luận rằng các kiểm soát nội bộ của mình đối với việc lập thông tin tài chính tạm thời không cung cấp cơ sở thỏa đáng để các kế toán viên công chúng độc lập của mình hoàn thành việc rà soát… .</w:t>
      </w:r>
    </w:p>
    <w:p>
      <w:pPr>
        <w:spacing w:after="80"/>
      </w:pPr>
      <w:r>
        <w:rPr>
          <w:b w:val="0"/>
          <w:i w:val="0"/>
        </w:rPr>
        <w:t>Sau khi SEC kiện Waste Management với cáo buộc gian lận, chúng ta sau đó được biết khi xem xét các tài liệu pháp lý rằng kiểm toán viên của công ty, Arthur Andersen, đã biết về các vấn đề kế toán từ sớm hơn nhiều nhưng lại chọn “bảo vệ” khách hàng của mình. Từ tận năm 1993, Arthur Andersen đã định lượng các sai sót tổng cộng 128 triệu đô la, mà nếu được ghi nhận, sẽ làm giảm thu nhập ròng trước các khoản mục đặc biệt đi 12 phần trăm. Tuy nhiên, các đối tác của Andersen lại xác định rằng những sai sót này là “không trọng yếu,” và họ đã chứng nhận các báo cáo tài chính năm 1993 bằng một ý kiến sạch.</w:t>
      </w:r>
    </w:p>
    <w:p>
      <w:pPr>
        <w:spacing w:after="80"/>
      </w:pPr>
      <w:r>
        <w:rPr>
          <w:b w:val="0"/>
          <w:i w:val="0"/>
        </w:rPr>
        <w:t>Thật vậy, mỗi năm khi Andersen nêu lên những lo ngại về kế toán với WM, các điều chỉnh và khai báo lại được đề xuất—không có gì đáng ngạc nhiên—đều bị ban lãnh đạo phớt lờ. Trong cuộc kiểm toán năm 1995, Andersen rõ ràng không đồng tình với cách tiếp cận của WM trong việc cấn trừ các khoản lãi một lần với các khoản chi phí đặc biệt và lựa chọn không công bố thông lệ này. Dưới đây là những trích đoạn từ bản ghi nhớ nội bộ năm 1995 của kiểm toán viên:</w:t>
      </w:r>
    </w:p>
    <w:p>
      <w:pPr>
        <w:spacing w:after="80"/>
      </w:pPr>
      <w:r>
        <w:rPr>
          <w:b w:val="0"/>
          <w:i w:val="0"/>
        </w:rPr>
        <w:t>Công ty đã không nhạy cảm trong việc không sử dụng các khoản chi phí đặc biệt [để loại bỏ các sai sót và khai khống trên Bảng cân đối kế toán đã tích lũy trong những năm trước] mà thay vào đó đã dùng “các khoản lãi khác” để chôn vùi các khoản chi phí cho việc dọn dẹp Bảng cân đối kế toán.</w:t>
      </w:r>
    </w:p>
    <w:p>
      <w:pPr>
        <w:spacing w:after="80"/>
      </w:pPr>
      <w:r>
        <w:rPr>
          <w:b w:val="0"/>
          <w:i w:val="0"/>
        </w:rPr>
        <w:t>Dù đã viết trong bản ghi nhớ sự phản đối mạnh mẽ đối với thông lệ này, Andersen lại chọn không đưa ra ý kiến bất lợi cho báo cáo năm 1995, cũng không thực hiện các bước để chấm dứt thông lệ này trong những năm sau đó. Phải chăng là vì Andersen đã trở nên quá thân thiết với các giám đốc điều hành của WM và quá phụ thuộc về mặt kinh tế vào công ty này, khiến Andersen không thể phục vụ nhà đầu tư một cách đúng đắn và cảnh báo họ về vấn đề này? Thật vậy, WM là khách hàng lớn nhất của Andersen tại văn phòng Chicago, và Andersen đã làm kiểm toán viên cho WM mỗi năm kể từ khi công ty IPO vào năm 1971.</w:t>
      </w:r>
    </w:p>
    <w:p>
      <w:pPr>
        <w:pStyle w:val="Heading4"/>
      </w:pPr>
      <w:r>
        <w:rPr>
          <w:rFonts w:ascii="Calibri" w:hAnsi="Calibri"/>
          <w:b/>
          <w:i w:val="0"/>
          <w:sz w:val="23"/>
        </w:rPr>
        <w:t>CUC/Cendant: Thâu tóm không thể làm vấn đề kinh doanh biến mất</w:t>
      </w:r>
    </w:p>
    <w:p>
      <w:pPr>
        <w:spacing w:after="80"/>
      </w:pPr>
      <w:r>
        <w:rPr>
          <w:b w:val="0"/>
          <w:i w:val="0"/>
        </w:rPr>
        <w:t>Cũng giống như ở Waste Management, có thể tìm thấy nhiều thủ thuật kế toán ở những công ty dùng chiến lược thâu tóm để đạt mức tăng trưởng nhanh. Hãy xem CUC International, một cổ phiếu cưng được ưa chuộng trong phần lớn thập niên 1980–1990, do Walter Forbes điều hành. Đến giữa thập niên 1990, CUC bắt đầu thực hiện các thương vụ thâu tóm lẽ ra phải khiến nhà đầu tư giật mình tỉnh giấc. Vào tháng 4 năm 1996, công ty mua lại Ideon Group với giá gần 400 triệu đô la. Qua thương vụ sáp nhập này, CUC thừa hưởng các nghĩa vụ kiện tụng đáng kể, và đã ghi một khoản dự phòng cho những chi phí này tổng cộng 137 triệu đô la. Ngay sau khi Ideon hoàn tất, CUC mua Davidson và Sierra On-Line với giá khoảng 2 tỷ đô la. Những doanh nghiệp này sản xuất game phần mềm giáo dục, hoàn toàn không liên quan đến hoạt động kinh doanh cốt lõi của CUC, và cũng đi kèm với các khoản dự phòng liên quan đến sáp nhập đáng kể.</w:t>
      </w:r>
    </w:p>
    <w:p>
      <w:pPr>
        <w:spacing w:after="80"/>
      </w:pPr>
      <w:r>
        <w:rPr>
          <w:b w:val="0"/>
          <w:i w:val="0"/>
        </w:rPr>
        <w:t>Cendant được thành lập vào tháng 12 năm 1997, thông qua việc sáp nhập HFS của Henry Silverman và CUC International của Walter Forbes. Cách làm tạo ra các khoản dự phòng liên quan đến sáp nhập này vẫn tiếp tục vào cuối năm 1997 (khi CUC chuẩn bị sáp nhập với HFS để tạo thành Cendant), khi CUC lập một khoản dự phòng để xóa sổ tới 556 triệu đô la đáng kinh ngạc liên quan đến thương vụ này.</w:t>
      </w:r>
    </w:p>
    <w:p>
      <w:pPr>
        <w:spacing w:after="80"/>
      </w:pPr>
      <w:r>
        <w:rPr>
          <w:b w:val="0"/>
          <w:i w:val="0"/>
        </w:rPr>
        <w:t>Cổ phiếu cuối cùng sụp đổ vào tháng 3 năm 1998 khi các vấn đề kế toán tại CUC bị phơi bày trước nhà đầu tư. Khi các cuộc điều tra và kiện tụng sau đó kết thúc, tổng chi phí của vụ gian lận thật đáng kinh ngạc. Hãy thử nghĩ rằng chỉ riêng trong năm 1996 và 1997, các nhà điều tra đã phát hiện hơn 500 triệu đô la thu nhập hoạt động giả mạo. Walter Forbes bị kết án 12 năm tù và phải bồi thường 3,25 tỷ đô la cho tội ác của mình. Và kiểm toán viên của CUC, Ernst &amp; Young, đơn vị đã không thực hiện các kiểm tra phù hợp để phát hiện gian lận, đã trả 300 triệu đô la để dàn xếp vụ kiện tập thể.</w:t>
      </w:r>
    </w:p>
    <w:p>
      <w:pPr>
        <w:pStyle w:val="Heading4"/>
      </w:pPr>
      <w:r>
        <w:rPr>
          <w:rFonts w:ascii="Calibri" w:hAnsi="Calibri"/>
          <w:b/>
          <w:i w:val="0"/>
          <w:sz w:val="23"/>
        </w:rPr>
        <w:t>Enron: Những con số trông có vẻ khó tin thì đừng nên tin</w:t>
      </w:r>
    </w:p>
    <w:p>
      <w:pPr>
        <w:spacing w:after="80"/>
      </w:pPr>
      <w:r>
        <w:rPr>
          <w:b w:val="0"/>
          <w:i w:val="0"/>
        </w:rPr>
        <w:t>Khác với những vụ gian lận được thúc đẩy bởi thâu tóm như Waste Management và CUC, trò lừa đảo của Enron hoàn toàn mang tính nội tại: công ty chỉ đơn giản thay đổi mô hình kinh doanh (và các chính sách kế toán) một cách đầy kịch tính. Enron, có lẽ là vụ gian lận kế toán dễ nhận diện nhất trong thế hệ vừa qua, khởi đầu là một nhà sản xuất khí tự nhiên gần như vô danh, mà trong vài năm đã biến hóa thành một công ty giao dịch hàng hóa khổng lồ. Sự thay đổi kịch tính này trong mô hình kinh doanh đi kèm với mức tăng doanh thu như tên lửa suốt cuối thập niên 1990. Chỉ trong năm năm ngắn ngủi, doanh thu của Enron đã tăng gấp 10 lần đáng kinh ngạc, từ 9,2 tỷ đô la năm 1995 lên 100,8 tỷ đô la năm 2000. Chỉ riêng năm 2000, doanh số của Enron tăng tới 151 phần trăm, từ 40,1 tỷ đô la lên 100,8 tỷ đô la.</w:t>
      </w:r>
    </w:p>
    <w:p>
      <w:pPr>
        <w:spacing w:after="80"/>
      </w:pPr>
      <w:r>
        <w:rPr>
          <w:b w:val="0"/>
          <w:i w:val="0"/>
        </w:rPr>
        <w:t>Như thể hiện trong Bảng 1-1, bất chấp mức tăng doanh thu kịch tính của Enron, thu nhập ròng lại tăng chậm hơn nhiều. Cụ thể, doanh thu tăng gấp 10 lần trong giai đoạn này, còn thu nhập ròng thì chật vật lắm mới tăng gấp đôi.</w:t>
      </w:r>
    </w:p>
    <w:p>
      <w:pPr>
        <w:spacing w:after="80"/>
      </w:pPr>
      <w:r>
        <w:rPr>
          <w:b/>
          <w:i w:val="0"/>
        </w:rPr>
        <w:t>Bảng 1-1</w:t>
      </w:r>
      <w:r>
        <w:rPr>
          <w:b w:val="0"/>
          <w:i w:val="0"/>
        </w:rPr>
        <w:t xml:space="preserve"> Doanh thu và thu nhập ròng của Enron, 1995 đến 2000</w:t>
      </w:r>
    </w:p>
    <w:p>
      <w:pPr>
        <w:jc w:val="center"/>
      </w:pPr>
      <w:r>
        <w:drawing>
          <wp:inline xmlns:a="http://schemas.openxmlformats.org/drawingml/2006/main" xmlns:pic="http://schemas.openxmlformats.org/drawingml/2006/picture">
            <wp:extent cx="5486400" cy="788565"/>
            <wp:docPr id="3" name="Picture 3"/>
            <wp:cNvGraphicFramePr>
              <a:graphicFrameLocks noChangeAspect="1"/>
            </wp:cNvGraphicFramePr>
            <a:graphic>
              <a:graphicData uri="http://schemas.openxmlformats.org/drawingml/2006/picture">
                <pic:pic>
                  <pic:nvPicPr>
                    <pic:cNvPr id="0" name="00050.jpeg"/>
                    <pic:cNvPicPr/>
                  </pic:nvPicPr>
                  <pic:blipFill>
                    <a:blip r:embed="rId11"/>
                    <a:stretch>
                      <a:fillRect/>
                    </a:stretch>
                  </pic:blipFill>
                  <pic:spPr>
                    <a:xfrm>
                      <a:off x="0" y="0"/>
                      <a:ext cx="5486400" cy="788565"/>
                    </a:xfrm>
                    <a:prstGeom prst="rect"/>
                  </pic:spPr>
                </pic:pic>
              </a:graphicData>
            </a:graphic>
          </wp:inline>
        </w:drawing>
      </w:r>
    </w:p>
    <w:p>
      <w:pPr>
        <w:spacing w:after="80"/>
      </w:pPr>
      <w:r>
        <w:rPr>
          <w:b w:val="0"/>
          <w:i w:val="0"/>
        </w:rPr>
        <w:t>Những nhà đầu tư tò mò có thể đặt câu hỏi rằng đã bao nhiêu lần các công ty khác xoay xở tăng doanh thu từ dưới 10 tỷ đô la lên hơn 100 tỷ đô la chỉ trong năm năm. Câu trả lời: chưa từng. Mức tăng doanh thu đáng kinh ngạc của Enron là chưa từng có, và công ty đạt được mức tăng trưởng này mà không có bất kỳ thương vụ thâu tóm lớn nào trên đường đi. Không thể nào! Ẩn dưới mức tăng doanh thu được báo cáo là cách xử lý bất thường của công ty đối với các hoạt động giao dịch, coi chúng như doanh số. Những giao dịch này mang lại lợi nhuận khiêm tốn, nhưng vì giá trị danh nghĩa của các giao dịch được hạch toán như một phần của doanh thu (và giá vốn hàng bán), nó tạo ra vẻ ngoài rằng doanh nghiệp đang trong giai đoạn tăng trưởng siêu tốc.</w:t>
      </w:r>
    </w:p>
    <w:p>
      <w:pPr>
        <w:pStyle w:val="Heading4"/>
      </w:pPr>
      <w:r>
        <w:rPr>
          <w:rFonts w:ascii="Calibri" w:hAnsi="Calibri"/>
          <w:b/>
          <w:i w:val="0"/>
          <w:sz w:val="23"/>
        </w:rPr>
        <w:t>WorldCom: Hãy tập trung vào dòng tiền tự do, không chỉ lợi nhuận</w:t>
      </w:r>
    </w:p>
    <w:p>
      <w:pPr>
        <w:spacing w:after="80"/>
      </w:pPr>
      <w:r>
        <w:rPr>
          <w:b w:val="0"/>
          <w:i w:val="0"/>
        </w:rPr>
        <w:t>Trong suốt lịch sử của WorldCom, tăng trưởng của nó chủ yếu đến từ việc thực hiện các thương vụ thâu tóm. (Như chúng ta sẽ giải thích sau trong Phần Năm, những công ty được thúc đẩy bởi thâu tóm mang đến cho nhà đầu tư một số thách thức và rủi ro lớn nhất.) Thương vụ lớn nhất của WorldCom khép lại vào năm 1998 với việc mua lại MCI Communications trị giá 40 tỷ đô la.</w:t>
      </w:r>
    </w:p>
    <w:p>
      <w:pPr>
        <w:spacing w:after="80"/>
      </w:pPr>
      <w:r>
        <w:rPr>
          <w:b w:val="0"/>
          <w:i w:val="0"/>
        </w:rPr>
        <w:t>Gần như ngay từ đầu, WorldCom đã dùng các thủ thuật kế toán táo bạo để thổi phồng lợi nhuận và dòng tiền hoạt động của mình. Rất giống CUC, một trong những thủ thuật chính của nó là thực hiện các thương vụ thâu tóm, xóa sổ phần lớn chi phí ngay lập tức, tạo ra các khoản dự phòng, rồi giải phóng những khoản dự phòng đó vào thu nhập khi cần. Với hơn 70 thương vụ trong vòng đời ngắn ngủi của công ty, WorldCom liên tục "nạp lại" các khoản dự phòng để chúng sẵn sàng cho những lần giải phóng vào lợi nhuận trong tương lai.</w:t>
      </w:r>
    </w:p>
    <w:p>
      <w:pPr>
        <w:spacing w:after="80"/>
      </w:pPr>
      <w:r>
        <w:rPr>
          <w:b w:val="0"/>
          <w:i w:val="0"/>
        </w:rPr>
        <w:t>Chiến lược này có lẽ đã có thể tiếp tục nếu WorldCom được phép thâu tóm Sprint lớn hơn nhiều trong một thương vụ trị giá 129 tỷ đô la được công bố vào tháng 10 năm 1999. Các luật sư chống độc quyền và cơ quan quản lý tại Bộ Tư pháp Hoa Kỳ cùng các đối tác của họ tại Liên minh châu Âu đã không chấp thuận thương vụ sáp nhập này, với lý do lo ngại về độc quyền. Không có thương vụ thâu tóm đó, WorldCom bị bỏ lại mà không có nguồn dự phòng mới như mong đợi mà nó cần, vì các khoản dự phòng trước đó đã nhanh chóng cạn kiệt sau khi được giải phóng vào thu nhập.</w:t>
      </w:r>
    </w:p>
    <w:p>
      <w:pPr>
        <w:spacing w:after="80"/>
      </w:pPr>
      <w:r>
        <w:rPr>
          <w:b w:val="0"/>
          <w:i w:val="0"/>
        </w:rPr>
        <w:t xml:space="preserve">Đến đầu năm 2000, với giá cổ phiếu đang giảm và áp lực dữ dội từ Phố Wall buộc phải đạt các mục tiêu lợi nhuận, WorldCom dấn thân vào một thủ thuật mới và táo bạo hơn nhiều—chuyển các chi phí kinh doanh thông thường từ Báo cáo thu nhập sang Bảng cân đối kế toán. Một trong những chi phí hoạt động chính của WorldCom là cái gọi là chi phí đường truyền. Những chi phí này đại diện cho các khoản phí mà WorldCom trả cho các nhà cung cấp mạng viễn thông bên thứ ba để có quyền truy cập vào mạng của họ. Các quy tắc kế toán rõ ràng yêu cầu những khoản phí như vậy phải được ghi nhận là chi phí và </w:t>
      </w:r>
      <w:r>
        <w:rPr>
          <w:b w:val="0"/>
          <w:i/>
        </w:rPr>
        <w:t>không được vốn hóa</w:t>
      </w:r>
      <w:r>
        <w:rPr>
          <w:b w:val="0"/>
          <w:i w:val="0"/>
        </w:rPr>
        <w:t>. Tuy nhiên, WorldCom đã loại bỏ hàng trăm triệu đô la chi phí đường truyền khỏi Báo cáo thu nhập để làm hài lòng Phố Wall. Khi làm vậy, WorldCom đã hạ thấp chi phí một cách đáng kể và thổi phồng lợi nhuận, lừa dối nhà đầu tư.</w:t>
      </w:r>
    </w:p>
    <w:p>
      <w:pPr>
        <w:spacing w:after="80"/>
      </w:pPr>
      <w:r>
        <w:rPr>
          <w:b w:val="0"/>
          <w:i w:val="0"/>
        </w:rPr>
        <w:t>Trong khi lợi nhuận bị phóng đại, nhà đầu tư lẽ ra có thể tìm thấy một số dấu hiệu cảnh báo rõ ràng khi đánh giá Báo cáo lưu chuyển tiền tệ của WorldCom, cụ thể là dòng tiền tự do đang xấu đi nhanh chóng. WorldCom đã thao túng cả thu nhập ròng lẫn dòng tiền hoạt động của mình. Bằng cách coi chi phí đường truyền như một tài sản thay vì một chi phí, WorldCom đã thổi phồng lợi nhuận của mình một cách không chính đáng. Ngoài ra, vì nó đặt những khoản chi tiêu đó một cách không chính đáng vào phần Đầu tư thay vì phần Hoạt động của Báo cáo lưu chuyển tiền tệ, WorldCom cũng thổi phồng dòng tiền hoạt động tương tự. Trong khi dòng tiền hoạt động được báo cáo có vẻ nhất quán với lợi nhuận được báo cáo, dòng tiền tự do của công ty mới kể câu chuyện thật.</w:t>
      </w:r>
    </w:p>
    <w:p>
      <w:pPr>
        <w:spacing w:after="80"/>
      </w:pPr>
      <w:r>
        <w:rPr>
          <w:b w:val="0"/>
          <w:i w:val="0"/>
        </w:rPr>
        <w:t>Đầu năm 2002, một nhóm nhỏ kiểm toán viên nội bộ tại WorldCom, làm việc theo linh cảm, đã bí mật điều tra điều mà họ nghĩ có thể là gian lận. Sau khi tìm thấy 3,8 tỷ đô la các bút toán kế toán không phù hợp, họ ngay lập tức thông báo cho hội đồng quản trị của công ty, và sự việc tiến triển nhanh chóng từ đó. Giám đốc tài chính bị sa thải, kế toán trưởng từ chức, Arthur Andersen rút lại ý kiến kiểm toán cho năm 2001, và SEC khởi động cuộc điều tra của mình.</w:t>
      </w:r>
    </w:p>
    <w:p>
      <w:pPr>
        <w:spacing w:after="80"/>
      </w:pPr>
      <w:r>
        <w:rPr>
          <w:b w:val="0"/>
          <w:i w:val="0"/>
        </w:rPr>
        <w:t>Số ngày của WorldCom đã được đếm ngược. Vào ngày 21 tháng 7 năm 2002, công ty đã nộp đơn xin bảo hộ phá sản theo Chương 11, đơn nộp lớn nhất như vậy trong lịch sử Hoa Kỳ vào thời điểm đó (một kỷ lục sau này đã bị vượt qua bởi sự sụp đổ của Lehman Brothers vào tháng 9 năm 2008). Theo thỏa thuận tái tổ chức phá sản, công ty đã nộp phạt 750 triệu đô-la cho SEC và điều chỉnh lại thu nhập của mình với một con số không thể tin nổi. Tổng cộng, công ty đã báo cáo một bản điều chỉnh lại kế toán vượt quá 70 tỷ đô-la, bao gồm việc điều chỉnh các con số năm 2000 và 2001 từ mức lợi nhuận gần 10 tỷ đô-la được báo cáo ban đầu thành một khoản lỗ kinh hoàng hơn 64 tỷ đô-la. Các giám đốc cũng cảm nhận được nỗi đau, khi phải trả gần 25 triệu đô-la để dàn xếp vụ kiện tập thể.</w:t>
      </w:r>
    </w:p>
    <w:p>
      <w:pPr>
        <w:spacing w:after="80"/>
      </w:pPr>
      <w:r>
        <w:rPr>
          <w:b w:val="0"/>
          <w:i w:val="0"/>
        </w:rPr>
        <w:t>Công ty đã thoát khỏi tình trạng phá sản vào năm 2004. Các trái chủ trước đây được trả 36 xu trên mỗi đô-la bằng trái phiếu và cổ phiếu trong công ty mới, trong khi các cổ đông trước đây bị xóa sổ hoàn toàn. Vào đầu năm 2005, Verizon Communications đồng ý mua lại đối thủ MCI với giá khoảng 7 tỷ đô-la. Hai tháng sau, cựu giám đốc điều hành WorldCom Bernie Ebbers bị kết tội tất cả các cáo buộc và bị kết án về tội gian lận và âm mưu cũng như nộp tài liệu giả. Sau đó ông bị kết án 25 năm tù.</w:t>
      </w:r>
    </w:p>
    <w:p>
      <w:pPr>
        <w:pStyle w:val="Heading4"/>
      </w:pPr>
      <w:r>
        <w:rPr>
          <w:rFonts w:ascii="Calibri" w:hAnsi="Calibri"/>
          <w:b/>
          <w:i w:val="0"/>
          <w:sz w:val="23"/>
        </w:rPr>
        <w:t>Lehman Brothers: Bảng cân đối kế toán có thể không phản ánh xu hướng thực tế của hoạt động kinh doanh</w:t>
      </w:r>
    </w:p>
    <w:p>
      <w:pPr>
        <w:spacing w:after="80"/>
      </w:pPr>
      <w:r>
        <w:rPr>
          <w:b w:val="0"/>
          <w:i w:val="0"/>
        </w:rPr>
        <w:t>Cũng giống như sự sụp đổ của thị trường chứng khoán năm 1929 đã để lại vết sẹo cho thế hệ cha mẹ và ông bà của chúng ta, sự tàn phá của thị trường tài chính năm 2008 rõ ràng đã để lại một ký ức đau đớn cho tất cả các chủ nhà và nhà đầu tư. Có lẽ không có công ty môi giới nào trên Phố Wall có kết cục tồi tệ hơn Lehman Brothers, khi giá cổ phiếu của nó sụp đổ vào tháng 9 năm 2008 và sẽ được ghi nhớ là vụ phá sản lớn nhất (dựa trên quy mô tài sản) trong lịch sử doanh nghiệp Hoa Kỳ.</w:t>
      </w:r>
    </w:p>
    <w:p>
      <w:pPr>
        <w:spacing w:after="80"/>
      </w:pPr>
      <w:r>
        <w:rPr>
          <w:b w:val="0"/>
          <w:i w:val="0"/>
        </w:rPr>
        <w:t>Trong một báo cáo được thẩm phán tòa án phá sản ủy quyền để điều tra sự sụp đổ của Lehman, luật sư Anton Valukas cáo buộc rằng công ty đã khéo léo đánh lừa các nhà đầu tư và chủ nợ bằng cách che giấu 50 tỷ đô-la nợ khỏi Bảng cân đối kế toán của mình. Sự lừa dối này liên quan đến cách diễn giải táo bạo của Lehman về một quy tắc kế toán ít người biết đến (và đã được thay đổi kể từ đó) được gọi là "Repo 105."</w:t>
      </w:r>
    </w:p>
    <w:p>
      <w:pPr>
        <w:spacing w:after="80"/>
      </w:pPr>
      <w:r>
        <w:rPr>
          <w:b w:val="0"/>
          <w:i w:val="0"/>
        </w:rPr>
        <w:t>Khi vay tiền mặt thông qua các khoản vay có thế chấp rất ngắn hạn, chẳng hạn để trả lương, số tiền mặt nhận được nên được phản ánh trên Bảng cân đối kế toán như một khoản nợ phải trả, và các tài sản được đưa ra làm tài sản thế chấp nên vẫn nằm trên Bảng cân đối kế toán của người đi vay. Quy tắc "Repo 105" cho phép một ngoại lệ khi giá trị của các tài sản được đưa ra làm tài sản thế chấp chiếm ít nhất 105 phần trăm giá trị khoản vay. Trong những trường hợp này, giao dịch không còn được hạch toán như một khoản vay nữa, mà được coi là một giao dịch bán và sau đó mua lại các tài sản thế chấp. Lehman đã nắm bắt lỗ hổng này và bằng cách đó ghi nhận các khoản vay có thế chấp của mình như là các giao dịch bán tài sản. Như vậy, thay vì ghi nhận một khoản nợ phải trả ngắn hạn cho số tiền mặt nhận được, Lehman sẽ ghi nhận một khoản giảm tạm thời đối với tài sản của mình.</w:t>
      </w:r>
    </w:p>
    <w:p>
      <w:pPr>
        <w:spacing w:after="80"/>
      </w:pPr>
      <w:r>
        <w:rPr>
          <w:b w:val="0"/>
          <w:i w:val="0"/>
        </w:rPr>
        <w:t xml:space="preserve">Báo cáo của thanh tra phá sản đã làm nổi bật một sự tăng vọt đáng ngờ trong số dư giao dịch Repo 105 của Lehman vào các ngày cuối tháng tương ứng với kỳ nộp báo cáo theo quý hoặc cuối năm. Vì nhu cầu vay qua đêm nên vẫn khá ổn định trong suốt một quý, sự tăng vọt của các giao dịch Repo 105 </w:t>
      </w:r>
      <w:r>
        <w:rPr>
          <w:b w:val="0"/>
          <w:i/>
        </w:rPr>
        <w:t>chỉ</w:t>
      </w:r>
      <w:r>
        <w:rPr>
          <w:b w:val="0"/>
          <w:i w:val="0"/>
        </w:rPr>
        <w:t xml:space="preserve"> vào những ngày tương ứng với các báo cáo tài chính có thể gợi ý rằng Lehman đã cố tình hạ thấp số dư nợ phải trả của mình để đánh lừa các nhà đầu tư tin rằng đòn bẩy của công ty thấp hơn. Bảng 1-2 cho thấy xu hướng hàng tháng trong số dư Repo 105 của Lehman. Lưu ý rằng vào tháng 5 năm 2008, số dư Repo 105 đã tăng vọt lên 50,8 tỷ đô-la từ 24,6 tỷ đô-la vào tháng 3 và 24,7 tỷ đô-la vào tháng 4 năm 2008. Hiện tượng đáng ngờ tương tự cũng được tìm thấy trong giai đoạn trước đó.</w:t>
      </w:r>
    </w:p>
    <w:p>
      <w:pPr>
        <w:spacing w:after="80"/>
      </w:pPr>
      <w:r>
        <w:rPr>
          <w:b/>
          <w:i w:val="0"/>
        </w:rPr>
        <w:t>Bảng 1-2</w:t>
      </w:r>
      <w:r>
        <w:rPr>
          <w:b w:val="0"/>
          <w:i w:val="0"/>
        </w:rPr>
        <w:t xml:space="preserve"> Repo 105 của Lehman tăng vọt vào cuối quý</w:t>
      </w:r>
    </w:p>
    <w:p>
      <w:pPr>
        <w:jc w:val="center"/>
      </w:pPr>
      <w:r>
        <w:drawing>
          <wp:inline xmlns:a="http://schemas.openxmlformats.org/drawingml/2006/main" xmlns:pic="http://schemas.openxmlformats.org/drawingml/2006/picture">
            <wp:extent cx="5486400" cy="889233"/>
            <wp:docPr id="4" name="Picture 4"/>
            <wp:cNvGraphicFramePr>
              <a:graphicFrameLocks noChangeAspect="1"/>
            </wp:cNvGraphicFramePr>
            <a:graphic>
              <a:graphicData uri="http://schemas.openxmlformats.org/drawingml/2006/picture">
                <pic:pic>
                  <pic:nvPicPr>
                    <pic:cNvPr id="0" name="00018.jpeg"/>
                    <pic:cNvPicPr/>
                  </pic:nvPicPr>
                  <pic:blipFill>
                    <a:blip r:embed="rId12"/>
                    <a:stretch>
                      <a:fillRect/>
                    </a:stretch>
                  </pic:blipFill>
                  <pic:spPr>
                    <a:xfrm>
                      <a:off x="0" y="0"/>
                      <a:ext cx="5486400" cy="889233"/>
                    </a:xfrm>
                    <a:prstGeom prst="rect"/>
                  </pic:spPr>
                </pic:pic>
              </a:graphicData>
            </a:graphic>
          </wp:inline>
        </w:drawing>
      </w:r>
    </w:p>
    <w:p>
      <w:pPr>
        <w:pStyle w:val="Heading4"/>
      </w:pPr>
      <w:r>
        <w:rPr>
          <w:rFonts w:ascii="Calibri" w:hAnsi="Calibri"/>
          <w:b/>
          <w:i w:val="0"/>
          <w:sz w:val="23"/>
        </w:rPr>
        <w:t>Valeant Pharmaceuticals: Thật nguy hiểm khi dựa vào các chỉ số hiệu suất mà ban lãnh đạo ưa thích</w:t>
      </w:r>
    </w:p>
    <w:p>
      <w:pPr>
        <w:spacing w:after="80"/>
      </w:pPr>
      <w:r>
        <w:rPr>
          <w:b w:val="0"/>
          <w:i w:val="0"/>
        </w:rPr>
        <w:t>Không giống như những vụ gian lận nổi tiếng hơn được đề cập ở Enron, WorldCom, v.v., Valeant ít là một câu chuyện về gian lận hoàn toàn mà đúng hơn là một công ty khéo léo sử dụng các chỉ số gây nhầm lẫn để lừa dối một số nhà đầu tư tổ chức thành công nhất. Và nếu điều đó có thể xảy ra với họ, thì nó cũng có thể xảy ra với tất cả chúng ta, nếu chúng ta mất cảnh giác hoặc trở nên quá thân thiết với ban lãnh đạo doanh nghiệp.</w:t>
      </w:r>
    </w:p>
    <w:p>
      <w:pPr>
        <w:spacing w:after="80"/>
      </w:pPr>
      <w:r>
        <w:rPr>
          <w:b w:val="0"/>
          <w:i w:val="0"/>
        </w:rPr>
        <w:t>Nhưng ôi, các nhà đầu tư yêu thích công ty này biết bao. Trong chưa đầy một thập kỷ, giá trị thị trường của Valeant đã tăng từ chỉ vài tỷ đô-la lên 90 tỷ đô-la vào đầu tháng 8 năm 2015. Tuy nhiên, trong hai năm tiếp theo, nó sẽ giảm 96 phần trăm, mất đi một khối lượng giá trị thị trường đáng kinh ngạc là 87 tỷ đô-la. Để cho thấy quy mô của những con số đó, tổng giá trị vốn chủ sở hữu bị phá hủy đối với nhà đầu tư là 74 tỷ đô-la tại Enron và 29 tỷ đô-la tại Cendant.</w:t>
      </w:r>
    </w:p>
    <w:p>
      <w:pPr>
        <w:spacing w:after="80"/>
      </w:pPr>
      <w:r>
        <w:rPr>
          <w:b w:val="0"/>
          <w:i w:val="0"/>
        </w:rPr>
        <w:t xml:space="preserve">Valeant sẽ không thể đạt được hoặc duy trì mức tăng vọt khổng lồ về giá trị thị trường dựa trên thu nhập tuân thủ GAAP của mình; trong hầu hết các năm, công ty báo cáo lỗ nặng. Tuy nhiên, ban lãnh đạo hướng các nhà đầu tư đến một chỉ số "thu nhập tiền mặt" phi GAAP gây nhầm lẫn như một thước đo hiệu suất tốt hơn. Thu nhập tiền mặt tăng nhanh chóng khi doanh số từ các thương vụ mua lại thúc đẩy tăng trưởng doanh thu hàng đầu, và số lượng chi phí bị loại trừ khỏi thước đo thu nhập cũng tăng lên. Công ty đã thuyết phục các nhà đầu tư bỏ qua tất cả các chi phí không biểu hiện dưới dạng dòng tiền chi ra thông thường, định kỳ trong kỳ, và sau đó công ty bắt đầu một chiến lược tăng trưởng thông qua M&amp;A, điều này đảm bảo rằng hầu hết các chi phí sẽ đến dưới dạng khấu hao, phân bổ, hoặc một khoản phí liên quan đến mua lại một lần. Trong giai đoạn 2013–2016, Valeant báo cáo thu nhập tiền mặt tổng cộng 9,6 tỷ đô-la, trong khi thu nhập ròng GAAP đã được kiểm toán của nó lên tới </w:t>
      </w:r>
      <w:r>
        <w:rPr>
          <w:b w:val="0"/>
          <w:i/>
        </w:rPr>
        <w:t>khoản lỗ</w:t>
      </w:r>
      <w:r>
        <w:rPr>
          <w:b w:val="0"/>
          <w:i w:val="0"/>
        </w:rPr>
        <w:t xml:space="preserve"> 2,7 tỷ đô-la, một sự chênh lệch khổng lồ là 12,2 tỷ đô-la.</w:t>
      </w:r>
    </w:p>
    <w:p>
      <w:pPr>
        <w:pStyle w:val="Heading3"/>
      </w:pPr>
      <w:r>
        <w:rPr>
          <w:rFonts w:ascii="Calibri" w:hAnsi="Calibri"/>
          <w:b/>
          <w:i w:val="0"/>
          <w:sz w:val="26"/>
        </w:rPr>
        <w:t>Nhìn về phía trước</w:t>
      </w:r>
    </w:p>
    <w:p>
      <w:pPr>
        <w:spacing w:after="80"/>
      </w:pPr>
      <w:r>
        <w:rPr>
          <w:b w:val="0"/>
          <w:i w:val="0"/>
        </w:rPr>
        <w:t xml:space="preserve">Hành trình không mệt mỏi của chúng tôi trong suốt một phần tư thế kỷ qua được thúc đẩy cả bởi việc khám phá những trò chơi mà ban lãnh đạo sử dụng để lừa dối nhà đầu tư và chia sẻ những bài học này với độc giả của chúng tôi. Trong ấn bản đặc biệt kỷ niệm hai mươi lăm năm của </w:t>
      </w:r>
      <w:r>
        <w:rPr>
          <w:b w:val="0"/>
          <w:i/>
        </w:rPr>
        <w:t>Financial Shenanigans</w:t>
      </w:r>
      <w:r>
        <w:rPr>
          <w:b w:val="0"/>
          <w:i w:val="0"/>
        </w:rPr>
        <w:t xml:space="preserve">, chúng tôi đã thêm một loại trò gian lận mới, </w:t>
      </w:r>
      <w:r>
        <w:rPr>
          <w:b w:val="0"/>
          <w:i/>
        </w:rPr>
        <w:t>Trò gian lận kế toán mua lại</w:t>
      </w:r>
      <w:r>
        <w:rPr>
          <w:b w:val="0"/>
          <w:i w:val="0"/>
        </w:rPr>
        <w:t>, vì các thương vụ mua lại tạo ra một vỏ bọc thuận tiện để ban lãnh đạo chơi các trò chơi kế toán.</w:t>
      </w:r>
    </w:p>
    <w:p>
      <w:pPr>
        <w:spacing w:after="80"/>
      </w:pPr>
      <w:r>
        <w:rPr>
          <w:b w:val="0"/>
          <w:i w:val="0"/>
        </w:rPr>
        <w:t>Chúng tôi hy vọng ấn bản mới này cung cấp cho bạn những công cụ để phát hiện các dấu hiệu cảnh báo quan trọng và tự tin bảo vệ cũng như phát triển tài sản của mình.</w:t>
      </w:r>
    </w:p>
    <w:p>
      <w:pPr>
        <w:pStyle w:val="Heading2"/>
      </w:pPr>
      <w:r>
        <w:rPr>
          <w:rFonts w:ascii="Calibri" w:hAnsi="Calibri"/>
          <w:b/>
          <w:i w:val="0"/>
          <w:sz w:val="32"/>
        </w:rPr>
        <w:t>2</w:t>
      </w:r>
    </w:p>
    <w:p>
      <w:pPr>
        <w:pStyle w:val="Heading2"/>
      </w:pPr>
      <w:r>
        <w:rPr>
          <w:rFonts w:ascii="Calibri" w:hAnsi="Calibri"/>
          <w:b/>
          <w:i w:val="0"/>
          <w:sz w:val="32"/>
        </w:rPr>
        <w:t>Chỉ Cần Chỉnh Sửa Lại Phim X-Quang</w:t>
      </w:r>
    </w:p>
    <w:p>
      <w:pPr>
        <w:spacing w:after="80"/>
      </w:pPr>
      <w:r>
        <w:rPr>
          <w:b w:val="0"/>
          <w:i w:val="0"/>
        </w:rPr>
        <w:t>Tôi không đủ tiền để phẫu thuật, nhưng ông có nhận một khoản thanh toán nhỏ để chỉnh sửa lại phim x-quang không?</w:t>
      </w:r>
    </w:p>
    <w:p>
      <w:pPr>
        <w:spacing w:after="80"/>
      </w:pPr>
      <w:r>
        <w:rPr>
          <w:b w:val="0"/>
          <w:i w:val="0"/>
        </w:rPr>
        <w:t>—WARREN BUFFETT, CEO CỦA BERKSHIRE HATHAWAY</w:t>
      </w:r>
    </w:p>
    <w:p>
      <w:pPr>
        <w:spacing w:after="80"/>
      </w:pPr>
      <w:r>
        <w:rPr>
          <w:b w:val="0"/>
          <w:i w:val="0"/>
        </w:rPr>
        <w:t xml:space="preserve">Nhà đầu tư huyền thoại Warren Buffett đã hào phóng dùng lá thư thường niên gửi cổ đông của mình như một phương tiện để giáo dục tất cả những ai quan tâm về nghệ thuật đầu tư. Trong một lá thư như vậy, vị "Nhà tiên tri đến từ Omaha" - như cách ông được mọi người trìu mến gọi - đã đưa ra một bài học đặc biệt thấm thía về một chủ đề rất gần gũi và thân thiết với chúng ta: những công ty dùng các thủ thuật tài chính để che giấu sự thật khó chịu khỏi nhà đầu tư. Lá thư này kể lại cuộc trò chuyện giữa một bệnh nhân bị bệnh nặng và bác sĩ của ông, ngay sau khi phim x-quang tiết lộ tin xấu về tình trạng của ông. Thay vì chấp nhận chẩn đoán về sức khỏe đang suy giảm của mình, bệnh nhân ngay lập tức đáp lại tin dữ ấy bằng cách yêu cầu bác sĩ chỉ cần chỉnh sửa lại phim x-quang. Buffett dùng câu chuyện này để cảnh báo nhà đầu tư về những công ty cố che giấu sự thật về sức khỏe kinh tế đang suy tàn của mình bằng cách </w:t>
      </w:r>
      <w:r>
        <w:rPr>
          <w:b w:val="0"/>
          <w:i/>
        </w:rPr>
        <w:t>chỉnh sửa</w:t>
      </w:r>
      <w:r>
        <w:rPr>
          <w:b w:val="0"/>
          <w:i w:val="0"/>
        </w:rPr>
        <w:t xml:space="preserve"> các báo cáo tài chính. Sau đó Buffett thêm vào một cách tiên tri: "Về lâu dài, tuy nhiên, rắc rối đang chờ đợi những ban lãnh đạo dùng các thủ thuật kế toán để che đậy những vấn đề trong hoạt động kinh doanh. Cuối cùng, những ban lãnh đạo kiểu này sẽ đạt được kết quả giống hệt bệnh nhân bị bệnh nặng kia."</w:t>
      </w:r>
    </w:p>
    <w:p>
      <w:pPr>
        <w:spacing w:after="80"/>
      </w:pPr>
      <w:r>
        <w:rPr>
          <w:b w:val="0"/>
          <w:i w:val="0"/>
        </w:rPr>
        <w:t>Không còn nghi ngờ gì nữa, việc một công ty dùng các thủ thuật tài chính để che đậy sức khỏe kinh tế yếu kém của mình sẽ chẳng hiệu quả hơn việc bác sĩ chỉnh sửa phim x-quang để cải thiện sức khỏe thể chất của bệnh nhân. Những chiêu trò như vậy thật vô nghĩa, vì sự thật về tình trạng suy tàn của công ty sẽ không hề thay đổi và cuối cùng sẽ có ngày bị phơi bày.</w:t>
      </w:r>
    </w:p>
    <w:p>
      <w:pPr>
        <w:spacing w:after="80"/>
      </w:pPr>
      <w:r>
        <w:rPr>
          <w:b w:val="0"/>
          <w:i w:val="0"/>
        </w:rPr>
        <w:t>Các chương phía trước cung cấp một loạt nghiên cứu tình huống đa dạng về những công ty chỉ đơn thuần che đậy kết quả tài chính và các vấn đề sức khỏe kinh tế của mình để trì hoãn tin xấu không thể tránh khỏi, cùng các kỹ thuật để nhận diện chúng trước.</w:t>
      </w:r>
    </w:p>
    <w:p>
      <w:pPr>
        <w:pStyle w:val="Heading3"/>
      </w:pPr>
      <w:r>
        <w:rPr>
          <w:rFonts w:ascii="Calibri" w:hAnsi="Calibri"/>
          <w:b/>
          <w:i w:val="0"/>
          <w:sz w:val="26"/>
        </w:rPr>
        <w:t>Thủ Thuật Tài Chính Là Gì?</w:t>
      </w:r>
    </w:p>
    <w:p>
      <w:pPr>
        <w:spacing w:after="80"/>
      </w:pPr>
      <w:r>
        <w:rPr>
          <w:b w:val="0"/>
          <w:i w:val="0"/>
        </w:rPr>
        <w:t>Thủ thuật tài chính (financial shenanigans) là những hành động của ban lãnh đạo nhằm đánh lừa nhà đầu tư về kết quả tài chính hoặc sức khỏe kinh tế của một công ty. Kết quả là nhà đầu tư bị lừa để tin rằng lợi nhuận của công ty mạnh hơn, dòng tiền của nó vững chắc hơn, và vị thế Bảng Cân Đối Kế Toán của nó an toàn hơn so với thực tế.</w:t>
      </w:r>
    </w:p>
    <w:p>
      <w:pPr>
        <w:spacing w:after="80"/>
      </w:pPr>
      <w:r>
        <w:rPr>
          <w:b w:val="0"/>
          <w:i w:val="0"/>
        </w:rPr>
        <w:t>Một số thủ thuật có thể được phát hiện trong các con số được trình bày bằng cách đọc kỹ Bảng Cân Đối Kế Toán (chính thức gọi là Báo cáo Tình hình Tài chính), Báo cáo Kết quả Kinh doanh (Báo cáo Hoạt động), và Báo cáo Lưu chuyển Tiền tệ của một công ty. Dấu hiệu của những thủ thuật khác có thể không dễ thấy trong các con số và thay vào đó đòi hỏi phải xem xét kỹ lưỡng các diễn giải trong phần Chú thích, các Bản công bố Lợi nhuận hàng quý, và những trình bày khác của ban lãnh đạo. Chúng tôi phân loại thủ thuật tài chính thành bốn nhóm lớn (được thảo luận trong Phần Hai đến Phần Năm của cuốn sách): Thủ Thuật Thao Túng Lợi Nhuận (Phần Hai), Thủ Thuật Dòng Tiền (Phần Ba), Thủ Thuật Chỉ Số Then Chốt (Phần Bốn), và Thủ Thuật Kế Toán Mua Bán Sáp Nhập (Phần Năm).</w:t>
      </w:r>
    </w:p>
    <w:p>
      <w:pPr>
        <w:pStyle w:val="Heading4"/>
      </w:pPr>
      <w:r>
        <w:rPr>
          <w:rFonts w:ascii="Calibri" w:hAnsi="Calibri"/>
          <w:b/>
          <w:i w:val="0"/>
          <w:sz w:val="23"/>
        </w:rPr>
        <w:t>Thủ Thuật Thao Túng Lợi Nhuận (Phần Hai)</w:t>
      </w:r>
    </w:p>
    <w:p>
      <w:pPr>
        <w:spacing w:after="80"/>
      </w:pPr>
      <w:r>
        <w:rPr>
          <w:b w:val="0"/>
          <w:i w:val="0"/>
        </w:rPr>
        <w:t>Nhà đầu tư đánh giá rất gay gắt các giám đốc điều hành doanh nghiệp khi họ không đạt được kỳ vọng lợi nhuận của Phố Wall. Không có gì đáng ngạc nhiên, để đẩy giá cổ phiếu (và thường là cả gói thù lao của giám đốc điều hành) lên cao hơn, một số công ty đã dùng đủ loại thủ thuật để thao túng lợi nhuận. Chúng tôi đã xác định được bảy loại Thủ Thuật Thao Túng Lợi Nhuận (EM) sau đây dẫn đến việc trình bày sai lệch về lợi nhuận bền vững của một công ty.</w:t>
      </w:r>
    </w:p>
    <w:p>
      <w:pPr>
        <w:spacing w:after="80"/>
      </w:pPr>
      <w:r>
        <w:rPr>
          <w:b/>
          <w:i w:val="0"/>
        </w:rPr>
        <w:t>Thủ Thuật EM Số 1:</w:t>
      </w:r>
      <w:r>
        <w:rPr>
          <w:b w:val="0"/>
          <w:i w:val="0"/>
        </w:rPr>
        <w:t xml:space="preserve"> Ghi nhận doanh thu quá sớm</w:t>
      </w:r>
    </w:p>
    <w:p>
      <w:pPr>
        <w:spacing w:after="80"/>
      </w:pPr>
      <w:r>
        <w:rPr>
          <w:b/>
          <w:i w:val="0"/>
        </w:rPr>
        <w:t>Thủ Thuật EM Số 2:</w:t>
      </w:r>
      <w:r>
        <w:rPr>
          <w:b w:val="0"/>
          <w:i w:val="0"/>
        </w:rPr>
        <w:t xml:space="preserve"> Ghi nhận doanh thu giả mạo</w:t>
      </w:r>
    </w:p>
    <w:p>
      <w:pPr>
        <w:spacing w:after="80"/>
      </w:pPr>
      <w:r>
        <w:rPr>
          <w:b/>
          <w:i w:val="0"/>
        </w:rPr>
        <w:t>Thủ Thuật EM Số 3:</w:t>
      </w:r>
      <w:r>
        <w:rPr>
          <w:b w:val="0"/>
          <w:i w:val="0"/>
        </w:rPr>
        <w:t xml:space="preserve"> Thổi phồng thu nhập bằng các hoạt động một lần hoặc không bền vững</w:t>
      </w:r>
    </w:p>
    <w:p>
      <w:pPr>
        <w:spacing w:after="80"/>
      </w:pPr>
      <w:r>
        <w:rPr>
          <w:b/>
          <w:i w:val="0"/>
        </w:rPr>
        <w:t>Thủ Thuật EM Số 4:</w:t>
      </w:r>
      <w:r>
        <w:rPr>
          <w:b w:val="0"/>
          <w:i w:val="0"/>
        </w:rPr>
        <w:t xml:space="preserve"> Dịch chuyển chi phí hiện tại sang giai đoạn sau</w:t>
      </w:r>
    </w:p>
    <w:p>
      <w:pPr>
        <w:spacing w:after="80"/>
      </w:pPr>
      <w:r>
        <w:rPr>
          <w:b/>
          <w:i w:val="0"/>
        </w:rPr>
        <w:t>Thủ Thuật EM Số 5:</w:t>
      </w:r>
      <w:r>
        <w:rPr>
          <w:b w:val="0"/>
          <w:i w:val="0"/>
        </w:rPr>
        <w:t xml:space="preserve"> Sử dụng các kỹ thuật khác để che giấu chi phí hoặc lỗ</w:t>
      </w:r>
    </w:p>
    <w:p>
      <w:pPr>
        <w:spacing w:after="80"/>
      </w:pPr>
      <w:r>
        <w:rPr>
          <w:b/>
          <w:i w:val="0"/>
        </w:rPr>
        <w:t>Chiêu trò EM số 6:</w:t>
      </w:r>
      <w:r>
        <w:rPr>
          <w:b w:val="0"/>
          <w:i w:val="0"/>
        </w:rPr>
        <w:t xml:space="preserve"> Dịch chuyển thu nhập hiện tại sang giai đoạn sau</w:t>
      </w:r>
    </w:p>
    <w:p>
      <w:pPr>
        <w:spacing w:after="80"/>
      </w:pPr>
      <w:r>
        <w:rPr>
          <w:b/>
          <w:i w:val="0"/>
        </w:rPr>
        <w:t>Chiêu trò EM số 7:</w:t>
      </w:r>
      <w:r>
        <w:rPr>
          <w:b w:val="0"/>
          <w:i w:val="0"/>
        </w:rPr>
        <w:t xml:space="preserve"> Dịch chuyển chi phí tương lai về giai đoạn hiện tại</w:t>
      </w:r>
    </w:p>
    <w:p>
      <w:pPr>
        <w:pStyle w:val="Heading4"/>
      </w:pPr>
      <w:r>
        <w:rPr>
          <w:rFonts w:ascii="Calibri" w:hAnsi="Calibri"/>
          <w:b/>
          <w:i w:val="0"/>
          <w:sz w:val="23"/>
        </w:rPr>
        <w:t>Chiêu trò Dòng tiền (Phần Ba)</w:t>
      </w:r>
    </w:p>
    <w:p>
      <w:pPr>
        <w:spacing w:after="80"/>
      </w:pPr>
      <w:r>
        <w:rPr>
          <w:b w:val="0"/>
          <w:i w:val="0"/>
        </w:rPr>
        <w:t>Hàng loạt bê bối báo cáo tài chính và việc điều chỉnh lại lợi nhuận trong những năm gần đây đã khiến nhiều nhà đầu tư đặt câu hỏi liệu lợi nhuận được báo cáo có bao giờ thoát khỏi sự thao túng của ban quản lý hay không. Ngày càng nhiều nhà đầu tư mở rộng phạm vi quan tâm sang Báo cáo Lưu chuyển Tiền tệ (Statement of Cash Flows) và cụ thể hơn là phần làm nổi bật Dòng tiền từ Hoạt động Kinh doanh (Cash Flow From Operations - CFFO).</w:t>
      </w:r>
    </w:p>
    <w:p>
      <w:pPr>
        <w:spacing w:after="80"/>
      </w:pPr>
      <w:r>
        <w:rPr>
          <w:b w:val="0"/>
          <w:i w:val="0"/>
        </w:rPr>
        <w:t>Nhiều nhà đầu tư tin rằng khác với lợi nhuận, dòng tiền rất vững chắc và khó bị thao túng. Đáng buồn thay, đây chỉ là suy nghĩ viển vông. Báo cáo Lưu chuyển Tiền tệ không miễn nhiễm với các thủ thuật kế toán, và theo nhiều cách, thao túng dòng tiền có thể dễ dàng không kém gì thao túng lợi nhuận. Chúng tôi đã xác định được ba nhóm Chiêu trò Dòng tiền (CF) sau đây dẫn đến việc xuyên tạc khả năng sinh lời thực sự về tiền mặt của một doanh nghiệp.</w:t>
      </w:r>
    </w:p>
    <w:p>
      <w:pPr>
        <w:spacing w:after="80"/>
      </w:pPr>
      <w:r>
        <w:rPr>
          <w:b/>
          <w:i w:val="0"/>
        </w:rPr>
        <w:t>Chiêu trò CF số 1:</w:t>
      </w:r>
      <w:r>
        <w:rPr>
          <w:b w:val="0"/>
          <w:i w:val="0"/>
        </w:rPr>
        <w:t xml:space="preserve"> Dịch chuyển dòng tiền vào từ hoạt động tài chính sang phần Hoạt động Kinh doanh</w:t>
      </w:r>
    </w:p>
    <w:p>
      <w:pPr>
        <w:spacing w:after="80"/>
      </w:pPr>
      <w:r>
        <w:rPr>
          <w:b/>
          <w:i w:val="0"/>
        </w:rPr>
        <w:t>Chiêu trò CF số 2:</w:t>
      </w:r>
      <w:r>
        <w:rPr>
          <w:b w:val="0"/>
          <w:i w:val="0"/>
        </w:rPr>
        <w:t xml:space="preserve"> Chuyển dòng tiền ra khỏi phần Hoạt động Kinh doanh sang các phần khác</w:t>
      </w:r>
    </w:p>
    <w:p>
      <w:pPr>
        <w:spacing w:after="80"/>
      </w:pPr>
      <w:r>
        <w:rPr>
          <w:b/>
          <w:i w:val="0"/>
        </w:rPr>
        <w:t>Chiêu trò CF số 3:</w:t>
      </w:r>
      <w:r>
        <w:rPr>
          <w:b w:val="0"/>
          <w:i w:val="0"/>
        </w:rPr>
        <w:t xml:space="preserve"> Thổi phồng dòng tiền hoạt động bằng các hoạt động không bền vững</w:t>
      </w:r>
    </w:p>
    <w:p>
      <w:pPr>
        <w:pStyle w:val="Heading4"/>
      </w:pPr>
      <w:r>
        <w:rPr>
          <w:rFonts w:ascii="Calibri" w:hAnsi="Calibri"/>
          <w:b/>
          <w:i w:val="0"/>
          <w:sz w:val="23"/>
        </w:rPr>
        <w:t>Chiêu trò Chỉ số Then chốt (Phần Bốn)</w:t>
      </w:r>
    </w:p>
    <w:p>
      <w:pPr>
        <w:spacing w:after="80"/>
      </w:pPr>
      <w:r>
        <w:rPr>
          <w:b w:val="0"/>
          <w:i w:val="0"/>
        </w:rPr>
        <w:t>Cho đến nay, chúng ta đã đề cập đến các chiêu trò trong báo cáo tài chính truyền thống. Tuy nhiên, ngày càng nhiều kết quả kinh doanh được trình bày bên ngoài khuôn khổ này nhằm phục vụ cho nhiều loại chỉ số đặc thù của công ty và ngành. Những chỉ số này bao gồm Doanh số Cùng cửa hàng (Same-Store-Sales), Đơn hàng đặt trước (Bookings), Doanh thu Bình quân trên mỗi Người dùng (Average Revenue per User - ARPU), Lợi nhuận trên Vốn Đầu tư (Return on Invested Capital - ROIC), Lợi nhuận trước Lãi vay, Thuế, Khấu hao và Phân bổ (Earnings Before Interest, Taxes, Depreciation, and Amortization - EBITDA) và nhiều chỉ số khác. Vì nằm ngoài phạm vi GAAP, các công ty có nhiều quyền tự quyết hơn trong việc tính toán và báo cáo các chỉ số then chốt. Đương nhiên điều này tạo ra cơ hội cho các chiêu trò. Phần Bốn giới thiệu hai nhóm Chiêu trò Chỉ số Then chốt (KM).</w:t>
      </w:r>
    </w:p>
    <w:p>
      <w:pPr>
        <w:spacing w:after="80"/>
      </w:pPr>
      <w:r>
        <w:rPr>
          <w:b/>
          <w:i w:val="0"/>
        </w:rPr>
        <w:t>Chiêu trò KM số 1:</w:t>
      </w:r>
      <w:r>
        <w:rPr>
          <w:b w:val="0"/>
          <w:i w:val="0"/>
        </w:rPr>
        <w:t xml:space="preserve"> Trưng ra các chỉ số gây hiểu lầm nhằm phóng đại kết quả hoạt động</w:t>
      </w:r>
    </w:p>
    <w:p>
      <w:pPr>
        <w:spacing w:after="80"/>
      </w:pPr>
      <w:r>
        <w:rPr>
          <w:b/>
          <w:i w:val="0"/>
        </w:rPr>
        <w:t>Chiêu trò KM số 2:</w:t>
      </w:r>
      <w:r>
        <w:rPr>
          <w:b w:val="0"/>
          <w:i w:val="0"/>
        </w:rPr>
        <w:t xml:space="preserve"> Bóp méo các chỉ số trên Bảng cân đối kế toán để tránh cho thấy sự suy thoái</w:t>
      </w:r>
    </w:p>
    <w:p>
      <w:pPr>
        <w:pStyle w:val="Heading4"/>
      </w:pPr>
      <w:r>
        <w:rPr>
          <w:rFonts w:ascii="Calibri" w:hAnsi="Calibri"/>
          <w:b/>
          <w:i w:val="0"/>
          <w:sz w:val="23"/>
        </w:rPr>
        <w:t>Chiêu trò Kế toán Mua bán &amp; Sáp nhập (Phần Năm)</w:t>
      </w:r>
    </w:p>
    <w:p>
      <w:pPr>
        <w:spacing w:after="80"/>
      </w:pPr>
      <w:r>
        <w:rPr>
          <w:b w:val="0"/>
          <w:i w:val="0"/>
        </w:rPr>
        <w:t xml:space="preserve">Trong một phần tư thế kỷ qua, chúng tôi đã phát hiện một số chiêu trò gây bức xúc nhất được che giấu thông qua quy trình kế toán mua bán &amp; sáp nhập phức tạp. Do đó, chúng tôi đã bổ sung phần này vào ấn bản mới của </w:t>
      </w:r>
      <w:r>
        <w:rPr>
          <w:b w:val="0"/>
          <w:i/>
        </w:rPr>
        <w:t>Financial Shenanigans</w:t>
      </w:r>
      <w:r>
        <w:rPr>
          <w:b w:val="0"/>
          <w:i w:val="0"/>
        </w:rPr>
        <w:t xml:space="preserve"> nhằm làm nổi bật những phức tạp vốn có khi đánh giá các công ty được thúc đẩy bởi hoạt động M&amp;A, đồng thời xác định những chiêu trò phổ biến thường khiến nhà đầu tư sập bẫy.</w:t>
      </w:r>
    </w:p>
    <w:p>
      <w:pPr>
        <w:spacing w:after="80"/>
      </w:pPr>
      <w:r>
        <w:rPr>
          <w:b/>
          <w:i w:val="0"/>
        </w:rPr>
        <w:t>Chiêu trò AA số 1:</w:t>
      </w:r>
      <w:r>
        <w:rPr>
          <w:b w:val="0"/>
          <w:i w:val="0"/>
        </w:rPr>
        <w:t xml:space="preserve"> Thổi phồng doanh thu và lợi nhuận một cách nhân tạo</w:t>
      </w:r>
    </w:p>
    <w:p>
      <w:pPr>
        <w:spacing w:after="80"/>
      </w:pPr>
      <w:r>
        <w:rPr>
          <w:b/>
          <w:i w:val="0"/>
        </w:rPr>
        <w:t>Chiêu trò AA số 2:</w:t>
      </w:r>
      <w:r>
        <w:rPr>
          <w:b w:val="0"/>
          <w:i w:val="0"/>
        </w:rPr>
        <w:t xml:space="preserve"> Thổi phồng dòng tiền được báo cáo</w:t>
      </w:r>
    </w:p>
    <w:p>
      <w:pPr>
        <w:spacing w:after="80"/>
      </w:pPr>
      <w:r>
        <w:rPr>
          <w:b/>
          <w:i w:val="0"/>
        </w:rPr>
        <w:t>Chiêu trò gian lận thứ 3:</w:t>
      </w:r>
      <w:r>
        <w:rPr>
          <w:b w:val="0"/>
          <w:i w:val="0"/>
        </w:rPr>
        <w:t xml:space="preserve"> Thao túng các chỉ số quan trọng</w:t>
      </w:r>
    </w:p>
    <w:p>
      <w:pPr>
        <w:pStyle w:val="Heading3"/>
      </w:pPr>
      <w:r>
        <w:rPr>
          <w:rFonts w:ascii="Calibri" w:hAnsi="Calibri"/>
          <w:b/>
          <w:i w:val="0"/>
          <w:sz w:val="26"/>
        </w:rPr>
        <w:t>Sử dụng phương pháp tiếp cận toàn diện để phát hiện gian lận tài chính</w:t>
      </w:r>
    </w:p>
    <w:p>
      <w:pPr>
        <w:pStyle w:val="Heading4"/>
      </w:pPr>
      <w:r>
        <w:rPr>
          <w:rFonts w:ascii="Calibri" w:hAnsi="Calibri"/>
          <w:b/>
          <w:i w:val="0"/>
          <w:sz w:val="23"/>
        </w:rPr>
        <w:t>Tầm quan trọng của "cơ chế kiểm tra và cân bằng"</w:t>
      </w:r>
    </w:p>
    <w:p>
      <w:pPr>
        <w:spacing w:after="80"/>
      </w:pPr>
      <w:r>
        <w:rPr>
          <w:b w:val="0"/>
          <w:i w:val="0"/>
        </w:rPr>
        <w:t>Khởi đầu vào tháng 6 năm 1972 như một vụ đột nhập thất bại vào văn phòng Ủy ban Quốc gia Đảng Dân chủ tại khách sạn Watergate ở Washington, D.C., sự việc này đã dẫn đến việc một tổng thống Mỹ từ chức chưa từng có tiền lệ vào tháng 8 năm 1974. Việc Tổng thống Nixon bị buộc rời khỏi ghế đã khẳng định rằng hệ thống kiểm tra và cân bằng của Mỹ thực sự có hiệu quả. Cả nhánh tư pháp lẫn lập pháp đều đóng vai trò quan trọng trong việc ngăn chặn một người đứng đầu hành pháp lạm dụng quyền lực hiến định của mình. Tòa án Tối cao đã ra phán quyết nhất trí rằng Tổng thống Nixon không thể viện dẫn đặc quyền hành pháp để ngăn cản các điều tra viên tiếp cận các băng ghi âm của Nhà Trắng, những thứ được cho là chứa bằng chứng gây bất lợi, và Ủy ban Tư pháp của Hạ viện đã đề nghị luận tội trước toàn thể Hạ viện. Đối mặt với viễn cảnh có khả năng thua các cuộc bỏ phiếu luận tội tại cả Hạ viện lẫn Thượng viện, Nixon đã từ chức tổng thống.</w:t>
      </w:r>
    </w:p>
    <w:p>
      <w:pPr>
        <w:spacing w:after="80"/>
      </w:pPr>
      <w:r>
        <w:rPr>
          <w:b w:val="0"/>
          <w:i w:val="0"/>
        </w:rPr>
        <w:t>Năm 1999, Tổng thống Bill Clinton đã đẩy văn phòng hành pháp đến bờ vực với một cuộc khủng hoảng hiến định khác liên quan đến hành vi không đúng mực của tổng thống. Hạ viện đã bỏ phiếu luận tội Clinton vì tội khai man dưới lời thề về mối quan hệ của ông với một thực tập sinh Nhà Trắng, tuyên bố rằng tổng thống "đã cố ý làm hỏng và thao túng tiến trình tư pháp của Hoa Kỳ vì lợi ích cá nhân và để minh oan cho bản thân." Tuy nhiên, với Chánh án Tòa án Tối cao William Rehnquist chủ tọa, Thượng viện gặp khó khăn trong việc tìm ra tội danh có thể luận tội theo "trọng tội và khinh tội," và Clinton được tuyên vô tội.</w:t>
      </w:r>
    </w:p>
    <w:p>
      <w:pPr>
        <w:spacing w:after="80"/>
      </w:pPr>
      <w:r>
        <w:rPr>
          <w:b w:val="0"/>
          <w:i w:val="0"/>
        </w:rPr>
        <w:t>Dù mục tiêu là bảo vệ nền dân chủ hay duy trì tính chính trực của báo cáo tài chính, một hệ thống kiểm tra và cân bằng là tối quan trọng để ngăn chặn, phát hiện và trừng phạt hành vi không đúng mực. Và cũng giống như chính phủ Mỹ, báo cáo tài chính có ba "nhánh" riêng biệt: Báo cáo Kết quả Kinh doanh (Income Statement), Bảng Cân đối Kế toán (Balance Sheet), và Báo cáo Lưu chuyển Tiền tệ (Statement of Cash Flows). Khi một trong các báo cáo tài chính này chứa chiêu trò gian lận, các dấu hiệu cảnh báo thường xuất hiện trên những báo cáo còn lại. Do đó, các chiêu trò thao túng lợi nhuận (Earnings Manipulation Shenanigans) thường có thể được phát hiện một cách gián tiếp thông qua những mô hình bất thường trên Bảng Cân đối Kế toán và Báo cáo Lưu chuyển Tiền tệ. Tương tự, việc giải mã một số thay đổi nhất định trên Báo cáo Kết quả Kinh doanh và Bảng Cân đối Kế toán thường có thể giúp nhà đầu tư phát hiện ra các chiêu trò gian lận dòng tiền (Cash Flow Shenanigans).</w:t>
      </w:r>
    </w:p>
    <w:p>
      <w:pPr>
        <w:pStyle w:val="Heading4"/>
      </w:pPr>
      <w:r>
        <w:rPr>
          <w:rFonts w:ascii="Calibri" w:hAnsi="Calibri"/>
          <w:b/>
          <w:i w:val="0"/>
          <w:sz w:val="23"/>
        </w:rPr>
        <w:t>Môi trường nào nuôi dưỡng các chiêu trò gian lận?</w:t>
      </w:r>
    </w:p>
    <w:p>
      <w:pPr>
        <w:spacing w:after="80"/>
      </w:pPr>
      <w:r>
        <w:rPr>
          <w:b w:val="0"/>
          <w:i w:val="0"/>
        </w:rPr>
        <w:t>Những công ty có điểm yếu về cơ cấu tổ chức hoặc thiếu sự giám sát sẽ là mảnh đất màu mỡ cho các chiêu trò gian lận. Nhà đầu tư nên thăm dò cơ chế quản trị và giám sát của một công ty bằng cách đặt những câu hỏi cơ bản sau: (1) Liệu có tồn tại cơ chế kiểm tra và cân bằng phù hợp giữa các lãnh đạo cấp cao để dập tắt những hành vi sai trái của doanh nghiệp không? (2) Liệu các thành viên bên ngoài của hội đồng quản trị có đóng vai trò thiết thực trong việc bảo vệ nhà đầu tư khỏi ban lãnh đạo tham lam, sai lầm hoặc kém cỏi không? (3) Liệu các kiểm toán viên có đủ tính độc lập, kiến thức và quyết tâm để bảo vệ nhà đầu tư khi ban lãnh đạo hành xử không đúng mực không? Và (4) liệu công ty có thực hiện những bước đi vòng vèo không đúng đắn để tránh sự soi xét của cơ quan quản lý không?</w:t>
      </w:r>
    </w:p>
    <w:p>
      <w:pPr>
        <w:pStyle w:val="Heading4"/>
      </w:pPr>
      <w:r>
        <w:rPr>
          <w:rFonts w:ascii="Calibri" w:hAnsi="Calibri"/>
          <w:b/>
          <w:i w:val="0"/>
          <w:sz w:val="23"/>
        </w:rPr>
        <w:t>Ban lãnh đạo thiếu cơ chế kiểm tra và cân bằng</w:t>
      </w:r>
    </w:p>
    <w:p>
      <w:pPr>
        <w:spacing w:after="80"/>
      </w:pPr>
      <w:r>
        <w:rPr>
          <w:b w:val="0"/>
          <w:i w:val="0"/>
        </w:rPr>
        <w:t>Ở những công ty tốt nhất, các lãnh đạo cấp cao có thể thoải mái phê bình và bất đồng ý kiến với nhau—kiểu như trong một cuộc hôn nhân tốt đẹp. Ở những công ty không lành mạnh, một nhà lãnh đạo độc đoán duy nhất sẽ chà đạp lên những người khác—không khác gì trong một cuộc hôn nhân tồi tệ. Nhà đầu tư đối mặt với rủi ro lớn nếu nhà lãnh đạo độc đoán đó còn có ý định tạo ra những báo cáo tài chính gây hiểu lầm. Ai có thể ngăn cản CEO khi tồn tại một văn hóa sợ hãi và đe dọa? Điều quan trọng đối với nhà đầu tư là phải có đủ cơ chế kiểm tra và cân bằng giữa ban lãnh đạo cấp cao để ngăn chặn hành vi xấu.</w:t>
      </w:r>
    </w:p>
    <w:p>
      <w:pPr>
        <w:pStyle w:val="Heading5"/>
      </w:pPr>
      <w:r>
        <w:rPr>
          <w:rFonts w:ascii="Calibri" w:hAnsi="Calibri"/>
          <w:b/>
          <w:i/>
          <w:sz w:val="22"/>
        </w:rPr>
        <w:t>Hãy cảnh giác với những công ty thiếu cơ chế kiểm tra và cân bằng trong ban lãnh đạo</w:t>
      </w:r>
    </w:p>
    <w:p>
      <w:pPr>
        <w:spacing w:after="80"/>
      </w:pPr>
      <w:r>
        <w:rPr>
          <w:b w:val="0"/>
          <w:i w:val="0"/>
        </w:rPr>
        <w:t>Nhà đầu tư được hưởng lợi tốt nhất khi ban lãnh đạo cấp cao bao gồm những thành viên mạnh mẽ, tự tin và có đạo đức, những người sẽ ngăn chặn một CEO hoặc CFO không trung thực và báo cáo hành vi không đúng mực lên hội đồng quản trị và kiểm toán viên. Tuy nhiên, quá thường xuyên, các chiêu trò gian lận tài chính lại nảy sinh khi không tồn tại cơ chế kiểm tra và cân bằng như vậy. Ví dụ, một cơ cấu tổ chức trong đó một nhóm nhỏ gia đình và bạn bè nắm giữ các vị trí lãnh đạo chủ chốt có thể khuyến khích ban lãnh đạo tham gia vào những trò lừa dối trong báo cáo tài chính. Ngoài ra, một CEO quyền lực và hay bắt nạt, như Al Dunlap của Sunbeam hay Richard Scrushy của HealthSouth, cùng với những cấp dưới yếu ớt, đồng lõa hoặc có xung đột lợi ích, sẽ làm tăng mức độ rủi ro cho hành vi xấu.</w:t>
      </w:r>
    </w:p>
    <w:p>
      <w:pPr>
        <w:pStyle w:val="Heading5"/>
      </w:pPr>
      <w:r>
        <w:rPr>
          <w:rFonts w:ascii="Calibri" w:hAnsi="Calibri"/>
          <w:b/>
          <w:i/>
          <w:sz w:val="22"/>
        </w:rPr>
        <w:t>Hãy để ý những lãnh đạo cấp cao thúc ép giành chiến thắng bằng mọi giá</w:t>
      </w:r>
    </w:p>
    <w:p>
      <w:pPr>
        <w:spacing w:after="80"/>
      </w:pPr>
      <w:r>
        <w:rPr>
          <w:b w:val="0"/>
          <w:i w:val="0"/>
        </w:rPr>
        <w:t>Ở đầu chương trước, chúng tôi đã chia sẻ lời của Joe Nacchio về sự cần thiết phải luôn "đạt được các con số" khi ông phát biểu trước đội ngũ của mình tại một cuộc họp công ty năm 2001.</w:t>
      </w:r>
    </w:p>
    <w:p>
      <w:pPr>
        <w:spacing w:after="80"/>
      </w:pPr>
      <w:r>
        <w:rPr>
          <w:b w:val="0"/>
          <w:i w:val="0"/>
        </w:rPr>
        <w:t>Với triết lý đáng sợ đó, không ai nên ngạc nhiên khi Nacchio và sáu cựu lãnh đạo của Qwest bị SEC kiện, cáo buộc họ dàn dựng một vụ gian lận kế toán quy mô lớn trị giá 3 tỷ đô la từ năm 1999 đến 2002. Nacchio sau đó bị kết án và lĩnh án gần sáu năm tù liên bang.</w:t>
      </w:r>
    </w:p>
    <w:p>
      <w:pPr>
        <w:pStyle w:val="Heading5"/>
      </w:pPr>
      <w:r>
        <w:rPr>
          <w:rFonts w:ascii="Calibri" w:hAnsi="Calibri"/>
          <w:b/>
          <w:i/>
          <w:sz w:val="22"/>
        </w:rPr>
        <w:t>Hãy hoài nghi với ban lãnh đạo khoác lác hoặc mang tính quảng bá</w:t>
      </w:r>
    </w:p>
    <w:p>
      <w:pPr>
        <w:spacing w:after="80"/>
      </w:pPr>
      <w:r>
        <w:rPr>
          <w:b w:val="0"/>
          <w:i w:val="0"/>
        </w:rPr>
        <w:t>Các nhà đầu tư nên đặc biệt cẩn trọng khi ban lãnh đạo công khai khoe khoang về chuỗi thành tích liên tiếp đáp ứng hoặc vượt kỳ vọng của Phố Wall. Thường thì kiểu gì cũng sẽ đến lúc khó khăn hoặc trục trặc xuất hiện, và ban lãnh đạo có thể cảm thấy bị áp lực phải dùng đến các chiêu trò kế toán và thậm chí là gian lận để giữ cho chuỗi thành tích đó tiếp diễn, thay vì thông báo rằng chuỗi thành công của mình đã kết thúc.</w:t>
      </w:r>
    </w:p>
    <w:p>
      <w:pPr>
        <w:spacing w:after="80"/>
      </w:pPr>
      <w:r>
        <w:rPr>
          <w:b w:val="0"/>
          <w:i w:val="0"/>
        </w:rPr>
        <w:t>Hãy xem trường hợp của Symbol Technologies, nhà sản xuất máy quét mã vạch có trụ sở tại Long Island. Symbol dường như bị ám ảnh bởi việc không bao giờ được làm Phố Wall thất vọng. Trong hơn tám năm liên tiếp, công ty hoặc đáp ứng hoặc vượt mức thu nhập ước tính của Phố Wall—32 quý liên tiếp thành công bền vững. Trên thực tế, Symbol đã sử dụng gần như mọi chiêu trò trong sách để duy trì "chuỗi thắng" của mình. Cuối cùng, SEC đã tóm được Symbol và cáo buộc công ty thực hiện một vụ gian lận quy mô lớn từ năm 1998 đến năm 2003.</w:t>
      </w:r>
    </w:p>
    <w:p>
      <w:pPr>
        <w:spacing w:after="80"/>
      </w:pPr>
      <w:r>
        <w:rPr>
          <w:b w:val="0"/>
          <w:i w:val="0"/>
        </w:rPr>
        <w:t>Các công ty dính vào nhiều vụ gian lận lớn khác cũng nhấn mạnh những chuỗi thắng tương tự, bao gồm đại gia siêu thị Royal Ahold, nhà sản xuất phụ tùng ô tô Delphi Corporation, tập đoàn công nghiệp General Electric Company, và tiệm bánh doughnut Krispy Kreme Doughnuts Inc. Royal Ahold, công ty sau này nổi lên như một trong những vụ gian lận lớn nhất châu Âu, rất thích khoe khoang về chuỗi thành tích của mình trong các cuộc gọi báo cáo thu nhập với nhà đầu tư:</w:t>
      </w:r>
    </w:p>
    <w:p>
      <w:pPr>
        <w:spacing w:after="80"/>
      </w:pPr>
      <w:r>
        <w:rPr>
          <w:b w:val="0"/>
          <w:i w:val="0"/>
        </w:rPr>
        <w:t>Đây là năm thứ mười ba liên tiếp thu nhập ròng của chúng tôi tăng trưởng đáng kể. Ahold luôn đáp ứng hoặc vượt kỳ vọng trong suốt giai đoạn 13 năm này và chúng tôi dự định sẽ tiếp tục như vậy.</w:t>
      </w:r>
    </w:p>
    <w:p>
      <w:pPr>
        <w:pStyle w:val="Heading3"/>
      </w:pPr>
      <w:r>
        <w:rPr>
          <w:rFonts w:ascii="Calibri" w:hAnsi="Calibri"/>
          <w:b/>
          <w:i w:val="0"/>
          <w:sz w:val="26"/>
        </w:rPr>
        <w:t>Hội đồng quản trị thiếu năng lực hoặc thiếu tính độc lập</w:t>
      </w:r>
    </w:p>
    <w:p>
      <w:pPr>
        <w:spacing w:after="80"/>
      </w:pPr>
      <w:r>
        <w:rPr>
          <w:b w:val="0"/>
          <w:i w:val="0"/>
        </w:rPr>
        <w:t>Đây có thể là công việc bán thời gian tốt nhất thế giới. Ngồi làm thành viên hội đồng quản trị bên ngoài (outside director) mang lại uy tín, đặc quyền và một khoản thù lao hậu hĩnh, với tiền mặt và các khoản bồi thường phi tiền mặt thường vượt quá 200.000 đô la mỗi năm.</w:t>
      </w:r>
    </w:p>
    <w:p>
      <w:pPr>
        <w:spacing w:after="80"/>
      </w:pPr>
      <w:r>
        <w:rPr>
          <w:b w:val="0"/>
          <w:i w:val="0"/>
        </w:rPr>
        <w:t>Trong khi chúng ta biết rằng tình huống này diễn ra rất tốt đẹp cho những vị giám đốc may mắn, thì thường ít rõ ràng liệu các nhà đầu tư có nhận được sự bảo vệ cần thiết và mong đợi từ những người được ủy thác (fiduciary) này hay không. Nhà đầu tư phải đánh giá các thành viên hội đồng quản trị ở hai cấp độ: (1) họ có xứng đáng ngồi trong hội đồng quản trị không, và họ có đủ năng lực cho các ủy ban mà họ tham gia (ví dụ: kiểm toán hoặc thù lao) không, và (2) họ có đang thực hiện đúng nghĩa vụ của mình để bảo vệ nhà đầu tư không?</w:t>
      </w:r>
    </w:p>
    <w:p>
      <w:pPr>
        <w:pStyle w:val="Heading4"/>
      </w:pPr>
      <w:r>
        <w:rPr>
          <w:rFonts w:ascii="Calibri" w:hAnsi="Calibri"/>
          <w:b/>
          <w:i w:val="0"/>
          <w:sz w:val="23"/>
        </w:rPr>
        <w:t>Thành viên hội đồng quản trị không phù hợp hoặc chuẩn bị chưa đầy đủ</w:t>
      </w:r>
    </w:p>
    <w:p>
      <w:pPr>
        <w:spacing w:after="80"/>
      </w:pPr>
      <w:r>
        <w:rPr>
          <w:b w:val="0"/>
          <w:i w:val="0"/>
        </w:rPr>
        <w:t>Người hâm mộ bóng chày (ở một độ tuổi nhất định) chắc chắn nhớ Tommy Lasorda, huấn luyện viên lâu năm của Los Angeles Dodgers và sau này là người phát ngôn quảng cáo cho doanh nghiệp. Chắc chắn Tommy có tài năng trên sân bóng chày cùng cá tính và sức hút giúp các công ty quảng bá sản phẩm. Nhưng với tư cách thành viên hội đồng quản trị của công ty niêm yết Lone Star Steakhouse, Tommy có thể đã "lạc vào sân chơi không thuộc về mình." Dù bảy thập kỷ gắn bó với bóng chày của ông khá ấn tượng, nhưng điều đó có lẽ không mang lại cho ông kỹ năng phân tích tài chính vững vàng.</w:t>
      </w:r>
    </w:p>
    <w:p>
      <w:pPr>
        <w:spacing w:after="80"/>
      </w:pPr>
      <w:r>
        <w:rPr>
          <w:b w:val="0"/>
          <w:i w:val="0"/>
        </w:rPr>
        <w:t xml:space="preserve">Tệ hơn nữa, cựu hậu vệ chạy giành giải Heisman và ngôi sao sân cỏ NFL (đồng thời là kẻ phạm tội đã bị kết án) O.J. Simpson từng được giao nhiệm vụ trung thành bảo vệ lợi ích của nhà đầu tư bằng cách phục vụ trong </w:t>
      </w:r>
      <w:r>
        <w:rPr>
          <w:b w:val="0"/>
          <w:i/>
        </w:rPr>
        <w:t>ủy ban kiểm toán</w:t>
      </w:r>
      <w:r>
        <w:rPr>
          <w:b w:val="0"/>
          <w:i w:val="0"/>
        </w:rPr>
        <w:t xml:space="preserve"> cực kỳ quan trọng của Infinity Broadcasting vào những năm 1990. Khó có khả năng O.J. (hay thẳng thắn mà nói, hầu hết bất kỳ vận động viên chuyên nghiệp nào) có đủ chuyên môn và kinh nghiệm cần thiết để xử lý những phức tạp của một Bảng cân đối kế toán (Balance Sheet), chứ chưa nói đến việc giám sát các quy trình báo cáo và công bố tài chính. Nhà đầu tư nên yêu cầu các thành viên hội đồng quản trị bên ngoài phải có kiến thức và kinh nghiệm thiết yếu, và chỉ tham gia vào những ủy ban phù hợp với kỹ năng chuyên môn của họ.</w:t>
      </w:r>
    </w:p>
    <w:p>
      <w:pPr>
        <w:pStyle w:val="Heading4"/>
      </w:pPr>
      <w:r>
        <w:rPr>
          <w:rFonts w:ascii="Calibri" w:hAnsi="Calibri"/>
          <w:b/>
          <w:i w:val="0"/>
          <w:sz w:val="23"/>
        </w:rPr>
        <w:t>Không dám thách thức ban lãnh đạo về các giao dịch với bên liên quan</w:t>
      </w:r>
    </w:p>
    <w:p>
      <w:pPr>
        <w:spacing w:after="80"/>
      </w:pPr>
      <w:r>
        <w:rPr>
          <w:b w:val="0"/>
          <w:i w:val="0"/>
        </w:rPr>
        <w:t xml:space="preserve">Năm 2008, các giám đốc điều hành của gã khổng lồ công nghệ thông tin Ấn Độ Satyam quyết định mua lại một công ty, Maytas, trong một giao dịch cần hội đồng quản trị phê duyệt. Hội đồng quản trị đã họp và đồng ý với yêu cầu của ban lãnh đạo, dù rằng các con trai của CEO kiểm soát công ty mục tiêu. Cụ thể, hội đồng quản trị Satyam đã phê duyệt đề xuất đầu tư 1,6 tỷ đô la để mua 100% Maytas Properties và 51% Maytas Infrastructure. (Từ </w:t>
      </w:r>
      <w:r>
        <w:rPr>
          <w:b w:val="0"/>
          <w:i/>
        </w:rPr>
        <w:t>Maytas</w:t>
      </w:r>
      <w:r>
        <w:rPr>
          <w:b w:val="0"/>
          <w:i w:val="0"/>
        </w:rPr>
        <w:t xml:space="preserve"> chính là </w:t>
      </w:r>
      <w:r>
        <w:rPr>
          <w:b w:val="0"/>
          <w:i/>
        </w:rPr>
        <w:t>Satyam</w:t>
      </w:r>
      <w:r>
        <w:rPr>
          <w:b w:val="0"/>
          <w:i w:val="0"/>
        </w:rPr>
        <w:t xml:space="preserve"> viết ngược lại—một manh mối nữa cho tất cả các bạn thám tử Sherlock Holmes về bản chất giao dịch với bên liên quan này.)</w:t>
      </w:r>
    </w:p>
    <w:p>
      <w:pPr>
        <w:spacing w:after="80"/>
      </w:pPr>
      <w:r>
        <w:rPr>
          <w:b w:val="0"/>
          <w:i w:val="0"/>
        </w:rPr>
        <w:t>Hội đồng quản trị lẽ ra phải phản đối thương vụ mua lại này không chỉ vì các con trai của CEO kiểm soát công ty mục tiêu mà còn vì nó chẳng có mấy ý nghĩa. Bất kỳ giám đốc nào của Satyam cũng lẽ ra phải thấy khó hiểu khi công ty đề xuất đầu tư 1,6 tỷ đô la vào các dự án bất động sản với bên liên quan (chắc chắn không phải mảng kinh doanh cốt lõi của mình) vào thời điểm mà mảng kinh doanh cốt lõi đang chịu áp lực và khoản đầu tư thêm lẽ ra nên được hướng đến việc chống lại đối thủ cạnh tranh thì tốt hơn.</w:t>
      </w:r>
    </w:p>
    <w:p>
      <w:pPr>
        <w:spacing w:after="80"/>
      </w:pPr>
      <w:r>
        <w:rPr>
          <w:b w:val="0"/>
          <w:i w:val="0"/>
        </w:rPr>
        <w:t>Dù hội đồng quản trị đã đồng ý với thương vụ mua lại, nó đã bị hủy bỏ vào ngày hôm sau sau làn sóng phản đối của nhà đầu tư. CEO của Satyam sau đó nói với nhà chức trách rằng thương vụ này là nỗ lực cuối cùng nhằm thay thế các tài sản hư cấu của Satyam bằng tài sản thật. Một dấu hiệu của hội đồng quản trị lành mạnh và hiệu quả là khi một quan điểm bất đồng đảo ngược được sự đồng thuận do ban lãnh đạo dẫn dắt. Điều đó rõ ràng đã không xảy ra ở Satyam.</w:t>
      </w:r>
    </w:p>
    <w:p>
      <w:pPr>
        <w:pStyle w:val="Heading4"/>
      </w:pPr>
      <w:r>
        <w:rPr>
          <w:rFonts w:ascii="Calibri" w:hAnsi="Calibri"/>
          <w:b/>
          <w:i w:val="0"/>
          <w:sz w:val="23"/>
        </w:rPr>
        <w:t>Không dám thách thức ban lãnh đạo về các kế hoạch thù lao không phù hợp</w:t>
      </w:r>
    </w:p>
    <w:p>
      <w:pPr>
        <w:spacing w:after="80"/>
      </w:pPr>
      <w:r>
        <w:rPr>
          <w:b w:val="0"/>
          <w:i w:val="0"/>
        </w:rPr>
        <w:t>Việc thiết lập mức thù lao phù hợp hoàn toàn thuộc trách nhiệm của các thành viên hội đồng quản trị bên ngoài, cụ thể là những người phục vụ trong ủy ban thù lao. Ban lãnh đạo có thể đề xuất một kế hoạch kỳ quặc nào đó thưởng cho các giám đốc điều hành vượt xa mức hợp lý một cách không thỏa đáng. Ví dụ, vào giữa những năm 1990, Computer Associates đã thiết lập một kế hoạch mà sau này trả cho các giám đốc điều hành cấp cao hơn 1 tỷ đô la cổ phiếu bổ sung như phần thưởng vì đã giữ giá cổ phiếu trên một ngưỡng nhất định trong khoảng thời gian 30 ngày. Đáng sốc là hội đồng quản trị đã đồng ý với kế hoạch thù lao rất kỳ lạ và liều lĩnh này.</w:t>
      </w:r>
    </w:p>
    <w:p>
      <w:pPr>
        <w:spacing w:after="80"/>
      </w:pPr>
      <w:r>
        <w:rPr>
          <w:b w:val="0"/>
          <w:i w:val="0"/>
        </w:rPr>
        <w:t>Đôi khi, ngay cả những chương trình đãi ngộ được tính toán kỹ lưỡng, nếu bị đẩy đến cực đoan, cũng có thể dẫn đến hành vi cực kỳ rủi ro của ban lãnh đạo và hậu quả thảm khốc cho nhà đầu tư. Hãy xem xét thỏa thuận trả lương theo hiệu suất của Valeant với các giám đốc điều hành cấp cao. Yếu tố chính được dùng để xác định thù lao dựa trên cổ phiếu là mức tăng giá cổ phiếu bình quân, được gọi là "tổng lợi nhuận cổ đông" (total shareholder return, hay TSR). TSR càng cao, các giám đốc điều hành này càng nhận được nhiều cổ phiếu bổ sung hơn. Và với mức lợi nhuận hằng năm tại Valeant vượt 60 phần trăm, khối tài sản của CEO Michael Pearson tăng vượt xa sức tưởng tượng của bất kỳ ai—lên tới hơn 3 tỷ đô-la vào thời kỳ đỉnh cao! Nhưng tất nhiên, điều đó dẫn đến hành vi cực kỳ rủi ro, gây tổn hại cho các nhà đầu tư dài hạn của công ty.</w:t>
      </w:r>
    </w:p>
    <w:p>
      <w:pPr>
        <w:spacing w:after="80"/>
      </w:pPr>
      <w:r>
        <w:rPr>
          <w:b w:val="0"/>
          <w:i w:val="0"/>
        </w:rPr>
        <w:t>Hơn nữa, ngoài chương trình thù lao dựa trên cổ phiếu sai lầm chỉ dựa vào mức tăng giá cổ phiếu, chương trình khuyến khích tiền mặt hằng năm (annual cash incentive program, AIP) của công ty cũng còn nhiều điều đáng bàn. Thay vì dựa khoản chi trả này trên những kết quả đáng tin cậy, đã được kiểm toán theo GAAP, Valeant sử dụng hai chỉ số phi GAAP—lợi nhuận điều chỉnh và doanh thu điều chỉnh. (Như chúng tôi trình bày trong Chương 17, lợi nhuận điều chỉnh của Valeant đã thổi phồng nghiêm trọng hiệu suất thực sự của công ty.)</w:t>
      </w:r>
    </w:p>
    <w:p>
      <w:pPr>
        <w:spacing w:after="80"/>
      </w:pPr>
      <w:r>
        <w:rPr>
          <w:b w:val="0"/>
          <w:i w:val="0"/>
        </w:rPr>
        <w:t xml:space="preserve">Sau khi ngẫm nghĩ, vài bài học quan trọng hiện ra: Quá nhiều của một điều tốt có thể lại rất tệ. Đúng, trả lương theo hiệu suất nói chung là điều tốt, </w:t>
      </w:r>
      <w:r>
        <w:rPr>
          <w:b w:val="0"/>
          <w:i/>
        </w:rPr>
        <w:t>nhưng chỉ khi nó được áp dụng cho những chỉ số hợp lý và khuyến khích việc chấp nhận rủi ro một cách thận trọng.</w:t>
      </w:r>
      <w:r>
        <w:rPr>
          <w:b w:val="0"/>
          <w:i w:val="0"/>
        </w:rPr>
        <w:t xml:space="preserve"> Kế hoạch đãi ngộ tại Valeant đã sai lầm không thể cứu vãn theo hai cách cơ bản: (1) nó chỉ dựa vào mức tăng giá cổ phiếu và những chỉ số phi GAAP không đáng tin cậy, và (2) việc trả lương quá cao cho mức tăng trưởng TSR cực đoan đã khuyến khích hành vi quản lý liều lĩnh.</w:t>
      </w:r>
    </w:p>
    <w:p>
      <w:pPr>
        <w:spacing w:after="80"/>
      </w:pPr>
      <w:r>
        <w:rPr>
          <w:b w:val="0"/>
          <w:i w:val="0"/>
        </w:rPr>
        <w:t>Khi đánh giá các giám đốc bên ngoài, nhà đầu tư phải luôn tự hỏi họ đang ưu ái lợi ích của ai—của ban lãnh đạo hay của nhà đầu tư. Nhà đầu tư cũng nên luôn đặt câu hỏi về những kế hoạch đãi ngộ có thể dễ dàng bị lạm dụng để thổi phồng ví tiền của giám đốc điều hành một cách không chính đáng.</w:t>
      </w:r>
    </w:p>
    <w:p>
      <w:pPr>
        <w:pStyle w:val="Heading3"/>
      </w:pPr>
      <w:r>
        <w:rPr>
          <w:rFonts w:ascii="Calibri" w:hAnsi="Calibri"/>
          <w:b/>
          <w:i w:val="0"/>
          <w:sz w:val="26"/>
        </w:rPr>
        <w:t>Kiểm toán viên thiếu tính khách quan và vẻ ngoài độc lập</w:t>
      </w:r>
    </w:p>
    <w:p>
      <w:pPr>
        <w:spacing w:after="80"/>
      </w:pPr>
      <w:r>
        <w:rPr>
          <w:b w:val="0"/>
          <w:i w:val="0"/>
        </w:rPr>
        <w:t>Kiểm toán viên độc lập đóng vai trò then chốt trong việc bảo vệ nhà đầu tư khỏi ban lãnh đạo không trung thực cùng một hội đồng quản trị thờ ơ và kém hiệu quả. Hỗn loạn sẽ xảy ra nếu nhà đầu tư bắt đầu nghi ngờ năng lực hoặc sự chính trực của các kiểm toán viên độc lập. Đó thực sự chính xác là điều đã xảy ra vào năm 2002 sau khi Enron và WorldCom sụp đổ, Arthur Andersen giải thể, và thị trường tài chính lao dốc.</w:t>
      </w:r>
    </w:p>
    <w:p>
      <w:pPr>
        <w:spacing w:after="80"/>
      </w:pPr>
      <w:r>
        <w:rPr>
          <w:b w:val="0"/>
          <w:i w:val="0"/>
        </w:rPr>
        <w:t>Tuy nhiên, kiểm toán viên có thể là bạn hoặc thù của nhà đầu tư: là bạn nếu kiểm toán viên có năng lực, độc lập và cẩn trọng trong việc phát hiện vấn đề; là thù nếu kiểm toán viên kém năng lực, lười biếng, hoặc chỉ là "con dấu đóng sẵn" cho ban lãnh đạo. Đôi khi mức phí rất cao và những mối quan hệ cá nhân thân thiết được xây dựng qua nhiều năm dẫn đến các cuộc kiểm toán hỏng bét và tổn thất lớn cho nhà đầu tư. Dưới đây là những yếu tố then chốt cần xem xét khi đánh giá xem kiểm toán viên thuộc phe nào—bạn hay thù.</w:t>
      </w:r>
    </w:p>
    <w:p>
      <w:pPr>
        <w:pStyle w:val="Heading4"/>
      </w:pPr>
      <w:r>
        <w:rPr>
          <w:rFonts w:ascii="Calibri" w:hAnsi="Calibri"/>
          <w:b/>
          <w:i w:val="0"/>
          <w:sz w:val="23"/>
        </w:rPr>
        <w:t>Mối quan hệ quá lâu dài và thân thiết ngăn cản việc nhìn nhận bức tranh với con mắt mới</w:t>
      </w:r>
    </w:p>
    <w:p>
      <w:pPr>
        <w:spacing w:after="80"/>
      </w:pPr>
      <w:r>
        <w:rPr>
          <w:b w:val="0"/>
          <w:i w:val="0"/>
        </w:rPr>
        <w:t>Vụ gian lận và sụp đổ của Parmalat, gã khổng lồ ngành sữa của Ý, đã được gọi là "Enron của châu Âu." Dù các vấn đề kinh doanh và kế toán khác nhau, cả Enron lẫn Parmalat đều có một điểm tương đồng rõ ràng: các kiểm toán viên độc lập đã bỏ sót vụ gian lận.</w:t>
      </w:r>
    </w:p>
    <w:p>
      <w:pPr>
        <w:spacing w:after="80"/>
      </w:pPr>
      <w:r>
        <w:rPr>
          <w:b w:val="0"/>
          <w:i w:val="0"/>
        </w:rPr>
        <w:t>Một sự thật thú vị trong vụ này liên quan đến việc Parmalat thay đổi kiểm toán viên chính từ Grant Thornton sang Deloitte &amp; Touche. Thật vậy, những mánh khóe của Parmalat có thể đã tiếp diễn lâu hơn nếu không có một luật của Ý yêu cầu các công ty phải đổi công ty kiểm toán mỗi chín năm. Deloitte &amp; Touche thay thế kiểm toán viên Grant Thornton vào năm 1999 và có thể là bên đầu tiên soi xét kỹ một số tài khoản ở nước ngoài, hóa ra lại không hề tồn tại (nhiều tài khoản trong số đó vẫn do Grant Thornton kiểm toán vào thời điểm đó, vì chúng không thuộc phạm vi luật pháp Ý). Kết quả là, các thực thể nước ngoài gian lận bị phơi bày, bao gồm Bonlat, một công ty con của Parmalat tại Quần đảo Cayman và là một trong những phương tiện chính được dùng để che giấu tài sản giả.</w:t>
      </w:r>
    </w:p>
    <w:p>
      <w:pPr>
        <w:spacing w:after="80"/>
      </w:pPr>
      <w:r>
        <w:rPr>
          <w:b w:val="0"/>
          <w:i w:val="0"/>
        </w:rPr>
        <w:t xml:space="preserve">Giống như Parmalat, một trong những vụ gian lận kế toán lớn nhất từng giáng xuống Nhật Bản đã không bị phát hiện trong thời gian quá dài vì kiểm toán viên có mối quan hệ lâu dài và êm ấm với ban lãnh đạo công ty. Kanebo, một công ty mỹ phẩm và dệt may, đã được một chi nhánh của PricewaterhouseCoopers kiểm toán trong </w:t>
      </w:r>
      <w:r>
        <w:rPr>
          <w:b w:val="0"/>
          <w:i/>
        </w:rPr>
        <w:t>ít nhất 30 năm</w:t>
      </w:r>
      <w:r>
        <w:rPr>
          <w:b w:val="0"/>
          <w:i w:val="0"/>
        </w:rPr>
        <w:t>. Khi một trong những công ty con hợp nhất của công ty gặp giai đoạn cực kỳ tồi tệ, các kiểm toán viên được cho là đã khuyên ban lãnh đạo giảm tỷ lệ sở hữu trong công ty con đó và loại nó khỏi hợp nhất. Các kiểm toán viên cũng được cho là đã nhắm mắt làm ngơ trước việc ghi nhận doanh số hư cấu để thổi phồng con số doanh thu trong những giai đoạn ế ẩm. Kanebo báo cáo khoảng 2 tỷ đô-la lợi nhuận không hề tồn tại từ năm 1996 đến 2004. Các nhà quản lý thị trường phẫn nộ đến mức ngay lập tức khởi kiện những kiểm toán viên này và áp đặt lệnh đình chỉ hoạt động hai tháng.</w:t>
      </w:r>
    </w:p>
    <w:p>
      <w:pPr>
        <w:pStyle w:val="Heading4"/>
      </w:pPr>
      <w:r>
        <w:rPr>
          <w:rFonts w:ascii="Calibri" w:hAnsi="Calibri"/>
          <w:b/>
          <w:i w:val="0"/>
          <w:sz w:val="23"/>
        </w:rPr>
        <w:t>Kiểm toán viên kém năng lực có thể làm tay sai cho ban lãnh đạo</w:t>
      </w:r>
    </w:p>
    <w:p>
      <w:pPr>
        <w:spacing w:after="80"/>
      </w:pPr>
      <w:r>
        <w:rPr>
          <w:b w:val="0"/>
          <w:i w:val="0"/>
        </w:rPr>
        <w:t>Mỗi khu vực dường như đều có "Enron" của riêng mình. Của Ấn Độ là công ty tư vấn IT Satyam Computer Services, công ty đã giành được danh hiệu đáng ngờ là "Enron của Ấn Độ" vào năm 2009 khi bị phơi bày là một vụ gian lận khổng lồ. "Satyam" trớ trêu thay lại có nghĩa là "sự thật" trong tiếng Phạn. Nhưng với việc CEO Ramalinga Raju thừa nhận những lời dối trá trắng trợn của công ty trước nhà đầu tư suốt nhiều năm, có lẽ ông đã hơi lẫn lộn khi chọn tên công ty. Có lẽ ông thực sự đã định dùng cái tên tiếng Phạn thích hợp hơn là "Asatyam," nghĩa là "sự không thật."</w:t>
      </w:r>
    </w:p>
    <w:p>
      <w:pPr>
        <w:spacing w:after="80"/>
      </w:pPr>
      <w:r>
        <w:rPr>
          <w:b w:val="0"/>
          <w:i w:val="0"/>
        </w:rPr>
        <w:t xml:space="preserve">PricewaterhouseCoopers, đơn vị đã là kiểm toán viên của Satyam từ năm 1991, đã không phát hiện ra </w:t>
      </w:r>
      <w:r>
        <w:rPr>
          <w:b w:val="0"/>
          <w:i/>
        </w:rPr>
        <w:t>tiền mặt và số dư ngân hàng bị thổi phồng ở mức hơn 1 tỷ đô-la,</w:t>
      </w:r>
      <w:r>
        <w:rPr>
          <w:b w:val="0"/>
          <w:i w:val="0"/>
        </w:rPr>
        <w:t xml:space="preserve"> theo chính lời thú nhận của Raju. Các cáo buộc cho rằng có sự thông đồng giữa Satyam và kiểm toán viên của nó. Theo một thành viên gia nhập hội đồng quản trị của Satyam sau khi vụ bê bối nổ ra, các tài liệu là "những giấy tờ giả mạo rõ ràng" và bất kỳ ai cũng có thể nhìn thấy điều đó.</w:t>
      </w:r>
    </w:p>
    <w:p>
      <w:pPr>
        <w:pStyle w:val="Heading4"/>
      </w:pPr>
      <w:r>
        <w:rPr>
          <w:rFonts w:ascii="Calibri" w:hAnsi="Calibri"/>
          <w:b/>
          <w:i w:val="0"/>
          <w:sz w:val="23"/>
        </w:rPr>
        <w:t>Ban lãnh đạo toan tính né tránh sự soi xét của cơ quan quản lý</w:t>
      </w:r>
    </w:p>
    <w:p>
      <w:pPr>
        <w:spacing w:after="80"/>
      </w:pPr>
      <w:r>
        <w:rPr>
          <w:b w:val="0"/>
          <w:i w:val="0"/>
        </w:rPr>
        <w:t>Như chúng tôi đã chỉ ra, những trò mánh khóe thường sinh sôi nảy nở một cách thoải mái trong môi trường không có sự kiểm tra và cân bằng giữa các thành viên ban lãnh đạo cấp cao, khi hội đồng quản trị bên ngoài thiếu kỹ năng và thiếu mong muốn bảo vệ nhà đầu tư, và khi các kiểm toán viên không phát hiện được dấu hiệu của vấn đề. Một tuyến phòng thủ đáng kể khác cho nhà đầu tư tồn tại dưới hình thức các cơ quan quản lý. Tại Hoa Kỳ, SEC giám sát việc thiết lập các yêu cầu báo cáo và xem xét nội dung của chúng. Nếu các báo cáo không đạt yêu cầu, SEC có thể ngăn chặn việc phát hành chứng khoán hoặc đình chỉ mọi giao dịch cổ phiếu trong tương lai.</w:t>
      </w:r>
    </w:p>
    <w:p>
      <w:pPr>
        <w:spacing w:after="80"/>
      </w:pPr>
      <w:r>
        <w:rPr>
          <w:b w:val="0"/>
          <w:i w:val="0"/>
        </w:rPr>
        <w:t>Mặc dù trong nhiều năm qua SEC phần lớn đã phục vụ tốt cho nhà đầu tư, đôi khi cơ quan này vẫn không phát hiện được những vi phạm nghiêm trọng trong báo cáo tài chính. Vì điều này, SEC cũng đáng bị chỉ trích phần nào. Hơn nữa, một số công ty thực sự cố tình né tránh các đợt rà soát và giám sát của SEC. Phần sau đây sẽ cho thấy điều đó được thực hiện như thế nào và khi nào nhà đầu tư nên đặc biệt thận trọng.</w:t>
      </w:r>
    </w:p>
    <w:p>
      <w:pPr>
        <w:pStyle w:val="Heading4"/>
      </w:pPr>
      <w:r>
        <w:rPr>
          <w:rFonts w:ascii="Calibri" w:hAnsi="Calibri"/>
          <w:b/>
          <w:i w:val="0"/>
          <w:sz w:val="23"/>
        </w:rPr>
        <w:t>Thiếu sự giám sát của cơ quan quản lý trước khi lên sàn</w:t>
      </w:r>
    </w:p>
    <w:p>
      <w:pPr>
        <w:spacing w:after="80"/>
      </w:pPr>
      <w:r>
        <w:rPr>
          <w:b w:val="0"/>
          <w:i w:val="0"/>
        </w:rPr>
        <w:t>Nếu ban quản lý thực sự muốn né tránh sự rà soát nghiêm ngặt từ các chuyên gia thẩm định của SEC, trước tiên họ sẽ lách qua quy trình đăng ký thông thường cho một đợt phát hành cổ phiếu lần đầu ra công chúng (IPO) bằng cách sáp nhập vào một công ty đã niêm yết. Đây là cách tiếp cận "cửa sau" để trở thành công ty đại chúng và tránh được quy trình thẩm định chi tiết vốn là phần không thể thiếu trong quy trình IPO thông thường. Do đó, nhà đầu tư nên đặc biệt cảnh giác với những công ty né tránh sự rà soát của SEC bằng cách sáp nhập vào một công ty vỏ (shell company) thông qua "sáp nhập ngược" (reverse merger) hoặc một đối tác "công ty mua lại mục đích đặc biệt" (special-purpose acquisition company) và ngay lập tức trở thành công ty đại chúng.</w:t>
      </w:r>
    </w:p>
    <w:p>
      <w:pPr>
        <w:pStyle w:val="Heading3"/>
      </w:pPr>
      <w:r>
        <w:rPr>
          <w:rFonts w:ascii="Calibri" w:hAnsi="Calibri"/>
          <w:b/>
          <w:i w:val="0"/>
          <w:sz w:val="26"/>
        </w:rPr>
        <w:t>Nhìn về phía trước</w:t>
      </w:r>
    </w:p>
    <w:p>
      <w:pPr>
        <w:spacing w:after="80"/>
      </w:pPr>
      <w:r>
        <w:rPr>
          <w:b w:val="0"/>
          <w:i w:val="0"/>
        </w:rPr>
        <w:t>Giờ đây bạn đã sẵn sàng lao vào tìm hiểu bốn nhóm chiêu trò tài chính: Thao túng lợi nhuận (Phần Hai), Dòng tiền (Phần Ba), Chỉ số then chốt (Phần Bốn), và Kế toán mua lại (Phần Năm).</w:t>
      </w:r>
    </w:p>
    <w:p>
      <w:pPr>
        <w:spacing w:after="80"/>
      </w:pPr>
      <w:r>
        <w:rPr>
          <w:b w:val="0"/>
          <w:i w:val="0"/>
        </w:rPr>
        <w:t>Các chiêu trò thao túng lợi nhuận làm nổi bật những thủ thuật mà ban quản lý dùng để thổi phồng hoặc làm phẳng lợi nhuận, nhằm tô vẽ một công ty khỏe mạnh với lợi nhuận có thể dự đoán được. Từng chiêu trong bảy chiêu trò thao túng lợi nhuận (EM) mà chúng tôi đã nhận diện sẽ được bàn đến trong phần tiếp theo, nên hãy lật trang để bắt đầu bài học nhé.</w:t>
      </w:r>
    </w:p>
    <w:p>
      <w:pPr>
        <w:pStyle w:val="Heading1"/>
      </w:pPr>
      <w:r>
        <w:rPr>
          <w:rFonts w:ascii="Calibri" w:hAnsi="Calibri"/>
          <w:b/>
          <w:i w:val="0"/>
          <w:sz w:val="40"/>
        </w:rPr>
        <w:t>PHẦN HAI</w:t>
      </w:r>
    </w:p>
    <w:p>
      <w:pPr>
        <w:pStyle w:val="Heading1"/>
      </w:pPr>
      <w:r>
        <w:rPr>
          <w:rFonts w:ascii="Calibri" w:hAnsi="Calibri"/>
          <w:b/>
          <w:i w:val="0"/>
          <w:sz w:val="40"/>
        </w:rPr>
        <w:t>CÁC CHIÊU TRÒ THAO TÚNG LỢI NHUẬN</w:t>
      </w:r>
    </w:p>
    <w:p>
      <w:pPr>
        <w:spacing w:after="80"/>
      </w:pPr>
      <w:r>
        <w:rPr>
          <w:b w:val="0"/>
          <w:i w:val="0"/>
        </w:rPr>
        <w:t>Nhà đầu tư dựa vào thông tin nhận được từ các công ty để đưa ra quyết định chọn chứng khoán một cách sáng suốt và hợp lý. Thông tin này được giả định là chính xác, bất kể tin tốt hay tin xấu. Trong khi hầu hết các lãnh đạo doanh nghiệp tôn trọng nhà đầu tư và nhu cầu của họ, một số kẻ không trung thực lại gây tổn hại cho nhà đầu tư bằng cách xuyên tạc kết quả hoạt động thực tế của công ty và thao túng lợi nhuận công bố. Phần Hai sẽ mổ xẻ bảy nhóm chiêu trò thao túng lợi nhuận (EM) và gợi ý cách những nhà đầu tư đa nghi có thể truy tìm những thủ thuật này để tránh thua lỗ.</w:t>
      </w:r>
    </w:p>
    <w:p>
      <w:pPr>
        <w:spacing w:after="80"/>
      </w:pPr>
      <w:r>
        <w:rPr>
          <w:b w:val="0"/>
          <w:i w:val="0"/>
        </w:rPr>
        <w:t>CÁC CHIÊU TRÒ THAO TÚNG LỢI NHUẬN</w:t>
      </w:r>
    </w:p>
    <w:p>
      <w:pPr>
        <w:spacing w:after="80"/>
      </w:pPr>
      <w:r>
        <w:rPr>
          <w:b/>
          <w:i w:val="0"/>
        </w:rPr>
        <w:t>Chiêu trò thao túng lợi nhuận số 1:</w:t>
      </w:r>
      <w:r>
        <w:rPr>
          <w:b w:val="0"/>
          <w:i w:val="0"/>
        </w:rPr>
        <w:t xml:space="preserve"> Ghi nhận doanh thu quá sớm (Chương 3)</w:t>
      </w:r>
    </w:p>
    <w:p>
      <w:pPr>
        <w:spacing w:after="80"/>
      </w:pPr>
      <w:r>
        <w:rPr>
          <w:b/>
          <w:i w:val="0"/>
        </w:rPr>
        <w:t>Chiêu trò thao túng lợi nhuận số 2:</w:t>
      </w:r>
      <w:r>
        <w:rPr>
          <w:b w:val="0"/>
          <w:i w:val="0"/>
        </w:rPr>
        <w:t xml:space="preserve"> Ghi nhận doanh thu giả mạo (Chương 4)</w:t>
      </w:r>
    </w:p>
    <w:p>
      <w:pPr>
        <w:spacing w:after="80"/>
      </w:pPr>
      <w:r>
        <w:rPr>
          <w:b/>
          <w:i w:val="0"/>
        </w:rPr>
        <w:t>Chiêu trò thao túng lợi nhuận số 3:</w:t>
      </w:r>
      <w:r>
        <w:rPr>
          <w:b w:val="0"/>
          <w:i w:val="0"/>
        </w:rPr>
        <w:t xml:space="preserve"> Đẩy thu nhập lên bằng các hoạt động một lần hoặc không bền vững (Chương 5)</w:t>
      </w:r>
    </w:p>
    <w:p>
      <w:pPr>
        <w:spacing w:after="80"/>
      </w:pPr>
      <w:r>
        <w:rPr>
          <w:b/>
          <w:i w:val="0"/>
        </w:rPr>
        <w:t>Chiêu trò thao túng lợi nhuận số 4:</w:t>
      </w:r>
      <w:r>
        <w:rPr>
          <w:b w:val="0"/>
          <w:i w:val="0"/>
        </w:rPr>
        <w:t xml:space="preserve"> Chuyển chi phí hiện tại sang kỳ sau (Chương 6)</w:t>
      </w:r>
    </w:p>
    <w:p>
      <w:pPr>
        <w:spacing w:after="80"/>
      </w:pPr>
      <w:r>
        <w:rPr>
          <w:b/>
          <w:i w:val="0"/>
        </w:rPr>
        <w:t>Chiêu trò thao túng lợi nhuận số 5:</w:t>
      </w:r>
      <w:r>
        <w:rPr>
          <w:b w:val="0"/>
          <w:i w:val="0"/>
        </w:rPr>
        <w:t xml:space="preserve"> Dùng các thủ thuật khác để che giấu chi phí hoặc thua lỗ (Chương 7)</w:t>
      </w:r>
    </w:p>
    <w:p>
      <w:pPr>
        <w:spacing w:after="80"/>
      </w:pPr>
      <w:r>
        <w:rPr>
          <w:b/>
          <w:i w:val="0"/>
        </w:rPr>
        <w:t>Chiêu trò thao túng lợi nhuận số 6:</w:t>
      </w:r>
      <w:r>
        <w:rPr>
          <w:b w:val="0"/>
          <w:i w:val="0"/>
        </w:rPr>
        <w:t xml:space="preserve"> Chuyển thu nhập hiện tại sang kỳ sau (Chương 8)</w:t>
      </w:r>
    </w:p>
    <w:p>
      <w:pPr>
        <w:spacing w:after="80"/>
      </w:pPr>
      <w:r>
        <w:rPr>
          <w:b/>
          <w:i w:val="0"/>
        </w:rPr>
        <w:t>Thủ thuật EM số 7:</w:t>
      </w:r>
      <w:r>
        <w:rPr>
          <w:b w:val="0"/>
          <w:i w:val="0"/>
        </w:rPr>
        <w:t xml:space="preserve"> Dịch chuyển chi phí tương lai về kỳ hiện tại (Chương 9)</w:t>
      </w:r>
    </w:p>
    <w:p>
      <w:pPr>
        <w:spacing w:after="80"/>
      </w:pPr>
      <w:r>
        <w:rPr>
          <w:b w:val="0"/>
          <w:i w:val="0"/>
        </w:rPr>
        <w:t>Ban lãnh đạo có thể dùng nhiều kỹ thuật khác nhau để khiến nhà đầu tư lầm tưởng rằng công ty đang hoạt động tốt hơn thực tế kinh tế bên dưới. Chúng tôi đã phân loại tất cả các chiêu trò thao túng lợi nhuận này thành hai nhóm chính: thổi phồng lợi nhuận kỳ hiện tại và thổi phồng lợi nhuận kỳ tương lai.</w:t>
      </w:r>
    </w:p>
    <w:p>
      <w:pPr>
        <w:pStyle w:val="Heading3"/>
      </w:pPr>
      <w:r>
        <w:rPr>
          <w:rFonts w:ascii="Calibri" w:hAnsi="Calibri"/>
          <w:b/>
          <w:i w:val="0"/>
          <w:sz w:val="26"/>
        </w:rPr>
        <w:t>Thổi phồng lợi nhuận kỳ hiện tại</w:t>
      </w:r>
    </w:p>
    <w:p>
      <w:pPr>
        <w:spacing w:after="80"/>
      </w:pPr>
      <w:r>
        <w:rPr>
          <w:b w:val="0"/>
          <w:i w:val="0"/>
        </w:rPr>
        <w:t>Nói một cách đơn giản, để thổi phồng lợi nhuận kỳ hiện tại, ban lãnh đạo phải đẩy thêm doanh thu hoặc lợi nhuận vào kỳ hiện tại, hoặc dịch chuyển chi phí sang kỳ sau. Các thủ thuật số 1, 2 và 3 đẩy doanh thu hoặc lợi nhuận một lần vào hoạt động kỳ hiện tại, còn số 4 và 5 dịch chuyển chi phí sang kỳ sau.</w:t>
      </w:r>
    </w:p>
    <w:p>
      <w:pPr>
        <w:pStyle w:val="Heading3"/>
      </w:pPr>
      <w:r>
        <w:rPr>
          <w:rFonts w:ascii="Calibri" w:hAnsi="Calibri"/>
          <w:b/>
          <w:i w:val="0"/>
          <w:sz w:val="26"/>
        </w:rPr>
        <w:t>Thổi phồng lợi nhuận kỳ tương lai</w:t>
      </w:r>
    </w:p>
    <w:p>
      <w:pPr>
        <w:spacing w:after="80"/>
      </w:pPr>
      <w:r>
        <w:rPr>
          <w:b w:val="0"/>
          <w:i w:val="0"/>
        </w:rPr>
        <w:t>Ngược lại, để thổi phồng hoạt động của ngày mai, ban lãnh đạo chỉ cần giữ lại doanh thu hoặc lợi nhuận của hôm nay và đẩy nhanh chi phí hoặc lỗ của ngày mai vào kỳ hiện tại. Thủ thuật số 6 mô tả các kỹ thuật giữ lại doanh thu một cách không chính đáng, và Thủ thuật số 7 đẩy nhanh chi phí vào một kỳ sớm hơn không đúng.</w:t>
      </w:r>
    </w:p>
    <w:p>
      <w:pPr>
        <w:spacing w:after="80"/>
      </w:pPr>
      <w:r>
        <w:rPr>
          <w:b w:val="0"/>
          <w:i w:val="0"/>
        </w:rPr>
        <w:t xml:space="preserve">Lợi nhuận có thể bị </w:t>
      </w:r>
      <w:r>
        <w:rPr>
          <w:b w:val="0"/>
          <w:i/>
        </w:rPr>
        <w:t>thổi phồng</w:t>
      </w:r>
      <w:r>
        <w:rPr>
          <w:b w:val="0"/>
          <w:i w:val="0"/>
        </w:rPr>
        <w:t xml:space="preserve"> bằng cách đưa vào một cách không thích hợp các khoản doanh thu hoặc lợi nhuận và bằng cách loại trừ các khoản chi phí hoặc lỗ hợp lệ của kỳ đó. Ngược lại, lợi nhuận có thể bị </w:t>
      </w:r>
      <w:r>
        <w:rPr>
          <w:b w:val="0"/>
          <w:i/>
        </w:rPr>
        <w:t>giảm bớt</w:t>
      </w:r>
      <w:r>
        <w:rPr>
          <w:b w:val="0"/>
          <w:i w:val="0"/>
        </w:rPr>
        <w:t xml:space="preserve"> bằng cách loại trừ một cách không thích hợp các khoản doanh thu hoặc lợi nhuận của kỳ đó và bằng cách đưa vào các khoản chi phí hoặc lỗ thực ra thuộc về kỳ khác. Tất nhiên, một kế hoạch giảm bớt lợi nhuận kỳ hiện tại sẽ sinh lời khi những lợi ích đó được giải phóng vào kỳ sau.</w:t>
      </w:r>
    </w:p>
    <w:p>
      <w:pPr>
        <w:spacing w:after="80"/>
      </w:pPr>
      <w:r>
        <w:rPr>
          <w:b w:val="0"/>
          <w:i w:val="0"/>
        </w:rPr>
        <w:t>Trong bảy loại Thủ thuật Thao túng Lợi nhuận, năm loại đầu tiên nhằm thổi phồng lợi nhuận, và hai loại cuối nhằm hạ thấp lợi nhuận. Với hầu hết độc giả, việc dùng các Thủ thuật số 1 đến 5 để phóng đại lợi nhuận có vẻ hợp lý hoặc trực quan hơn. Suy cho cùng, lợi nhuận báo cáo cao hơn thường dẫn đến giá cổ phiếu cao hơn và thù lao ban điều hành cao hơn. Logic của việc dùng các Thủ thuật số 6 và 7 có thể ít rõ ràng hơn, nhưng chúng vẫn có mục đích. Những kế hoạch này nhằm dịch chuyển lợi nhuận từ kỳ này (có lợi nhuận dư thừa) sang kỳ khác (đang cần lợi nhuận). Nói cách khác, ban lãnh đạo có thể chỉ đang cố làm phẳng lợi nhuận biến động để thể hiện một doanh nghiệp ít biến động hơn.</w:t>
      </w:r>
    </w:p>
    <w:p>
      <w:pPr>
        <w:pStyle w:val="Heading2"/>
      </w:pPr>
      <w:r>
        <w:rPr>
          <w:rFonts w:ascii="Calibri" w:hAnsi="Calibri"/>
          <w:b/>
          <w:i w:val="0"/>
          <w:sz w:val="32"/>
        </w:rPr>
        <w:t>3</w:t>
      </w:r>
    </w:p>
    <w:p>
      <w:pPr>
        <w:pStyle w:val="Heading2"/>
      </w:pPr>
      <w:r>
        <w:rPr>
          <w:rFonts w:ascii="Calibri" w:hAnsi="Calibri"/>
          <w:b/>
          <w:i w:val="0"/>
          <w:sz w:val="32"/>
        </w:rPr>
        <w:t>Thủ thuật Thao túng Lợi nhuận số 1: Ghi nhận doanh thu quá sớm</w:t>
      </w:r>
    </w:p>
    <w:p>
      <w:pPr>
        <w:spacing w:after="80"/>
      </w:pPr>
      <w:r>
        <w:rPr>
          <w:b w:val="0"/>
          <w:i w:val="0"/>
        </w:rPr>
        <w:t>Ba mươi ngày có tháng Chín,</w:t>
      </w:r>
    </w:p>
    <w:p>
      <w:pPr>
        <w:spacing w:after="80"/>
      </w:pPr>
      <w:r>
        <w:rPr>
          <w:b w:val="0"/>
          <w:i w:val="0"/>
        </w:rPr>
        <w:t>Tháng Tư, Sáu và Mười Một;</w:t>
      </w:r>
    </w:p>
    <w:p>
      <w:pPr>
        <w:spacing w:after="80"/>
      </w:pPr>
      <w:r>
        <w:rPr>
          <w:b w:val="0"/>
          <w:i w:val="0"/>
        </w:rPr>
        <w:t>Chỉ một tháng có hai mươi tám,</w:t>
      </w:r>
    </w:p>
    <w:p>
      <w:pPr>
        <w:spacing w:after="80"/>
      </w:pPr>
      <w:r>
        <w:rPr>
          <w:b w:val="0"/>
          <w:i w:val="0"/>
        </w:rPr>
        <w:t>Còn tất cả những tháng khác đều ba mươi mốt.</w:t>
      </w:r>
    </w:p>
    <w:p>
      <w:pPr>
        <w:spacing w:after="80"/>
      </w:pPr>
      <w:r>
        <w:rPr>
          <w:b w:val="0"/>
          <w:i w:val="0"/>
        </w:rPr>
        <w:t>—MỘT PHIÊN BẢN HIỆN ĐẠI CỦA BÀI ĐỒNG DAO ANH THỜI TRUNG CỔ THẾ KỶ MƯỜI LĂM</w:t>
      </w:r>
    </w:p>
    <w:p>
      <w:pPr>
        <w:spacing w:after="80"/>
      </w:pPr>
      <w:r>
        <w:rPr>
          <w:b w:val="0"/>
          <w:i w:val="0"/>
        </w:rPr>
        <w:t>Khi còn nhỏ, nhiều người trong chúng ta được dạy bài đồng dao hữu ích này để giúp nhớ số ngày trong mỗi tháng. Thành thật mà nói, nó vẫn còn hữu dụng như một lời nhắc nhở cho đến tận khi chúng ta trưởng thành. Mãi về sau này, chúng ta mới nhận ra rằng tháng Hai không nhất thiết là ngoại lệ duy nhất của quy tắc 30 hay 31 ngày. Thực tế, mỗi tháng đều có thể là ngoại lệ đối với một công ty muốn thổi phồng doanh thu của mình. Computer Associates (CA) đã trở thành hình mẫu cho chiêu trò thổi phồng doanh thu này, thường xuyên kéo dài các tháng của mình lên 35 ngày trên sổ sách để bắt kịp các giao dịch bán hàng được ghi nhận sau ngày cuối tháng thông thường. Kế hoạch đó đã hiệu quả trong một thời gian—hoặc ít nhất là cho đến khi công ty bị phát hiện và CEO Sanjay Kumar bị tống vào tù.</w:t>
      </w:r>
    </w:p>
    <w:p>
      <w:pPr>
        <w:spacing w:after="80"/>
      </w:pPr>
      <w:r>
        <w:rPr>
          <w:b w:val="0"/>
          <w:i w:val="0"/>
        </w:rPr>
        <w:t>Kéo dài số ngày trong một tháng chỉ là một trong những thủ thuật sáng tạo mà ban lãnh đạo có thể dùng để ghi nhận doanh thu sớm một cách không đúng đắn. Chương này mô tả nhiều cách khác nhau mà ban lãnh đạo cố gắng đẩy nhanh doanh thu về các kỳ trước đó và cách nhà đầu tư có thể nhận ra dấu hiệu của hành vi sai phạm này.</w:t>
      </w:r>
    </w:p>
    <w:p>
      <w:pPr>
        <w:pStyle w:val="Heading3"/>
      </w:pPr>
      <w:r>
        <w:rPr>
          <w:rFonts w:ascii="Calibri" w:hAnsi="Calibri"/>
          <w:b/>
          <w:i w:val="0"/>
          <w:sz w:val="26"/>
        </w:rPr>
        <w:t>Các thủ thuật ghi nhận doanh thu quá sớm</w:t>
      </w:r>
    </w:p>
    <w:p>
      <w:pPr>
        <w:spacing w:after="80"/>
      </w:pPr>
      <w:r>
        <w:rPr>
          <w:b w:val="0"/>
          <w:i w:val="0"/>
        </w:rPr>
        <w:t>1. Ghi nhận doanh thu trước khi hoàn thành các nghĩa vụ trọng yếu theo hợp đồng</w:t>
      </w:r>
    </w:p>
    <w:p>
      <w:pPr>
        <w:spacing w:after="80"/>
      </w:pPr>
      <w:r>
        <w:rPr>
          <w:b w:val="0"/>
          <w:i w:val="0"/>
        </w:rPr>
        <w:t>2. Ghi nhận doanh thu vượt xa khối lượng công việc đã hoàn thành theo hợp đồng</w:t>
      </w:r>
    </w:p>
    <w:p>
      <w:pPr>
        <w:spacing w:after="80"/>
      </w:pPr>
      <w:r>
        <w:rPr>
          <w:b w:val="0"/>
          <w:i w:val="0"/>
        </w:rPr>
        <w:t>3. Ghi nhận doanh thu trước khi người mua chấp nhận sản phẩm lần cuối</w:t>
      </w:r>
    </w:p>
    <w:p>
      <w:pPr>
        <w:spacing w:after="80"/>
      </w:pPr>
      <w:r>
        <w:rPr>
          <w:b w:val="0"/>
          <w:i w:val="0"/>
        </w:rPr>
        <w:t>4. Ghi nhận doanh thu khi việc thanh toán của người mua vẫn còn bấp bênh hoặc không cần thiết</w:t>
      </w:r>
    </w:p>
    <w:p>
      <w:pPr>
        <w:pStyle w:val="Heading4"/>
      </w:pPr>
      <w:r>
        <w:rPr>
          <w:rFonts w:ascii="Calibri" w:hAnsi="Calibri"/>
          <w:b/>
          <w:i w:val="0"/>
          <w:sz w:val="23"/>
        </w:rPr>
        <w:t>1. Ghi nhận doanh thu trước khi hoàn thành các nghĩa vụ trọng yếu theo hợp đồng</w:t>
      </w:r>
    </w:p>
    <w:p>
      <w:pPr>
        <w:pStyle w:val="Heading5"/>
      </w:pPr>
      <w:r>
        <w:rPr>
          <w:rFonts w:ascii="Calibri" w:hAnsi="Calibri"/>
          <w:b/>
          <w:i/>
          <w:sz w:val="22"/>
        </w:rPr>
        <w:t>Lướt sóng công nghệ tại Microstrategy</w:t>
      </w:r>
    </w:p>
    <w:p>
      <w:pPr>
        <w:spacing w:after="80"/>
      </w:pPr>
      <w:r>
        <w:rPr>
          <w:b w:val="0"/>
          <w:i w:val="0"/>
        </w:rPr>
        <w:t xml:space="preserve">Ai có thể quên được thị trường tăng giá điên cuồng do Internet thúc đẩy vào cuối những năm 1990 (với chỉ số Nasdaq tăng 94 phần trăm trong năm 1999) và các thực hành kế toán gần như "sao cũng được" được dùng để thúc đẩy sự tăng trưởng vượt bậc của nhiều công ty công nghệ? Có lẽ hình ảnh tiêu biểu cho giai đoạn điên rồ này chính là MicroStrategy (MSTR), một công ty bán phần mềm có trụ sở tại Virginia. Chưa đầy hai năm sau khi niêm yết công khai, giá trị thị trường của nó đã đạt 25 </w:t>
      </w:r>
      <w:r>
        <w:rPr>
          <w:b w:val="0"/>
          <w:i/>
        </w:rPr>
        <w:t>tỷ</w:t>
      </w:r>
      <w:r>
        <w:rPr>
          <w:b w:val="0"/>
          <w:i w:val="0"/>
        </w:rPr>
        <w:t xml:space="preserve"> đô la, mức tăng gấp 60 lần đáng kinh ngạc. Hóa ra, một động lực chính cho sự tăng trưởng của nó là việc ghi nhận doanh số bán cho những bên mà MicroStrategy vừa mới đầu tư vào. Dù không thể biết chắc liệu đây có thực sự là những giao dịch giả tạo hay không, các tình tiết đã làm dấy lên nghi ngờ nghiêm trọng. Ngoài những thương vụ bán hàng đáng ngờ này, MSTR còn thúc ép khách hàng ký hợp đồng ngay trước khi quý kết thúc, vì tin rằng việc ký hợp đồng là sự kiện then chốt cho phép ghi nhận doanh thu. Như chúng ta sẽ bàn sau, doanh thu được ghi nhận khi đã kiếm được, nghĩa là khi các dịch vụ đã được thực hiện.</w:t>
      </w:r>
    </w:p>
    <w:p>
      <w:pPr>
        <w:spacing w:after="80"/>
      </w:pPr>
      <w:r>
        <w:rPr>
          <w:b/>
          <w:i/>
        </w:rPr>
        <w:t>Sống trong giấc mơ—và cơn ác mộng</w:t>
      </w:r>
      <w:r>
        <w:rPr>
          <w:b w:val="0"/>
          <w:i w:val="0"/>
        </w:rPr>
        <w:t xml:space="preserve"> Hãy tưởng tượng bạn đang sống giấc mơ Mỹ thời kỳ Internet. Bạn và người bạn đại học cùng tạo ra một công ty phần mềm. Trong vài năm đầu, bạn làm việc suốt ngày đêm, nhưng gần như không nhận thù lao bằng tiền mặt. Thay vào đó, bạn thưởng cho bản thân và những nhân viên quý giá bằng cổ phiếu và quyền chọn cổ phiếu. Bạn bắt đầu gặp gỡ các ngân hàng đầu tư để lên kế hoạch cho đợt phát hành cổ phiếu lần đầu ra công chúng (IPO) mà bạn hằng mong đợi. Rồi điều đó đến—các ngân hàng đầu tư bán thành công cổ phần của bạn cho công chúng. Giờ bạn đã có vài triệu đô la đầu tiên. Nhưng đó chỉ là khởi đầu. Giá cổ phiếu của công ty bạn (giờ đã niêm yết) bắt đầu bay bổng dữ dội, bạn trở thành một trong những người giàu nhất nước Mỹ, và ở tuổi 34, bạn thậm chí còn chưa đủ tuổi để tranh cử tổng thống. Truyền thông đối xử với bạn như hoàng gia.</w:t>
      </w:r>
    </w:p>
    <w:p>
      <w:pPr>
        <w:spacing w:after="80"/>
      </w:pPr>
      <w:r>
        <w:rPr>
          <w:b w:val="0"/>
          <w:i w:val="0"/>
        </w:rPr>
        <w:t>Đây là giấc mơ có thật của Michael Saylor, người sáng lập MicroStrategy. Được thành lập năm 1989, MSTR niêm yết công khai vào năm 1998 với giá trị thị trường hơn 200 triệu đô la. Đó chỉ là khởi đầu của một cuộc phiêu lưu đáng kinh ngạc. Trong bốn tháng cuối năm 1999, giá cổ phiếu bắt đầu tăng mạnh, từ 20 đô la lên hơn 100 đô la. Trong 10 tuần tiếp theo, cổ phiếu tăng vọt đáng kinh ngạc lên 333 đô la. Giá trị tài sản ròng của Michael Saylor đạt mức gần như không thể tưởng tượng nổi là 14 tỷ đô la.</w:t>
      </w:r>
    </w:p>
    <w:p>
      <w:pPr>
        <w:spacing w:after="80"/>
      </w:pPr>
      <w:r>
        <w:rPr>
          <w:b w:val="0"/>
          <w:i w:val="0"/>
        </w:rPr>
        <w:t xml:space="preserve">Rồi giấc mơ biến thành cơn ác mộng có quy mô sử thi. Vào ngày 20 tháng 3 năm 2000, MSTR tiết lộ với nhà đầu tư rằng các báo cáo tài chính của mình chứa những sai sót kế toán trọng yếu. Các báo cáo tài chính từ năm 1997 đến 1999 phải được lập lại, dẫn đến những khoản lỗ khổng lồ thay vì lợi nhuận được báo cáo trước đó. Các nhà đầu tư bị sốc bắt đầu xả cổ phiếu, khiến giá cổ phiếu giảm 140 đô la (từ 226 đô la xuống 86 đô la) </w:t>
      </w:r>
      <w:r>
        <w:rPr>
          <w:b w:val="0"/>
          <w:i/>
        </w:rPr>
        <w:t>chỉ trong một ngày</w:t>
      </w:r>
      <w:r>
        <w:rPr>
          <w:b w:val="0"/>
          <w:i w:val="0"/>
        </w:rPr>
        <w:t>. Nhưng đó chỉ là khởi đầu. Mãi đến khi chạm đáy ở mức 1,75 đô la mười hai tháng sau đó, nó mới ngừng rơi. (Giá cổ phiếu tiếp tục giảm suốt năm 2002, đến lúc đó công ty tuyên bố chia tách ngược theo tỷ lệ 1 đổi 10 [thực chất đẩy giá cổ phiếu tăng gấp 10 lần] để tránh bị hủy niêm yết khỏi sàn chứng khoán.)</w:t>
      </w:r>
    </w:p>
    <w:p>
      <w:pPr>
        <w:spacing w:after="80"/>
      </w:pPr>
      <w:r>
        <w:rPr>
          <w:b/>
          <w:i/>
        </w:rPr>
        <w:t>Điều gì dẫn đến sự sụp đổ?</w:t>
      </w:r>
      <w:r>
        <w:rPr>
          <w:b w:val="0"/>
          <w:i w:val="0"/>
        </w:rPr>
        <w:t xml:space="preserve"> Vào đầu tháng 3 năm 2000, chỉ vài tuần sau khi đơn vị kiểm toán của mình là PricewaterhouseCoopers (PwC) đã "ban phước" cho các báo cáo tài chính năm 1999 của MSTR (nằm trong bản cáo bạch cho một đợt phát hành cổ phiếu dự kiến), tạp chí </w:t>
      </w:r>
      <w:r>
        <w:rPr>
          <w:b w:val="0"/>
          <w:i/>
        </w:rPr>
        <w:t>Forbes</w:t>
      </w:r>
      <w:r>
        <w:rPr>
          <w:b w:val="0"/>
          <w:i w:val="0"/>
        </w:rPr>
        <w:t xml:space="preserve"> đăng câu chuyện làm dấy lên những câu hỏi đáng lo ngại về các thực hành ghi nhận doanh thu của công ty.</w:t>
      </w:r>
    </w:p>
    <w:p>
      <w:pPr>
        <w:spacing w:after="80"/>
      </w:pPr>
      <w:r>
        <w:rPr>
          <w:b w:val="0"/>
          <w:i w:val="0"/>
        </w:rPr>
        <w:t xml:space="preserve">Sau bài báo của </w:t>
      </w:r>
      <w:r>
        <w:rPr>
          <w:b w:val="0"/>
          <w:i/>
        </w:rPr>
        <w:t>Forbes</w:t>
      </w:r>
      <w:r>
        <w:rPr>
          <w:b w:val="0"/>
          <w:i w:val="0"/>
        </w:rPr>
        <w:t>, PwC tiến hành một cuộc điều tra nội bộ và kết luận rằng các báo cáo tài chính đã được kiểm toán của công ty thực sự là sai lệch và gây hiểu nhầm. Việc đơn vị kiểm toán nhanh chóng đảo ngược lập trường, một sự kiện cực kỳ hiếm gặp, đã khiến giá cổ phiếu rơi tự do.</w:t>
      </w:r>
    </w:p>
    <w:p>
      <w:pPr>
        <w:spacing w:after="80"/>
      </w:pPr>
      <w:r>
        <w:rPr>
          <w:b/>
          <w:i/>
        </w:rPr>
        <w:t>Dấu hiệu cảnh báo cho nhà đầu tư nằm trong những thông cáo báo chí kỳ lạ</w:t>
      </w:r>
      <w:r>
        <w:rPr>
          <w:b w:val="0"/>
          <w:i w:val="0"/>
        </w:rPr>
        <w:t xml:space="preserve"> Vào ngày 5 tháng 10 năm 1999, MSTR thông báo trong một thông cáo báo chí rằng họ đã ký một thỏa thuận với NCR Corporation. Trong thông cáo, MSTR mô tả một thỏa thuận cấp phép trị giá 52,5 triệu đô la và một quan hệ đối tác với NCR Corporation. Theo thỏa thuận, MSTR đầu tư vào một quan hệ đối tác của NCR, và NCR đáp lễ bằng cách mua các sản phẩm của MSTR. Khi tiền chảy theo cả hai hướng, từ người bán (MSTR) đến khách hàng (NCR) rồi từ khách hàng đến người bán, chúng ta gọi đó là giao dịch "boomerang" (giao dịch bumerang). Như thông cáo báo chí đã nêu:</w:t>
      </w:r>
    </w:p>
    <w:p>
      <w:pPr>
        <w:spacing w:after="80"/>
      </w:pPr>
      <w:r>
        <w:rPr>
          <w:b w:val="0"/>
          <w:i w:val="0"/>
        </w:rPr>
        <w:t>Theo các điều khoản của quan hệ đối tác, NCR đã ký một thỏa thuận OEM [nhà sản xuất thiết bị gốc] trị giá 27,5 triệu đô la cho các sản phẩm và dịch vụ thông tin cá nhân của MicroStrategy. Ngoài ra, MicroStrategy đã chọn mua một NCR Teradata Warehouse trị giá 11 triệu đô la để vận hành mạng lưới Strategy.com.</w:t>
      </w:r>
    </w:p>
    <w:p>
      <w:pPr>
        <w:spacing w:after="80"/>
      </w:pPr>
      <w:r>
        <w:rPr>
          <w:b w:val="0"/>
          <w:i w:val="0"/>
        </w:rPr>
        <w:t>Theo thỏa thuận OEM, NCR sẽ trở thành đối tác liên kết cấp cao (master affiliate) của Strategy.com. Với tư cách là đối tác liên kết cấp cao, NCR sẽ tham gia mạng lưới, bán các liên kết Strategy.com, và bán các sản phẩm và dịch vụ của MicroStrategy. Theo thỏa thuận, MicroStrategy sẽ cung cấp công nghệ OLAP trong tương lai cho NCR. MicroStrategy đã đồng ý mua lại mảng kinh doanh TeraCube của NCR cùng toàn bộ tài sản trí tuệ liên quan, đổi lấy 14 triệu đô-la cổ phiếu MicroStrategy.</w:t>
      </w:r>
    </w:p>
    <w:p>
      <w:pPr>
        <w:spacing w:after="80"/>
      </w:pPr>
      <w:r>
        <w:rPr>
          <w:b w:val="0"/>
          <w:i w:val="0"/>
        </w:rPr>
        <w:t>Rồi ngay sau khi quý tháng 12 năm 1999 kết thúc, vào ngày 6 tháng 1 năm 2000, MSTR lại gửi thêm một thông cáo báo chí nữa (trích đoạn bên dưới), cũng bao gồm một kế hoạch thanh toán "boomerang" đáng ngờ đã góp phần tạo ra doanh thu được báo cáo, nhiều khả năng là trong kỳ trước đó.</w:t>
      </w:r>
    </w:p>
    <w:p>
      <w:pPr>
        <w:spacing w:after="80"/>
      </w:pPr>
      <w:r>
        <w:rPr>
          <w:b w:val="0"/>
          <w:i w:val="0"/>
        </w:rPr>
        <w:t>Theo các điều khoản của thỏa thuận, Exchange Applications sẽ trả cho MicroStrategy khoản phí ban đầu 30 triệu đô-la, thanh toán bằng sự kết hợp giữa tiền mặt và cổ phiếu của Exchange Applications, trong đó khoảng một phần ba sẽ được MicroStrategy ghi nhận là doanh thu trong quý thứ tư năm 1999. Ngoài ra, MicroStrategy có thể kiếm thêm tối đa 35 triệu đô-la cho các ứng dụng eCRM trong tương lai trong vòng hai đến ba năm tới. Theo thỏa thuận, Exchange Applications sẽ trở thành đối tác liên kết cấp cao của Strategy.com. Với tư cách là đối tác liên kết cấp cao, Exchange Applications sẽ tham gia mạng lưới, bán các liên kết Strategy.com, và bán các sản phẩm và dịch vụ của MicroStrategy.</w:t>
      </w:r>
    </w:p>
    <w:p>
      <w:pPr>
        <w:spacing w:after="80"/>
      </w:pPr>
      <w:r>
        <w:rPr>
          <w:b/>
          <w:i/>
        </w:rPr>
        <w:t>Bài học quan trọng cho nhà đầu tư</w:t>
      </w:r>
      <w:r>
        <w:rPr>
          <w:b w:val="0"/>
          <w:i w:val="0"/>
        </w:rPr>
        <w:t xml:space="preserve"> Có thể rút ra hai bài học quan trọng từ câu chuyện MicroStrategy: (1) Dòng tiền chảy qua lại giữa khách hàng và người bán nên làm dấy lên nghi ngờ về tính hợp pháp của cả hai giao dịch, và (2) thời điểm đáng ngờ của các thông cáo báo chí công bố doanh số mới (ngay sau khi một kỳ kết thúc) nên đặt ra câu hỏi liệu doanh thu có thể đã được ghi nhận quá sớm hay không. Thật vậy, như chúng tôi biết được từ các nguồn khác, MSTR thường xuyên gấp rút ký kết và ghi ngày các hợp đồng bán hàng </w:t>
      </w:r>
      <w:r>
        <w:rPr>
          <w:b w:val="0"/>
          <w:i/>
        </w:rPr>
        <w:t>ngay trước khi một kỳ kết thúc</w:t>
      </w:r>
      <w:r>
        <w:rPr>
          <w:b w:val="0"/>
          <w:i w:val="0"/>
        </w:rPr>
        <w:t>, với mục tiêu đẩy doanh thu về kỳ trước đó. Chúng tôi tin rằng xét về góc độ kế toán, những nỗ lực như vậy đều vô ích, vì doanh thu nên được ghi nhận khi đã kiếm được, chứ không phải tại thời điểm ký hợp đồng.</w:t>
      </w:r>
    </w:p>
    <w:p>
      <w:pPr>
        <w:pStyle w:val="Heading5"/>
      </w:pPr>
      <w:r>
        <w:rPr>
          <w:rFonts w:ascii="Calibri" w:hAnsi="Calibri"/>
          <w:b/>
          <w:i/>
          <w:sz w:val="22"/>
        </w:rPr>
        <w:t>Trò chơi lịch</w:t>
      </w:r>
    </w:p>
    <w:p>
      <w:pPr>
        <w:spacing w:after="80"/>
      </w:pPr>
      <w:r>
        <w:rPr>
          <w:b w:val="0"/>
          <w:i w:val="0"/>
        </w:rPr>
        <w:t xml:space="preserve">Hãy tưởng tượng nếu bạn có thể đặt cược vào một cuộc đua ngựa </w:t>
      </w:r>
      <w:r>
        <w:rPr>
          <w:b w:val="0"/>
          <w:i/>
        </w:rPr>
        <w:t>sau khi</w:t>
      </w:r>
      <w:r>
        <w:rPr>
          <w:b w:val="0"/>
          <w:i w:val="0"/>
        </w:rPr>
        <w:t xml:space="preserve"> cuộc đua kết thúc. Nghe thật vô lý; vì bạn đã biết trước kết quả, đương nhiên bạn sẽ luôn thắng. Chà, cách tiếp cận đó khiến chúng tôi liên tưởng đến những công ty đang có nguy cơ "thua cuộc" — tức là không đạt được ước tính đồng thuận của Phố Wall — những công ty mà vào cuối quý kéo dài ngày kết thúc (như CA dùng 35 ngày) để đảm bảo rằng họ cũng luôn thắng bằng cách chỉ chốt sổ </w:t>
      </w:r>
      <w:r>
        <w:rPr>
          <w:b w:val="0"/>
          <w:i/>
        </w:rPr>
        <w:t>sau khi</w:t>
      </w:r>
      <w:r>
        <w:rPr>
          <w:b w:val="0"/>
          <w:i w:val="0"/>
        </w:rPr>
        <w:t xml:space="preserve"> đạt được doanh số và lợi nhuận mong muốn.</w:t>
      </w:r>
    </w:p>
    <w:p>
      <w:pPr>
        <w:spacing w:after="80"/>
      </w:pPr>
      <w:r>
        <w:rPr>
          <w:b/>
          <w:i/>
        </w:rPr>
        <w:t>Hãy cảnh giác với những công ty kéo dài ngày kết thúc quý</w:t>
      </w:r>
      <w:r>
        <w:rPr>
          <w:b w:val="0"/>
          <w:i w:val="0"/>
        </w:rPr>
        <w:t xml:space="preserve"> CA không phải là công ty duy nhất thổi phồng doanh thu một cách không đúng đắn bằng cách giữ sổ sách mở quá ngày kết thúc quý theo quy định. Vào giữa những năm 1990, "Chainsaw Al" Dunlap và tay sai của ông tại Sunbeam đã đổi ngày kết thúc quý của công ty từ 29 tháng 3 sang 31 tháng 3 để bù đắp cho sự thiếu hụt doanh thu. Hai ngày tăng thêm cho phép Sunbeam ghi nhận thêm 5 triệu đô-la doanh số từ hoạt động cốt lõi và thêm 15 triệu đô-la từ Coleman Corporation mà họ vừa mới mua lại.</w:t>
      </w:r>
    </w:p>
    <w:p>
      <w:pPr>
        <w:spacing w:after="80"/>
      </w:pPr>
      <w:r>
        <w:rPr>
          <w:b w:val="0"/>
          <w:i w:val="0"/>
        </w:rPr>
        <w:t>Không chịu kém cạnh CA và Sunbeam, nhà sản xuất phần mềm Peregrine có trụ sở tại San Diego cũng thường xuyên giữ sổ sách mở rất lâu sau khi quý chính thức kết thúc. Thực tế này trở nên phổ biến đến mức các giám đốc tại công ty đùa giỡn về chiêu trò này, mô tả những giao dịch muộn đó như được hoàn thành vào "ngày 37 tháng 12".</w:t>
      </w:r>
    </w:p>
    <w:p>
      <w:pPr>
        <w:pStyle w:val="Heading5"/>
      </w:pPr>
      <w:r>
        <w:rPr>
          <w:rFonts w:ascii="Calibri" w:hAnsi="Calibri"/>
          <w:b/>
          <w:i/>
          <w:sz w:val="22"/>
        </w:rPr>
        <w:t>Thay đổi chính sách kế toán để duy trì chuỗi thành tích</w:t>
      </w:r>
    </w:p>
    <w:p>
      <w:pPr>
        <w:spacing w:after="80"/>
      </w:pPr>
      <w:r>
        <w:rPr>
          <w:b w:val="0"/>
          <w:i w:val="0"/>
        </w:rPr>
        <w:t>Như chúng ta đã bàn ở phần trước, khi các giám đốc điều hành cấp cao khoe khoang về một chuỗi thành tích ấn tượng, thì khả năng cao là họ sẽ viện đến những thủ thuật tài chính để duy trì chuỗi thành tích đó.</w:t>
      </w:r>
    </w:p>
    <w:p>
      <w:pPr>
        <w:spacing w:after="80"/>
      </w:pPr>
      <w:r>
        <w:rPr>
          <w:b w:val="0"/>
          <w:i w:val="0"/>
        </w:rPr>
        <w:t xml:space="preserve">Hãy xem cách mà nhà bán cà phê nổi tiếng Keurig Green Mountain (Keurig) cố gắng che giấu đà tăng trưởng doanh thu đang chậm lại của mình khỏi nhà đầu tư. Công ty đã thay đổi một cách tùy tiện các quy tắc quyết định về </w:t>
      </w:r>
      <w:r>
        <w:rPr>
          <w:b w:val="0"/>
          <w:i/>
        </w:rPr>
        <w:t>thời điểm</w:t>
      </w:r>
      <w:r>
        <w:rPr>
          <w:b w:val="0"/>
          <w:i w:val="0"/>
        </w:rPr>
        <w:t xml:space="preserve"> bắt đầu ghi nhận và </w:t>
      </w:r>
      <w:r>
        <w:rPr>
          <w:b w:val="0"/>
          <w:i/>
        </w:rPr>
        <w:t>nơi</w:t>
      </w:r>
      <w:r>
        <w:rPr>
          <w:b w:val="0"/>
          <w:i w:val="0"/>
        </w:rPr>
        <w:t xml:space="preserve"> các khoản hoàn tiền cho số lượng lớn được phân loại trên Báo cáo thu nhập. Keurig đã tăng trưởng rất nhanh trong giai đoạn 2005–2008, và CEO Lawrence J. Blanford, tự hào về thành tích này, thường xuyên khoe khoang với nhà đầu tư trong các Báo cáo thu nhập:</w:t>
      </w:r>
    </w:p>
    <w:p>
      <w:pPr>
        <w:spacing w:after="80"/>
      </w:pPr>
      <w:r>
        <w:rPr>
          <w:b w:val="0"/>
          <w:i w:val="0"/>
        </w:rPr>
        <w:t>Thật tuyệt vời khi hôm nay lại được chia sẻ những kết quả thuận lợi như vậy. Năm 2007 là một năm có lợi nhuận tài chính mạnh mẽ với doanh thu thuần và lợi nhuận tăng 52% so với năm trước. Đây là quý thứ 20 liên tiếp Green Mountain Coffee có mức tăng trưởng doanh thu thuần hai chữ số và là quý thứ tám liên tiếp có mức tăng trưởng vượt 25%.</w:t>
      </w:r>
    </w:p>
    <w:p>
      <w:pPr>
        <w:spacing w:after="80"/>
      </w:pPr>
      <w:r>
        <w:rPr>
          <w:b w:val="0"/>
          <w:i w:val="0"/>
        </w:rPr>
        <w:t>Như chúng ta đã biết, việc tăng trưởng gộp bất cứ thứ gì ở mức trên 25 phần trăm trong một thời gian dài sẽ tạo ra những con số khá lớn. Trong trường hợp tăng trưởng doanh số, gần như không thể duy trì được một chuỗi thành tích ở mức cao như vậy. Vậy nên chỉ còn là vấn đề thời gian trước khi Keurig buộc phải hoặc thông báo rằng chuỗi thành tích đã kết thúc, hoặc tìm ra cách để khiến nó trông như vẫn tiếp diễn. Đáng tiếc thay, Keurig đã chọn cách thứ hai. Đọc các hồ sơ 10-K của công ty cho năm tài chính 2007 và 2008, chúng tôi bắt gặp hai thay đổi chính sách kế toán tinh tế (nhưng quan trọng) mà ban lãnh đạo đã thực hiện vào năm 2008 để thổi phồng doanh thu. Thứ nhất, công ty bắt đầu ghi nhận một số doanh thu sớm hơn trong quy trình bán hàng — tại thời điểm giao hàng cho đơn vị vận chuyển, thay vì thời điểm giao đến tay khách. Thứ hai, công ty bắt đầu xem các ưu đãi hay "hoàn tiền" cho khách hàng như một khoản chi phí hoạt động thay vì giảm trừ doanh số.</w:t>
      </w:r>
    </w:p>
    <w:p>
      <w:pPr>
        <w:spacing w:after="80"/>
      </w:pPr>
      <w:r>
        <w:rPr>
          <w:b w:val="0"/>
          <w:i w:val="0"/>
        </w:rPr>
        <w:t>CHÚ THÍCH CỦA KEURIG GREEN MOUNTAIN MÔ TẢ CHÍNH SÁCH GHI NHẬN DOANH THU CỦA CÔNG TY</w:t>
      </w:r>
    </w:p>
    <w:p>
      <w:pPr>
        <w:spacing w:after="80"/>
      </w:pPr>
      <w:r>
        <w:rPr>
          <w:b/>
          <w:i w:val="0"/>
        </w:rPr>
        <w:t>10-K 2007</w:t>
      </w:r>
      <w:r>
        <w:rPr>
          <w:b w:val="0"/>
          <w:i w:val="0"/>
        </w:rPr>
        <w:t xml:space="preserve">—Doanh thu từ bán buôn và bán trực tiếp cho người tiêu dùng được </w:t>
      </w:r>
      <w:r>
        <w:rPr>
          <w:b w:val="0"/>
          <w:i/>
        </w:rPr>
        <w:t>ghi nhận khi giao sản phẩm</w:t>
      </w:r>
      <w:r>
        <w:rPr>
          <w:b w:val="0"/>
          <w:i w:val="0"/>
        </w:rPr>
        <w:t xml:space="preserve">. Ngoài ra, khách hàng của Công ty có thể kiếm được một số </w:t>
      </w:r>
      <w:r>
        <w:rPr>
          <w:b w:val="0"/>
          <w:i/>
        </w:rPr>
        <w:t>ưu đãi, được trừ vào doanh số</w:t>
      </w:r>
      <w:r>
        <w:rPr>
          <w:b w:val="0"/>
          <w:i w:val="0"/>
        </w:rPr>
        <w:t xml:space="preserve"> trong báo cáo thu nhập hợp nhất. [Chữ in nghiêng được thêm vào để nhấn mạnh]</w:t>
      </w:r>
    </w:p>
    <w:p>
      <w:pPr>
        <w:spacing w:after="80"/>
      </w:pPr>
      <w:r>
        <w:rPr>
          <w:b/>
          <w:i w:val="0"/>
        </w:rPr>
        <w:t>10-K 2008</w:t>
      </w:r>
      <w:r>
        <w:rPr>
          <w:b w:val="0"/>
          <w:i w:val="0"/>
        </w:rPr>
        <w:t xml:space="preserve">—Doanh thu từ bán buôn và bán trực tiếp cho người tiêu dùng được </w:t>
      </w:r>
      <w:r>
        <w:rPr>
          <w:b w:val="0"/>
          <w:i/>
        </w:rPr>
        <w:t>ghi nhận khi giao sản phẩm, và trong một số trường hợp là khi gửi sản phẩm</w:t>
      </w:r>
      <w:r>
        <w:rPr>
          <w:b w:val="0"/>
          <w:i w:val="0"/>
        </w:rPr>
        <w:t xml:space="preserve">. Ngoài ra, khách hàng của Công ty có thể kiếm được một số </w:t>
      </w:r>
      <w:r>
        <w:rPr>
          <w:b w:val="0"/>
          <w:i/>
        </w:rPr>
        <w:t>ưu đãi, được trừ vào doanh số hoặc ghi vào chi phí hoạt động và chi phí bán hàng</w:t>
      </w:r>
      <w:r>
        <w:rPr>
          <w:b w:val="0"/>
          <w:i w:val="0"/>
        </w:rPr>
        <w:t xml:space="preserve"> trong báo cáo thu nhập hợp nhất. [Chữ in nghiêng được thêm vào để nhấn mạnh]</w:t>
      </w:r>
    </w:p>
    <w:p>
      <w:pPr>
        <w:pStyle w:val="Heading4"/>
      </w:pPr>
      <w:r>
        <w:rPr>
          <w:rFonts w:ascii="Calibri" w:hAnsi="Calibri"/>
          <w:b/>
          <w:i w:val="0"/>
          <w:sz w:val="23"/>
        </w:rPr>
        <w:t>2. Ghi nhận doanh thu vượt xa khối lượng công việc đã hoàn thành trên hợp đồng</w:t>
      </w:r>
    </w:p>
    <w:p>
      <w:pPr>
        <w:spacing w:after="80"/>
      </w:pPr>
      <w:r>
        <w:rPr>
          <w:b w:val="0"/>
          <w:i w:val="0"/>
        </w:rPr>
        <w:t>Phần đầu tiên đã minh họa cách các công ty ghi nhận doanh thu một cách không chính đáng bằng việc ghi nhận doanh số trước khi các hoạt động quan trọng của bên bán thậm chí diễn ra. Tiếp theo, chúng ta thảo luận về việc ghi nhận doanh thu khi bên bán đã bắt đầu thực hiện hợp đồng; tuy nhiên, ban lãnh đạo lại ghi nhận doanh thu với số tiền lớn hơn nhiều so với mức hợp lý.</w:t>
      </w:r>
    </w:p>
    <w:p>
      <w:pPr>
        <w:pStyle w:val="Heading5"/>
      </w:pPr>
      <w:r>
        <w:rPr>
          <w:rFonts w:ascii="Calibri" w:hAnsi="Calibri"/>
          <w:b/>
          <w:i/>
          <w:sz w:val="22"/>
        </w:rPr>
        <w:t>Thay đổi chính sách ghi nhận doanh thu để ghi nhận doanh thu sớm hơn (và với số tiền lớn hơn)</w:t>
      </w:r>
    </w:p>
    <w:p>
      <w:pPr>
        <w:spacing w:after="80"/>
      </w:pPr>
      <w:r>
        <w:rPr>
          <w:b w:val="0"/>
          <w:i w:val="0"/>
        </w:rPr>
        <w:t>Giống như Keurig, các công ty cũng có thể thay đổi chính sách ghi nhận doanh thu cho các dự án đang triển khai để thổi phồng doanh số và lợi nhuận hoạt động. Hãy xem xét tình cảnh của nhà sản xuất Nhật Bản Ulvac khi hoạt động kinh doanh của họ gặp vô vàn khó khăn và ban lãnh đạo đã cân nhắc các cách để "giải quyết" vấn đề của mình bằng việc thay đổi các chính sách kế toán.</w:t>
      </w:r>
    </w:p>
    <w:p>
      <w:pPr>
        <w:spacing w:after="80"/>
      </w:pPr>
      <w:r>
        <w:rPr>
          <w:b/>
          <w:i/>
        </w:rPr>
        <w:t>Hãy cảnh giác với việc thay đổi chính sách ghi nhận doanh thu để che giấu hoạt động kinh doanh đang sụp đổ</w:t>
      </w:r>
      <w:r>
        <w:rPr>
          <w:b w:val="0"/>
          <w:i w:val="0"/>
        </w:rPr>
        <w:t xml:space="preserve"> Phải làm gì khi hoạt động kinh doanh của bạn đang sụp đổ và bạn hy vọng che giấu sự thật đó với các nhà đầu tư? Năm 2010, Ulvac đã tìm ra một giải pháp rất thông minh, nhưng nó liên quan đến một thủ đoạn tài chính trắng trợn. Bảng 3-1 cho thấy kết quả đã được kiểm toán mà Ulvac báo cáo cho các năm tài chính kết thúc vào tháng 6 năm 2008, 2009 và 2010.</w:t>
      </w:r>
    </w:p>
    <w:p>
      <w:pPr>
        <w:spacing w:after="80"/>
      </w:pPr>
      <w:r>
        <w:rPr>
          <w:b/>
          <w:i w:val="0"/>
        </w:rPr>
        <w:t>Bảng 3-1</w:t>
      </w:r>
      <w:r>
        <w:rPr>
          <w:b w:val="0"/>
          <w:i w:val="0"/>
        </w:rPr>
        <w:t xml:space="preserve"> Kết quả của Ulvac giai đoạn 2008–2010, theo báo cáo</w:t>
      </w:r>
    </w:p>
    <w:p>
      <w:pPr>
        <w:jc w:val="center"/>
      </w:pPr>
      <w:r>
        <w:drawing>
          <wp:inline xmlns:a="http://schemas.openxmlformats.org/drawingml/2006/main" xmlns:pic="http://schemas.openxmlformats.org/drawingml/2006/picture">
            <wp:extent cx="5486400" cy="1145328"/>
            <wp:docPr id="5" name="Picture 5"/>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5486400" cy="1145328"/>
                    </a:xfrm>
                    <a:prstGeom prst="rect"/>
                  </pic:spPr>
                </pic:pic>
              </a:graphicData>
            </a:graphic>
          </wp:inline>
        </w:drawing>
      </w:r>
    </w:p>
    <w:p>
      <w:pPr>
        <w:spacing w:after="80"/>
      </w:pPr>
      <w:r>
        <w:rPr>
          <w:b w:val="0"/>
          <w:i w:val="0"/>
        </w:rPr>
        <w:t xml:space="preserve">Sau một năm 2009 đầy sóng gió (với doanh số lao dốc 7 phần trăm và lợi nhuận hoạt động giảm 62 phần trăm), năm 2010 trông giống như một giai đoạn phục hồi thành công (với tăng trưởng doanh số cải thiện lên chỉ còn </w:t>
      </w:r>
      <w:r>
        <w:rPr>
          <w:b w:val="0"/>
          <w:i/>
        </w:rPr>
        <w:t>âm</w:t>
      </w:r>
      <w:r>
        <w:rPr>
          <w:b w:val="0"/>
          <w:i w:val="0"/>
        </w:rPr>
        <w:t xml:space="preserve"> 1 phần trăm và lợi nhuận hoạt động tăng vọt ấn tượng 38 phần trăm). Có vẻ như công ty đã làm rất tốt trong việc quản lý chi phí trong một giai đoạn không có tăng trưởng doanh thu. Tuy nhiên, vấn đề là kết quả năm 2010 lại gây hiểu nhầm một cách thảm hại. Cụ thể, Ulvac vừa thay đổi cách tiếp cận ghi nhận doanh thu sang phương pháp phần trăm hoàn thành (percentage-of-completion - POC), và kết quả là họ bắt đầu ghi nhận doanh số sớm hơn nhiều so với cách tiếp cận truyền thống. Bảng 3-2 cho thấy kết quả mà Ulvac lẽ ra đã báo cáo, giả sử không có thay đổi nào trong chính sách ghi nhận doanh thu. Kết quả thật đáng suy ngẫm và gây sốc cho các nhà đầu tư.</w:t>
      </w:r>
    </w:p>
    <w:p>
      <w:pPr>
        <w:spacing w:after="80"/>
      </w:pPr>
      <w:r>
        <w:rPr>
          <w:b w:val="0"/>
          <w:i w:val="0"/>
        </w:rPr>
        <w:t>Hãy chú ý đến cột bên phải, "Phần trăm thay đổi đã điều chỉnh" trong năm 2010, và so sánh với thay đổi được thể hiện trong Bảng 3-1—mức giảm doanh số 1 phần trăm. Thay vì doanh số về cơ bản ổn định trong năm 2010, sau mức giảm 7 phần trăm của năm trước, doanh số lẽ ra đã lao dốc 21 phần trăm, khiến các nhà đầu tư hoàn toàn hoảng loạn. Vì vậy, để tránh sự thất vọng đó, ban lãnh đạo Ulvac đã tìm ra một giải pháp, và các kiểm toán viên của họ đã phê duyệt một cách khó hiểu—thay đổi chính sách ghi nhận doanh thu và che giấu những vấn đề lớn của mình khỏi các nhà đầu tư.</w:t>
      </w:r>
    </w:p>
    <w:p>
      <w:pPr>
        <w:spacing w:after="80"/>
      </w:pPr>
      <w:r>
        <w:rPr>
          <w:b/>
          <w:i w:val="0"/>
        </w:rPr>
        <w:t>Bảng 3-2</w:t>
      </w:r>
      <w:r>
        <w:rPr>
          <w:b w:val="0"/>
          <w:i w:val="0"/>
        </w:rPr>
        <w:t xml:space="preserve"> Kết quả của Ulvac giai đoạn 2009–2010, kết quả giả sử không có thay đổi chính sách kế toán</w:t>
      </w:r>
    </w:p>
    <w:p>
      <w:pPr>
        <w:jc w:val="center"/>
      </w:pPr>
      <w:r>
        <w:drawing>
          <wp:inline xmlns:a="http://schemas.openxmlformats.org/drawingml/2006/main" xmlns:pic="http://schemas.openxmlformats.org/drawingml/2006/picture">
            <wp:extent cx="5486400" cy="1335285"/>
            <wp:docPr id="6" name="Picture 6"/>
            <wp:cNvGraphicFramePr>
              <a:graphicFrameLocks noChangeAspect="1"/>
            </wp:cNvGraphicFramePr>
            <a:graphic>
              <a:graphicData uri="http://schemas.openxmlformats.org/drawingml/2006/picture">
                <pic:pic>
                  <pic:nvPicPr>
                    <pic:cNvPr id="0" name="00016.jpeg"/>
                    <pic:cNvPicPr/>
                  </pic:nvPicPr>
                  <pic:blipFill>
                    <a:blip r:embed="rId14"/>
                    <a:stretch>
                      <a:fillRect/>
                    </a:stretch>
                  </pic:blipFill>
                  <pic:spPr>
                    <a:xfrm>
                      <a:off x="0" y="0"/>
                      <a:ext cx="5486400" cy="1335285"/>
                    </a:xfrm>
                    <a:prstGeom prst="rect"/>
                  </pic:spPr>
                </pic:pic>
              </a:graphicData>
            </a:graphic>
          </wp:inline>
        </w:drawing>
      </w:r>
    </w:p>
    <w:p>
      <w:pPr>
        <w:pStyle w:val="Heading5"/>
      </w:pPr>
      <w:r>
        <w:rPr>
          <w:rFonts w:ascii="Calibri" w:hAnsi="Calibri"/>
          <w:b/>
          <w:i/>
          <w:sz w:val="22"/>
        </w:rPr>
        <w:t>Thay đổi các ước tính và giả định khi sử dụng kế toán POC</w:t>
      </w:r>
    </w:p>
    <w:p>
      <w:pPr>
        <w:spacing w:after="80"/>
      </w:pPr>
      <w:r>
        <w:rPr>
          <w:b w:val="0"/>
          <w:i w:val="0"/>
        </w:rPr>
        <w:t>Ulvac mang đến một minh họa về sự nhảy vọt đáng kể trong doanh thu được báo cáo khi một công ty chuyển từ các thực hành ghi nhận doanh thu tiêu chuẩn sang cách tiếp cận POC tích cực hơn. Các nhà đầu tư cũng nên cảnh giác với những công ty sử dụng POC mà chỉ đơn thuần thay đổi một số ước tính hoặc giả định then chốt, vì những hành động đó cũng có thể thổi phồng doanh thu một cách đáng kể.</w:t>
      </w:r>
    </w:p>
    <w:p>
      <w:pPr>
        <w:spacing w:after="80"/>
      </w:pPr>
      <w:r>
        <w:rPr>
          <w:b w:val="0"/>
          <w:i w:val="0"/>
        </w:rPr>
        <w:t>Hãy xem xét công ty dẫn đầu về năng lượng mặt trời First Solar (FSLR) và những thay đổi kế toán của họ để che giấu các thất bại trong kinh doanh khỏi các nhà đầu tư. Năm 2014, FSLR đang xây dựng một số nhà máy điện mặt trời lớn nhất tại Hoa Kỳ. Vì đây là các dự án xây dựng dài hạn, First Solar đã áp dụng kế toán phần trăm hoàn thành, và họ xác định tỷ lệ tiến độ trên mỗi hợp đồng bằng cách tính chi phí phát sinh cho dự án như một phần trăm của tổng chi phí dự kiến. Theo phương pháp này, bất kỳ thay đổi nào trong ước tính của công ty về tổng chi phí dự án đều có tác động tức thì đến doanh thu được báo cáo, vì nó sẽ làm tăng hoặc giảm tiến độ ước tính hoàn thành.</w:t>
      </w:r>
    </w:p>
    <w:p>
      <w:pPr>
        <w:spacing w:after="80"/>
      </w:pPr>
      <w:r>
        <w:rPr>
          <w:b w:val="0"/>
          <w:i w:val="0"/>
        </w:rPr>
        <w:t>Viên nang kế toán: Bối cảnh về phương pháp phần trăm hoàn thành (POC)</w:t>
      </w:r>
    </w:p>
    <w:p>
      <w:pPr>
        <w:spacing w:after="80"/>
      </w:pPr>
      <w:r>
        <w:rPr>
          <w:b w:val="0"/>
          <w:i w:val="0"/>
        </w:rPr>
        <w:t>Ghi nhận doanh thu theo POC cho phép các công ty báo cáo doanh thu ngay cả trước khi một dự án được hoàn thành. Phương pháp này ra đời để các công ty làm việc với các hợp đồng xây dựng dài hạn có thể báo cáo hoạt động kinh doanh mỗi kỳ ngay cả khi sản phẩm chưa được giao cho khách hàng. Trong khuôn khổ này, các công ty được kỳ vọng sẽ ước tính tỷ lệ dự án đã hoàn thành và ghi nhận phần doanh thu, chi phí và lợi nhuận tương ứng theo tỷ lệ của tổng dự án. Các nhà đầu tư nên đặc biệt cảnh giác khi phân tích các công ty sử dụng kế toán phần trăm hoàn thành, vì kết quả được báo cáo phụ thuộc vào các ước tính của công ty về tiến độ của chính mình.</w:t>
      </w:r>
    </w:p>
    <w:p>
      <w:pPr>
        <w:spacing w:after="80"/>
      </w:pPr>
      <w:r>
        <w:rPr>
          <w:b w:val="0"/>
          <w:i w:val="0"/>
        </w:rPr>
        <w:t>Những nhà đầu tư tinh ý sẽ được cảnh báo về những thay đổi ngày càng tăng trong các ước tính bằng cách đọc phần chú thích trong hồ sơ 10-K năm 2014 của First Solar. Khi công ty cập nhật các ước tính về tổng chi phí dự án vào năm 2014, chỉ với một cú nhấp chuột trong bảng tính, ban lãnh đạo đã ngay lập tức ghi nhận thêm 40 triệu đô la doanh số (sau mức tăng 8,5 triệu đô la vào năm 2013). Hơn nữa, vì không có chi phí bổ sung nào gắn với khoản doanh thu bất ngờ này, lợi nhuận gộp và thu nhập hoạt động đã tăng một lượng tương đương.</w:t>
      </w:r>
    </w:p>
    <w:p>
      <w:pPr>
        <w:spacing w:after="80"/>
      </w:pPr>
      <w:r>
        <w:rPr>
          <w:b w:val="0"/>
          <w:i w:val="0"/>
        </w:rPr>
        <w:t>Kế toán POC mang lại cho ban lãnh đạo sự tự do bất thường trong khả năng kéo doanh thu về trước, nhưng CA, một công ty phần mềm doanh nghiệp, đã đẩy vấn đề đi xa hơn nhiều bằng cách kéo trước doanh thu giấy phép trên các giấy phép nhiều năm, vốn thực sự sẽ không được kiếm ra trong nhiều năm tới.</w:t>
      </w:r>
    </w:p>
    <w:p>
      <w:pPr>
        <w:spacing w:after="80"/>
      </w:pPr>
      <w:r>
        <w:rPr>
          <w:b/>
          <w:i/>
        </w:rPr>
        <w:t>Hãy cảnh giác với việc ghi nhận trước doanh thu của hợp đồng cấp phép dài hạn</w:t>
      </w:r>
      <w:r>
        <w:rPr>
          <w:b w:val="0"/>
          <w:i w:val="0"/>
        </w:rPr>
        <w:t xml:space="preserve"> CA đã bán các giấy phép dài hạn cho phép khách hàng sử dụng phần mềm máy tính mainframe của mình. Khách hàng trả một khoản phí cấp phép trả trước cho phần mềm, cùng với một khoản phí hàng năm để gia hạn giấy phép trong những năm tiếp theo. Bất chấp tính chất dài hạn của các thỏa thuận này (một số hợp đồng kéo dài tới bảy năm), công ty vẫn ghi nhận giá trị hiện tại của toàn bộ doanh thu cấp phép cho cả hợp đồng ngay lập tức. Vì toàn bộ doanh thu cấp phép được ghi nhận vào đầu hợp đồng, và tiền mặt thì không được thu trong nhiều năm tới, CA đã ghi nhận một lượng lớn các khoản phải thu dài hạn trên Bảng cân đối kế toán của mình.</w:t>
      </w:r>
    </w:p>
    <w:p>
      <w:pPr>
        <w:pStyle w:val="Heading5"/>
      </w:pPr>
      <w:r>
        <w:rPr>
          <w:rFonts w:ascii="Calibri" w:hAnsi="Calibri"/>
          <w:b/>
          <w:i/>
          <w:sz w:val="22"/>
        </w:rPr>
        <w:t>Các cơ quan quản lý cũng cực lực phản đối cách làm này</w:t>
      </w:r>
    </w:p>
    <w:p>
      <w:pPr>
        <w:spacing w:after="80"/>
      </w:pPr>
      <w:r>
        <w:rPr>
          <w:b w:val="0"/>
          <w:i w:val="0"/>
        </w:rPr>
        <w:t xml:space="preserve">SEC cáo buộc rằng từ tháng 1 năm 1998 đến tháng 10 năm 2000, CA đã ghi nhận doanh thu </w:t>
      </w:r>
      <w:r>
        <w:rPr>
          <w:b w:val="0"/>
          <w:i/>
        </w:rPr>
        <w:t>hơn 3,3 tỷ đô la</w:t>
      </w:r>
      <w:r>
        <w:rPr>
          <w:b w:val="0"/>
          <w:i w:val="0"/>
        </w:rPr>
        <w:t xml:space="preserve"> một cách sớm trước thời hạn từ ít nhất 363 hợp đồng phần mềm với khách hàng.</w:t>
      </w:r>
    </w:p>
    <w:p>
      <w:pPr>
        <w:spacing w:after="80"/>
      </w:pPr>
      <w:r>
        <w:rPr>
          <w:b w:val="0"/>
          <w:i w:val="0"/>
        </w:rPr>
        <w:t>Các khoản phải thu dài hạn phình to của CA lẽ ra phải khiến các nhà đầu tư cảnh giác với cách ghi nhận doanh thu đầy tính xâm lấn của công ty. Một sự xem xét kỹ lưỡng lẽ ra đã báo động cho các nhà đầu tư về các khoản phải thu dài hạn và tổng các khoản phải thu đang tăng vọt của công ty ngay từ tháng 9 năm 1998. Các nhà đầu tư nên sử dụng một chỉ số gọi là "số ngày thu tiền bình quân" (days' sales outstanding - DSO) để đánh giá mức độ nhanh chóng mà khách hàng thanh toán hóa đơn so với mức độ nhanh chóng mà doanh thu được ghi nhận. DSO cao hơn có thể cho thấy việc ghi nhận doanh thu mang tính xâm lấn hơn, ngoài việc chỉ đơn thuần là quản lý tiền mặt kém. Với các khoản phải thu trả góp dài hạn của công ty tăng vọt vào tháng 9 năm 1998, DSO của nó đã đạt 247 ngày (dựa trên doanh thu sản phẩm) - tăng 20 ngày so với cùng kỳ năm trước. Hơn nữa, tổng các khoản phải thu, bao gồm cả ngắn hạn và dài hạn, đã tăng lên 342 ngày - tăng vọt 31 ngày.</w:t>
      </w:r>
    </w:p>
    <w:p>
      <w:pPr>
        <w:pStyle w:val="Heading4"/>
      </w:pPr>
      <w:r>
        <w:rPr>
          <w:rFonts w:ascii="Calibri" w:hAnsi="Calibri"/>
          <w:b/>
          <w:i w:val="0"/>
          <w:sz w:val="23"/>
        </w:rPr>
        <w:t>3. Ghi nhận doanh thu trước khi người mua chấp nhận cuối cùng đối với sản phẩm</w:t>
      </w:r>
    </w:p>
    <w:p>
      <w:pPr>
        <w:spacing w:after="80"/>
      </w:pPr>
      <w:r>
        <w:rPr>
          <w:b w:val="0"/>
          <w:i w:val="0"/>
        </w:rPr>
        <w:t>Trong hai mục đầu tiên của chương này, chúng ta tập trung vào việc người bán thực hiện các nghĩa vụ của mình theo hợp đồng. Trong hai mục tiếp theo, chúng ta chuyển sự tập trung sang người mua. Mục này đề cập đến ba kiểu thủ thuật tạo ra doanh thu trước khi người mua chấp nhận cuối cùng, cụ thể là ghi nhận doanh thu (1) trước khi vận chuyển sản phẩm cho người mua, (2) sau khi vận chuyển nhưng cho một người nào đó không phải là người mua, và (3) sau khi vận chuyển nhưng trong khi người mua vẫn có thể hủy bỏ giao dịch mua bán.</w:t>
      </w:r>
    </w:p>
    <w:p>
      <w:pPr>
        <w:pStyle w:val="Heading5"/>
      </w:pPr>
      <w:r>
        <w:rPr>
          <w:rFonts w:ascii="Calibri" w:hAnsi="Calibri"/>
          <w:b/>
          <w:i/>
          <w:sz w:val="22"/>
        </w:rPr>
        <w:t>Người bán ghi nhận doanh thu trước khi vận chuyển</w:t>
      </w:r>
    </w:p>
    <w:p>
      <w:pPr>
        <w:spacing w:after="80"/>
      </w:pPr>
      <w:r>
        <w:rPr>
          <w:b w:val="0"/>
          <w:i w:val="0"/>
        </w:rPr>
        <w:t>Một phương pháp ghi nhận doanh thu đầy vấn đề và thường gây tranh cãi liên quan đến cái gọi là thỏa thuận xuất hóa đơn nhưng giữ hàng (bill-and-hold). Với cách tiếp cận này, người bán xuất hóa đơn cho khách hàng và ghi nhận doanh thu nhưng vẫn tiếp tục giữ sản phẩm. Đối với hầu hết các giao dịch bán hàng, việc ghi nhận doanh thu đòi hỏi phải vận chuyển sản phẩm cho khách hàng. Tuy nhiên, trong một số trường hợp nhất định, các hướng dẫn kế toán cho phép ghi nhận doanh thu theo các giao dịch xuất hóa đơn nhưng giữ hàng, với điều kiện là khách hàng yêu cầu sự sắp xếp này và là bên hưởng lợi chính. Ví dụ, nếu người mua không có đủ không gian lưu trữ, họ có thể yêu cầu người bán giữ hàng hóa đã mua như một sự ưu ái. Trong bất kỳ trường hợp nào, việc ghi nhận doanh thu sớm theo một thỏa thuận xuất hóa đơn nhưng giữ hàng đều không thể xảy ra nếu thỏa thuận đó do người bán khởi xướng vì lợi ích của người bán (tức là để ghi nhận doanh thu vào một ngày sớm hơn).</w:t>
      </w:r>
    </w:p>
    <w:p>
      <w:pPr>
        <w:spacing w:after="80"/>
      </w:pPr>
      <w:r>
        <w:rPr>
          <w:b/>
          <w:i/>
        </w:rPr>
        <w:t>Hãy để ý các giao dịch xuất hóa đơn nhưng giữ hàng do người bán khởi xướng</w:t>
      </w:r>
      <w:r>
        <w:rPr>
          <w:b w:val="0"/>
          <w:i w:val="0"/>
        </w:rPr>
        <w:t xml:space="preserve"> Nếu có vẻ như người bán đã khởi xướng một giao dịch xuất hóa đơn nhưng giữ hàng, các nhà đầu tư nên cho rằng người bán đã cố gắng ghi nhận doanh thu quá sớm. Ví dụ, CEO của Sunbeam là Al Dunlap đã sử dụng chiến lược xuất hóa đơn nhưng giữ hàng để làm cho kết quả tài chính của công ty trông có vẻ tốt hơn so với thực tế bằng cách thổi phồng doanh thu của Sunbeam một cách giả tạo.</w:t>
      </w:r>
    </w:p>
    <w:p>
      <w:pPr>
        <w:spacing w:after="80"/>
      </w:pPr>
      <w:r>
        <w:rPr>
          <w:b w:val="0"/>
          <w:i w:val="0"/>
        </w:rPr>
        <w:t>Sunbeam, với sự sốt ruột muốn đẩy mạnh doanh số trong "năm xoay chuyển tình thế" của mình, hy vọng thuyết phục các nhà bán lẻ mua lò nướng gần sáu tháng trước khi chúng cần đến. Đổi lại những khoản chiết khấu lớn và điều khoản thanh toán dài hơn, các nhà bán lẻ đồng ý mua hàng hóa mà họ sẽ không thực sự nhận được cho đến nhiều tháng sau. Trong lúc đó, hàng hóa sẽ được vận chuyển ra khỏi nhà máy sản xuất lò nướng ở Missouri đến các kho hàng của bên thứ ba do Sunbeam thuê, nơi chúng sẽ được giữ cho đến khi khách hàng yêu cầu.</w:t>
      </w:r>
    </w:p>
    <w:p>
      <w:pPr>
        <w:spacing w:after="80"/>
      </w:pPr>
      <w:r>
        <w:rPr>
          <w:b w:val="0"/>
          <w:i w:val="0"/>
        </w:rPr>
        <w:t>Tuy nhiên, Sunbeam vẫn ghi nhận doanh số và lợi nhuận từ toàn bộ 35 triệu đô la trong các giao dịch xuất hóa đơn nhưng giữ hàng. Khi các kiểm toán viên bên ngoài sau đó xem xét các tài liệu, họ đã đảo ngược một con số đáng kinh ngạc là 29 triệu đô la trong số 35 triệu đô la đó và chuyển doanh số sang các quý trong tương lai. Khi thực hiện cuộc kiểm toán ban đầu, Arthur Andersen đã đặt câu hỏi về cách xử lý kế toán của một số giao dịch. Nhưng trong gần như mọi trường hợp, họ kết luận rằng các khoản tiền đó là "không trọng yếu" đối với toàn bộ cuộc kiểm toán. Đôi khi việc phát hiện các dấu hiệu của kế toán xâm lấn gần như là không thể. Trong trường hợp của Sunbeam, nó không đòi hỏi gì hơn là đọc phần chú thích về ghi nhận doanh thu trong báo cáo 10-K của công ty.</w:t>
      </w:r>
    </w:p>
    <w:p>
      <w:pPr>
        <w:spacing w:after="80"/>
      </w:pPr>
      <w:r>
        <w:rPr>
          <w:b w:val="0"/>
          <w:i w:val="0"/>
        </w:rPr>
        <w:t>CHÚ THÍCH TRONG BÁO CÁO 10-K CỦA SUNBEAM ĐÃ KỂ CÂU CHUYỆN</w:t>
      </w:r>
    </w:p>
    <w:p>
      <w:pPr>
        <w:spacing w:after="80"/>
      </w:pPr>
      <w:r>
        <w:rPr>
          <w:b w:val="0"/>
          <w:i w:val="0"/>
        </w:rPr>
        <w:t>Công ty ghi nhận doanh thu từ việc bán sản phẩm chủ yếu vào thời điểm vận chuyển cho khách hàng. Trong những trường hợp hạn chế, theo yêu cầu của khách hàng, Công ty có thể bán các sản phẩm theo mùa trên cơ sở xuất hóa đơn nhưng giữ hàng với điều kiện là hàng hóa đã được hoàn thiện, đóng gói và sẵn sàng để vận chuyển, hàng hóa đó được tách riêng và các rủi ro về quyền sở hữu cũng như quyền sở hữu hợp pháp đã chuyển sang khách hàng. Số tiền của các giao dịch xuất hóa đơn nhưng giữ hàng như vậy vào ngày 29 tháng 12 năm 1997 là khoảng 3 phần trăm doanh thu hợp nhất.</w:t>
      </w:r>
    </w:p>
    <w:p>
      <w:pPr>
        <w:spacing w:after="80"/>
      </w:pPr>
      <w:r>
        <w:rPr>
          <w:b w:val="0"/>
          <w:i w:val="0"/>
        </w:rPr>
        <w:t>Cuối cùng, Dunlap đã bị sa thải khi hội đồng quản trị nhận ra rằng ông ta đã làm được rất ít để cải thiện tình hình tài chính của công ty và chỉ đơn thuần sử dụng kỹ thuật tài chính không đúng đắn để đẩy giá cổ phiếu lên cao hơn.</w:t>
      </w:r>
    </w:p>
    <w:p>
      <w:pPr>
        <w:pStyle w:val="Heading5"/>
      </w:pPr>
      <w:r>
        <w:rPr>
          <w:rFonts w:ascii="Calibri" w:hAnsi="Calibri"/>
          <w:b/>
          <w:i/>
          <w:sz w:val="22"/>
        </w:rPr>
        <w:t>Người bán ghi nhận doanh thu khi vận chuyển cho một người nào đó không phải là khách hàng</w:t>
      </w:r>
    </w:p>
    <w:p>
      <w:pPr>
        <w:spacing w:after="80"/>
      </w:pPr>
      <w:r>
        <w:rPr>
          <w:b w:val="0"/>
          <w:i w:val="0"/>
        </w:rPr>
        <w:t>Các kiểm toán viên thường dựa vào hồ sơ vận chuyển như bằng chứng rằng người bán đã giao sản phẩm của mình cho khách hàng, cho phép ghi nhận doanh thu. Ban lãnh đạo có thể cố gắng lừa các kiểm toán viên (và các nhà đầu tư) của mình tin rằng một giao dịch bán hàng đã xảy ra bằng cách vận chuyển sản phẩm cho một người nào đó không phải là khách hàng. Hãy xem xét trường hợp của Krispy Kreme Doughnuts.</w:t>
      </w:r>
    </w:p>
    <w:p>
      <w:pPr>
        <w:spacing w:after="80"/>
      </w:pPr>
      <w:r>
        <w:rPr>
          <w:b w:val="0"/>
          <w:i w:val="0"/>
        </w:rPr>
        <w:t>Một phần doanh thu của Krispy Kreme đến từ việc bán thiết bị làm bánh doughnut cho các bên nhận quyền thương mại (franchisee). Việc công ty ghi nhận doanh thu bán hàng ngay khi vận chuyển máy đến cho bên nhận quyền thương mại hoàn toàn hợp lý—tất nhiên, với điều kiện là bên nhận quyền thương mại đã nhận được máy. Năm 2003, Krispy Kreme đã tốn bao công sức để lừa các kiểm toán viên của mình bằng cách giả vờ vận chuyển thiết bị đến cho các bên nhận quyền thương mại. Công ty đã vận chuyển thiết bị ra ngoài, nhưng lại đưa lên những xe kéo thuộc sở hữu của công ty mà các bên nhận quyền thương mại không thể tiếp cận. Krispy Kreme vẫn ghi nhận doanh thu, dù khách hàng chưa hề nhận được số máy đã vận chuyển.</w:t>
      </w:r>
    </w:p>
    <w:p>
      <w:pPr>
        <w:spacing w:after="80"/>
      </w:pPr>
      <w:r>
        <w:rPr>
          <w:b/>
          <w:i/>
        </w:rPr>
        <w:t>Coi chừng việc vận chuyển sản phẩm cho bên trung gian thay vì khách hàng thực sự</w:t>
      </w:r>
      <w:r>
        <w:rPr>
          <w:b w:val="0"/>
          <w:i w:val="0"/>
        </w:rPr>
        <w:t xml:space="preserve"> Đôi khi người bán sẽ vận chuyển sản phẩm cho một nhà bán lại trước khi thương vụ được hoàn tất đầy đủ. Autonomy từng là một trong những công ty phần mềm lớn nhất ở Vương quốc Anh trước khi bị HP mua lại. Để thổi phồng doanh thu, công ty ghi nhận doanh số cho các thương vụ phần mềm vẫn đang trong quá trình đàm phán với người dùng cuối (nhưng chưa chốt) và chuyển sản phẩm liên quan cho các nhà bán lại, đến lượt họ sẽ nhận quyền sở hữu ngay lập tức và giữ sản phẩm cho đến khi quá trình bán hàng với người dùng cuối được hoàn tất. Để đổi lấy việc "nhảy vào giao dịch" và cho phép Autonomy </w:t>
      </w:r>
      <w:r>
        <w:rPr>
          <w:b w:val="0"/>
          <w:i/>
        </w:rPr>
        <w:t>ghi nhận doanh thu ngay lập tức</w:t>
      </w:r>
      <w:r>
        <w:rPr>
          <w:b w:val="0"/>
          <w:i w:val="0"/>
        </w:rPr>
        <w:t>, Autonomy đã trả mức hoa hồng (giống như một khoản hối lộ) lên tới 10 phần trăm, dù nhà bán lại hầu như không có vai trò gì trong quá trình bán hàng cốt lõi và thường thậm chí không có bất kỳ thông tin nào về tình trạng của các thương vụ.</w:t>
      </w:r>
    </w:p>
    <w:p>
      <w:pPr>
        <w:spacing w:after="80"/>
      </w:pPr>
      <w:r>
        <w:rPr>
          <w:b/>
          <w:i/>
        </w:rPr>
        <w:t>Hãy cảnh giác với các thỏa thuận ký gửi (consignment)</w:t>
      </w:r>
      <w:r>
        <w:rPr>
          <w:b w:val="0"/>
          <w:i w:val="0"/>
        </w:rPr>
        <w:t xml:space="preserve"> Một kỹ thuật khác để ghi nhận doanh thu sớm ngay tại thời điểm vận chuyển liên quan đến bán hàng ký gửi. Với kiểu bán hàng này, sản phẩm được vận chuyển đến một bên trung gian, gọi là "bên nhận ký gửi" (consignee). Hãy nghĩ về bên nhận ký gửi như một đại lý bán hàng bên ngoài được giao nhiệm vụ tìm người mua. Thông thường, nhà sản xuất (gọi là "bên giao ký gửi" – consignor) không được ghi nhận doanh thu cho đến khi đại lý bán hàng hoàn tất giao dịch với khách hàng cuối. Chainsaw Al Dunlap và tay sai của ông ta tại Sunbeam, không có gì ngạc nhiên, đã phớt lờ tiêu chuẩn đó và ghi nhận 36 triệu đô la doanh thu ký gửi trước khi tìm được người dùng cuối.</w:t>
      </w:r>
    </w:p>
    <w:p>
      <w:pPr>
        <w:spacing w:after="80"/>
      </w:pPr>
      <w:r>
        <w:rPr>
          <w:b/>
          <w:i/>
        </w:rPr>
        <w:t>Ai mới là khách hàng thực sự—nhà phân phối hay người dùng cuối?</w:t>
      </w:r>
      <w:r>
        <w:rPr>
          <w:b w:val="0"/>
          <w:i w:val="0"/>
        </w:rPr>
        <w:t xml:space="preserve"> Các công ty bán sản phẩm qua mạng lưới phân phối phải quyết định ghi nhận doanh số khi vận chuyển cho nhà phân phối (cách tiếp cận "bán vào" – sell-in), hay muộn hơn khi nhà phân phối gửi hàng đến người dùng thực sự của sản phẩm (cách tiếp cận "bán ra" – sell-through). Dù cả hai cách đều được sử dụng rộng rãi, cách "bán ra" được coi là thận trọng hơn, vì nó gắn doanh thu được báo cáo trực tiếp hơn với nhu cầu của khách hàng cuối. Đáng lo ngại hơn (và đáng quan tâm nhất) là khi một công ty chuyển từ cách "bán ra" thận trọng hơn sang cách "bán vào", điều này tất nhiên sẽ thổi phồng doanh số. Chúng ta đã thấy một ví dụ về sự thay đổi như vậy tại Medicis, ngay sau khi công ty bị Valeant mua lại vào tháng 12 năm 2012.</w:t>
      </w:r>
    </w:p>
    <w:p>
      <w:pPr>
        <w:spacing w:after="80"/>
      </w:pPr>
      <w:r>
        <w:rPr>
          <w:b w:val="0"/>
          <w:i w:val="0"/>
        </w:rPr>
        <w:t>Valeant đã khéo léo thay đổi chính sách ghi nhận doanh thu hiện có tại đơn vị Medicis mới được mua lại trong quý đầu tiên sau khi thương vụ hoàn tất, để doanh số của nó được ghi nhận sớm hơn và mức tăng trưởng được báo cáo sẽ cao hơn. Medicis bán sản phẩm qua nhà phân phối McKesson, sau đó McKesson bán lại cho các bác sĩ. Medicis trước đây dùng cách "bán ra" thận trọng hơn, không ghi nhận doanh số cho đến khi nhà phân phối bán cho các bác sĩ. Để thúc đẩy doanh số tại đơn vị Medicis sau khi thương vụ hoàn tất, Valeant đã để Medicis chuyển ngay sang cách "bán vào" và bắt đầu ghi nhận doanh số sớm hơn nhiều—khi sản phẩm được gửi đến nhà phân phối. Sự thay đổi trắng trợn trong ghi nhận doanh thu đó đã thu hút sự chú ý của các nhà đầu tư tinh ý và cuối cùng là SEC, cơ quan đã ra một lá thư khiển trách chính thức.</w:t>
      </w:r>
    </w:p>
    <w:p>
      <w:pPr>
        <w:spacing w:after="80"/>
      </w:pPr>
      <w:r>
        <w:rPr>
          <w:b w:val="0"/>
          <w:i w:val="0"/>
        </w:rPr>
        <w:t>Medicis không phải là trường hợp duy nhất có những trò gian lận doanh thu trên con đường mua bán và sáp nhập (M&amp;A) của Valeant. Salix, được Valeant mua lại vào đầu năm 2015, có một chuỗi trò gian lận thậm chí còn đáng lo ngại hơn trong quan hệ với các nhà phân phối. Trong quý cuối năm 2013 và ba quý đầu năm 2014, công ty đã tích cực "nhồi hàng vào kênh" (stuff the channel), nghĩa là vận chuyển nhiều sản phẩm đến các nhà phân phối hơn mức họ có thể bán cho khách hàng của mình. Và bằng cách dùng cách "bán vào", Salix đã thổi phồng đáng kể doanh thu của mình. Khi kế hoạch bị phát hiện vào cuối năm 2014, Salix buộc phải điều chỉnh lại các báo cáo tài chính đã công bố trước đó để hạ thấp doanh thu và lợi nhuận trong cả bốn quý này.</w:t>
      </w:r>
    </w:p>
    <w:p>
      <w:pPr>
        <w:spacing w:after="80"/>
      </w:pPr>
      <w:r>
        <w:rPr>
          <w:b w:val="0"/>
          <w:i w:val="0"/>
        </w:rPr>
        <w:t>Vì tất cả những chi tiết này đã được công bố công khai vào cuối năm 2014, chúng tôi hoàn toàn không hiểu nổi tại sao Valeant vẫn chốt thương vụ mua lại. (Chúng tôi sẽ nói thêm về điều này trong Phần Năm.)</w:t>
      </w:r>
    </w:p>
    <w:p>
      <w:pPr>
        <w:pStyle w:val="Heading5"/>
      </w:pPr>
      <w:r>
        <w:rPr>
          <w:rFonts w:ascii="Calibri" w:hAnsi="Calibri"/>
          <w:b/>
          <w:i/>
          <w:sz w:val="22"/>
        </w:rPr>
        <w:t>Người bán ghi nhận doanh thu, nhưng người mua vẫn có thể từ chối thương vụ</w:t>
      </w:r>
    </w:p>
    <w:p>
      <w:pPr>
        <w:spacing w:after="80"/>
      </w:pPr>
      <w:r>
        <w:rPr>
          <w:b w:val="0"/>
          <w:i w:val="0"/>
        </w:rPr>
        <w:t>Phần cuối của mục này bàn về doanh thu được ghi nhận sớm dù sản phẩm đã được vận chuyển và khách hàng đã nhận. Điều này có thể xảy ra nếu (1) khách hàng nhận sai sản phẩm, (2) khách hàng nhận đúng sản phẩm nhưng quá sớm, hoặc (3) khách hàng nhận đúng sản phẩm vào đúng thời điểm nhưng vẫn bảo lưu quyền từ chối thương vụ. Khi người mua đã nhận sản phẩm nhưng vẫn có thể từ chối thương vụ, người bán phải hoặc chờ đến khi được chấp nhận cuối cùng mới ghi nhận doanh thu, hoặc ghi nhận doanh thu nhưng lập một khoản dự phòng ước tính số hàng dự kiến sẽ bị trả lại.</w:t>
      </w:r>
    </w:p>
    <w:p>
      <w:pPr>
        <w:spacing w:after="80"/>
      </w:pPr>
      <w:r>
        <w:rPr>
          <w:b/>
          <w:i/>
        </w:rPr>
        <w:t>Coi chừng người bán cố ý vận chuyển sản phẩm sai hoặc không đầy đủ</w:t>
      </w:r>
      <w:r>
        <w:rPr>
          <w:b w:val="0"/>
          <w:i w:val="0"/>
        </w:rPr>
        <w:t xml:space="preserve"> Đôi khi các công ty bày mưu thổi phồng doanh thu bằng cách cố ý vận chuyển sai sản phẩm và ghi nhận doanh thu liên quan, dù họ biết rõ sản phẩm sẽ bị trả lại. Symbol Technologies bị cáo buộc đã vận chuyển sản phẩm sai mà không có sự chấp thuận của khách hàng để báo cáo doanh số cao hơn. Tương tự, vào cuối quý bốn năm 1996, Informix ghi nhận doanh thu nhưng không giao mã phần mềm theo yêu cầu trước khi hết năm. Rồi vào tháng 1 năm 1997, Informix giao một phiên bản beta của phần mềm không hoạt động đúng với phần cứng. Công ty phải mất thêm sáu tháng nữa mới giao được mã phần mềm dùng được. Hóa ra, Informix đã ghi nhận doanh thu quá sớm vào quý bốn năm 1996 thay vì vào thời điểm công ty hoàn thành nghĩa vụ của mình trong quý ba năm 1997.</w:t>
      </w:r>
    </w:p>
    <w:p>
      <w:pPr>
        <w:spacing w:after="80"/>
      </w:pPr>
      <w:r>
        <w:rPr>
          <w:b/>
          <w:i/>
        </w:rPr>
        <w:t>Hãy cảnh giác với người bán vận chuyển sản phẩm trước ngày giao hàng đã thỏa thuận</w:t>
      </w:r>
      <w:r>
        <w:rPr>
          <w:b w:val="0"/>
          <w:i w:val="0"/>
        </w:rPr>
        <w:t xml:space="preserve"> Quý tài chính sắp kết thúc, và lợi nhuận đang sa sút. Một công ty có thể làm gì? Sao không đơn giản là bắt đầu vận chuyển hàng hóa và ghi nhận doanh thu, từ đó đẩy doanh số và lợi nhuận lên? Hàng hóa được gấp rút đưa ra khỏi kho đến khách hàng vào cuối năm (thậm chí trước khi việc bán hàng diễn ra), và doanh thu bán hàng được ghi nhận. Vì theo phương pháp này, doanh thu được ghi nhận khi một mặt hàng được vận chuyển đến nhà bán lẻ hoặc nhà bán buôn, một số nhà sản xuất có thể bị cám dỗ tiếp tục vận chuyển sản phẩm trong những giai đoạn ế ẩm—kể cả khi kệ hàng của nhà bán lẻ đã quá đầy. Các nhà sản xuất ô tô đã làm điều này trong nhiều năm, qua đó thổi phồng doanh số của họ một cách giả tạo. Bằng cách vận chuyển sản phẩm vào cuối một quý, thay vì trong quý tiếp theo khi khách hàng mong đợi nhận được nó, người bán có thể ghi nhận doanh thu quá sớm một cách không chính đáng. Sự gia tăng DSO thường có thể là dấu hiệu cho thấy nhiều sản phẩm đã được vận chuyển vào cuối quý hơn mức bình thường.</w:t>
      </w:r>
    </w:p>
    <w:p>
      <w:pPr>
        <w:spacing w:after="80"/>
      </w:pPr>
      <w:r>
        <w:rPr>
          <w:b w:val="0"/>
          <w:i w:val="0"/>
        </w:rPr>
        <w:t>Ngay cả khi một công ty vận chuyển sản phẩm đến đúng khách hàng thực sự và khách hàng đã nhận được chúng, công ty vẫn có thể không được phép ghi nhận doanh thu. Trở ngại cuối cùng liên quan đến các điều khoản trong nhiều hợp đồng cho khách hàng quyền trả lại sản phẩm trong một khoảng thời gian nhất định.</w:t>
      </w:r>
    </w:p>
    <w:p>
      <w:pPr>
        <w:spacing w:after="80"/>
      </w:pPr>
      <w:r>
        <w:rPr>
          <w:b/>
          <w:i/>
        </w:rPr>
        <w:t>Hãy lưu ý người bán ghi nhận doanh thu trước khi quyền trả lại hết hiệu lực</w:t>
      </w:r>
      <w:r>
        <w:rPr>
          <w:b w:val="0"/>
          <w:i w:val="0"/>
        </w:rPr>
        <w:t xml:space="preserve"> Nhiều doanh nghiệp cho phép người mua "quyền trả lại" nếu khách hàng không hài lòng với hàng hóa. Trong những trường hợp đó, các công ty được yêu cầu hoặc trì hoãn việc ghi nhận doanh thu cho đến khi quyền trả lại hết hiệu lực, hoặc ước tính số hàng dự kiến sẽ bị trả lại và giảm doanh thu đi khoản đó. Nếu mức hàng thực tế bị trả lại nhiều hơn ước tính ban đầu của công ty, công ty có thể phạm lỗi vì đã ghi nhận quá nhiều doanh thu ngay từ đầu.</w:t>
      </w:r>
    </w:p>
    <w:p>
      <w:pPr>
        <w:pStyle w:val="Heading4"/>
      </w:pPr>
      <w:r>
        <w:rPr>
          <w:rFonts w:ascii="Calibri" w:hAnsi="Calibri"/>
          <w:b/>
          <w:i w:val="0"/>
          <w:sz w:val="23"/>
        </w:rPr>
        <w:t>4. Ghi nhận doanh thu khi việc thanh toán của người mua còn bấp bênh hoặc không cần thiết</w:t>
      </w:r>
    </w:p>
    <w:p>
      <w:pPr>
        <w:spacing w:after="80"/>
      </w:pPr>
      <w:r>
        <w:rPr>
          <w:b w:val="0"/>
          <w:i w:val="0"/>
        </w:rPr>
        <w:t>Tiếp tục tập trung vào người mua, chúng ta chuyển sự chú ý sang yêu cầu ghi nhận doanh thu liên quan đến việc thanh toán của khách hàng. Người bán có thể đang đẩy nhanh việc ghi nhận doanh thu nếu họ ghi nhận doanh số khi người mua không có khả năng thanh toán (việc thanh toán còn bấp bênh) hoặc khi người bán tích cực dụ dỗ bán hàng bằng cách không yêu cầu khách hàng thanh toán cho đến rất lâu sau khi bán (việc thanh toán không cần thiết).</w:t>
      </w:r>
    </w:p>
    <w:p>
      <w:pPr>
        <w:pStyle w:val="Heading5"/>
      </w:pPr>
      <w:r>
        <w:rPr>
          <w:rFonts w:ascii="Calibri" w:hAnsi="Calibri"/>
          <w:b/>
          <w:i/>
          <w:sz w:val="22"/>
        </w:rPr>
        <w:t>Người mua thiếu khả năng hoặc sự chấp thuận cần thiết để thanh toán</w:t>
      </w:r>
    </w:p>
    <w:p>
      <w:pPr>
        <w:spacing w:after="80"/>
      </w:pPr>
      <w:r>
        <w:rPr>
          <w:b w:val="0"/>
          <w:i w:val="0"/>
        </w:rPr>
        <w:t>Ở các phần trước, chúng ta đã bàn về yêu cầu người bán phải hoàn tất nghĩa vụ của mình và yêu cầu người mua phải đưa ra chấp thuận cuối cùng. Tại Kendall Square Research Corporation, một hãng sản xuất hệ thống máy tính ở Cambridge, Massachusetts, tất cả những điều đó đều đã diễn ra—sản phẩm được giao đi, và khách hàng chấp nhận nó. Câu hỏi cuối cùng là liệu khách hàng có đủ khả năng và ý định thanh toán hay không. Nhiều khách hàng của Kendall Square—chủ yếu là các trường đại học và viện nghiên cứu—cần một bên thứ ba cung cấp tiền. Thực tế, thương vụ này phụ thuộc vào việc nhận được nguồn tài trợ bên ngoài, và do đó lẽ ra không nên ghi nhận doanh thu cho đến khi nguồn tài trợ đó được đảm bảo. Kendall Square hẳn phải biết rõ những điều kiện ràng buộc đó, vì sau này người ta phát hiện ra rằng công ty đã cung cấp cho khách hàng các thỏa thuận "thư phụ lục" (side letter) mà về cơ bản là vô hiệu hóa các thương vụ bán hàng nếu khách hàng không nhận được tài trợ.</w:t>
      </w:r>
    </w:p>
    <w:p>
      <w:pPr>
        <w:spacing w:after="80"/>
      </w:pPr>
      <w:r>
        <w:rPr>
          <w:b w:val="0"/>
          <w:i w:val="0"/>
        </w:rPr>
        <w:t>Một vụ kiện của cổ đông cáo buộc rằng gần một nửa doanh thu được báo cáo của Kendall Square trong quý đầu năm 1993 đã bị ghi nhận không đúng cách. Phần lớn doanh thu này đến từ các lô hàng gửi cho University of Colorado và Applied Computer Systems Institute of Massachusetts trước khi những khách hàng này nhận được đủ tài trợ. Cuối cùng công ty phải điều chỉnh lại báo cáo tài chính cho năm tài chính 1992 và nửa đầu năm 1993, đảo ngược khoảng một nửa doanh thu đã báo cáo trước đó.</w:t>
      </w:r>
    </w:p>
    <w:p>
      <w:pPr>
        <w:spacing w:after="80"/>
      </w:pPr>
      <w:r>
        <w:rPr>
          <w:b/>
          <w:i/>
        </w:rPr>
        <w:t>Hãy để ý những công ty thay đổi đánh giá về khả năng thanh toán của khách hàng</w:t>
      </w:r>
      <w:r>
        <w:rPr>
          <w:b w:val="0"/>
          <w:i w:val="0"/>
        </w:rPr>
        <w:t xml:space="preserve"> Đánh giá của ban điều hành về khả năng thanh toán của khách hàng chính là yếu tố quyết định các ước tính dùng để hạch toán các khoản phải thu khó đòi. Những thay đổi trong các đánh giá này có thể mang lại cho công ty một cú hích doanh thu không thường xuyên. Hãy xem xét thay đổi chính sách ghi nhận doanh thu của công ty phần mềm Openwave Systems vào tháng 12 năm 2005.</w:t>
      </w:r>
    </w:p>
    <w:p>
      <w:pPr>
        <w:spacing w:after="80"/>
      </w:pPr>
      <w:r>
        <w:rPr>
          <w:b w:val="0"/>
          <w:i w:val="0"/>
        </w:rPr>
        <w:t>Ban đầu Openwave chờ đến khi nhận được tiền mặt mới ghi nhận bất kỳ doanh thu nào từ những khách hàng "quỵt nợ" mà công ty lo ngại có thể không trả tiền. Theo chính sách mới, Openwave có thể ghi nhận doanh thu ngay lập tức, chỉ đơn giản bằng cách kết luận rằng khách hàng đó không còn là kẻ quỵt nợ nữa.</w:t>
      </w:r>
    </w:p>
    <w:p>
      <w:pPr>
        <w:spacing w:after="80"/>
      </w:pPr>
      <w:r>
        <w:rPr>
          <w:b w:val="0"/>
          <w:i w:val="0"/>
        </w:rPr>
        <w:t>Những nhà đầu tư tinh ý nhận ra sự thay đổi tinh tế này của ban điều hành hẳn sẽ nhận thấy rằng hoạt động kinh doanh của Openwave thực ra đang tăng trưởng chậm hơn so với báo cáo. Việc Openwave thay đổi chính sách thực sự phản ánh sự tuyệt vọng của công ty. Tăng trưởng doanh thu chậm lại đáng kể trong những năm sau đó, và giá cổ phiếu của Openwave, vốn phần lớn thời gian trong quý tháng 3 năm 2006 ở mức trên $20, đã lao dốc xuống $6 vào tháng 7. Những nhà đầu tư cần mẫn xem xét báo cáo 10-Q tháng 12 năm 2015 của công ty hẳn sẽ dễ dàng phát hiện sự thay đổi này trong phần chú thích về ghi nhận doanh thu, như trình bày dưới đây. Tuy nhiên, những nhà đầu tư chỉ dựa vào Báo cáo Thu nhập hàng quý và cuộc gọi hội nghị của công ty có thể đã bỏ lỡ cơ hội, vì những công bố đó không hề đề cập đến sự thay đổi trong hạch toán kế toán.</w:t>
      </w:r>
    </w:p>
    <w:p>
      <w:pPr>
        <w:spacing w:after="80"/>
      </w:pPr>
      <w:r>
        <w:rPr>
          <w:b w:val="0"/>
          <w:i w:val="0"/>
        </w:rPr>
        <w:t>CÔNG BỐ THAY ĐỔI GHI NHẬN DOANH THU CỦA OPENWAVE SYSTEMS, 10-Q THÁNG 12/05</w:t>
      </w:r>
    </w:p>
    <w:p>
      <w:pPr>
        <w:spacing w:after="80"/>
      </w:pPr>
      <w:r>
        <w:rPr>
          <w:b w:val="0"/>
          <w:i w:val="0"/>
        </w:rPr>
        <w:t xml:space="preserve">Tính đến quý kết thúc ngày 31 tháng 12 năm 2005, Công ty </w:t>
      </w:r>
      <w:r>
        <w:rPr>
          <w:b w:val="0"/>
          <w:i/>
        </w:rPr>
        <w:t>đã sửa đổi chính sách liên quan đến yếu tố quyết định việc hoãn ghi nhận doanh thu</w:t>
      </w:r>
      <w:r>
        <w:rPr>
          <w:b w:val="0"/>
          <w:i w:val="0"/>
        </w:rPr>
        <w:t xml:space="preserve"> đối với các thỏa thuận được coi là không có khả năng thu hồi. Trước quý kết thúc ngày 31 tháng 12 năm 2005, </w:t>
      </w:r>
      <w:r>
        <w:rPr>
          <w:b w:val="0"/>
          <w:i/>
        </w:rPr>
        <w:t>Công ty tiếp tục hoãn ghi nhận doanh thu đối với các thỏa thuận ban đầu được coi là không có khả năng thu hồi cho đến khi nhận được tiền mặt từ thỏa thuận đó. Tính đến quý kết thúc ngày 31 tháng 12 năm 2005, Công ty đã sửa đổi chính sách của mình sao cho doanh thu từ các thỏa thuận trước đây được coi là không có khả năng thu hồi, mà sau đó được coi là có khả năng thu hồi, được ghi nhận trong kỳ có sự thay đổi trong đánh giá về khả năng thu hồi</w:t>
      </w:r>
      <w:r>
        <w:rPr>
          <w:b w:val="0"/>
          <w:i w:val="0"/>
        </w:rPr>
        <w:t>, thay vì khi nhận được tiền mặt, với điều kiện tất cả các tiêu chí ghi nhận doanh thu khác đã được thỏa mãn. Sự thay đổi chính sách này không có tác động trọng yếu đối với quý kết thúc ngày 31 tháng 12 năm 2005. [Phần in nghiêng được thêm vào để nhấn mạnh]</w:t>
      </w:r>
    </w:p>
    <w:p>
      <w:pPr>
        <w:pStyle w:val="Heading5"/>
      </w:pPr>
      <w:r>
        <w:rPr>
          <w:rFonts w:ascii="Calibri" w:hAnsi="Calibri"/>
          <w:b/>
          <w:i/>
          <w:sz w:val="22"/>
        </w:rPr>
        <w:t>Người bán dụ dỗ mua hàng bằng cách cho phép thời hạn thanh toán dài bất thường</w:t>
      </w:r>
    </w:p>
    <w:p>
      <w:pPr>
        <w:spacing w:after="80"/>
      </w:pPr>
      <w:r>
        <w:rPr>
          <w:b w:val="0"/>
          <w:i w:val="0"/>
        </w:rPr>
        <w:t>Thay vì dùng một tổ chức bên thứ ba để tài trợ, một số khách hàng thiếu tiền mặt lại dùng chính nguồn tài trợ do người bán cung cấp. Nhà đầu tư nên thận trọng với các thỏa thuận tài trợ do người bán cung cấp (bao gồm cả những điều khoản thanh toán kéo dài rất hào phóng), vì chúng có thể cho thấy doanh thu đang được đẩy nhanh vào kỳ hiện tại, sự quan tâm hờ hững của khách hàng đối với sản phẩm, hoặc khả năng thanh toán của người mua đang thiếu hụt.</w:t>
      </w:r>
    </w:p>
    <w:p>
      <w:pPr>
        <w:spacing w:after="80"/>
      </w:pPr>
      <w:r>
        <w:rPr>
          <w:b/>
          <w:i/>
        </w:rPr>
        <w:t>Hãy để ý đến nguồn tài trợ do người bán cung cấp</w:t>
      </w:r>
      <w:r>
        <w:rPr>
          <w:b w:val="0"/>
          <w:i w:val="0"/>
        </w:rPr>
        <w:t xml:space="preserve"> Để đẩy nhanh doanh thu trong những năm gần đây, một số công ty công nghệ cao đã cho khách hàng vay tiền để họ có thể trả tiền mua sản phẩm. Ở mức độ vừa phải, tài trợ cho khách hàng có thể được coi là một kỹ thuật bán hàng hợp lý; tuy nhiên, khi bị lạm dụng, nó có thể là một cách làm ăn nguy hiểm. Khi bong bóng dot-com vỡ, lượng tài trợ mà các nhà cung cấp thiết bị viễn thông cung cấp cho khách hàng lẽ ra phải khiến nhà đầu tư lo lắng. Vào cuối năm 2000, các nhà cung cấp này nói chung đang bị khách hàng nợ tới 15 tỷ đô la, tăng 25 phần trăm chỉ trong một năm.</w:t>
      </w:r>
    </w:p>
    <w:p>
      <w:pPr>
        <w:spacing w:after="80"/>
      </w:pPr>
      <w:r>
        <w:rPr>
          <w:b/>
          <w:i/>
        </w:rPr>
        <w:t>Hãy để ý những công ty đưa ra điều khoản thanh toán kéo dài hoặc linh hoạt</w:t>
      </w:r>
      <w:r>
        <w:rPr>
          <w:b w:val="0"/>
          <w:i w:val="0"/>
        </w:rPr>
        <w:t xml:space="preserve"> Đôi khi các công ty đưa ra những điều khoản thanh toán hấp dẫn để dụ khách hàng mua thêm sản phẩm sớm hơn bình thường. Việc đưa ra điều khoản thanh toán thuận lợi cho khách hàng có thể là một thực tiễn kinh doanh hoàn toàn phù hợp, nhưng nó cũng có thể làm tăng thêm mức độ bất định đối với khả năng thu hồi các khoản phải thu cuối cùng. Hơn nữa, ngay cả khi gia hạn điều khoản cho những khách hàng có uy tín tín dụng, những điều khoản quá hào phóng có thể thực sự chuyển doanh số lẽ ra thuộc về các kỳ tương lai vào kỳ hiện tại. Sự dịch chuyển này có thể tạo ra mức tăng trưởng doanh thu ngắn hạn cao không bền vững và gây áp lực phải lấp đầy khoảng trống được tạo ra ở kỳ sau đó.</w:t>
      </w:r>
    </w:p>
    <w:p>
      <w:pPr>
        <w:spacing w:after="80"/>
      </w:pPr>
      <w:r>
        <w:rPr>
          <w:b/>
          <w:i/>
        </w:rPr>
        <w:t>Hãy gióng lên hồi chuông cảnh báo khi các điều khoản thanh toán kéo dài mới được công bố và DSO tăng vọt</w:t>
      </w:r>
      <w:r>
        <w:rPr>
          <w:b w:val="0"/>
          <w:i w:val="0"/>
        </w:rPr>
        <w:t xml:space="preserve"> Nhà đầu tư nên đặc biệt lo ngại về việc ghi nhận doanh thu được đẩy nhanh (hoặc thậm chí không đúng đắn) khi một công ty bắt đầu gia hạn những điều khoản thanh toán rất hào phóng và DSO tăng vọt, như trình bày trong Bảng 3-3. Ví dụ, nhà cung cấp vật liệu làm sàn Trex Company đã cung cấp điều khoản thanh toán kéo dài cho khách hàng theo cái mà công ty gọi là "chương trình mua sớm" vào cuối năm 2004 và đầu năm 2005. Khi nhu cầu giảm xuống, có vẻ như Trex đã dụ khách hàng chấp nhận sản phẩm sớm hơn bình thường (mà không phải trả tiền cho chúng). Thỏa thuận này có tác động tối thiểu đến tổng lượng mua hàng của người mua nhưng lại cho phép Trex ghi nhận doanh thu vào kỳ sớm hơn. Những nhà phân tích tinh tường hẳn sẽ suy đoán rằng điều khoản thanh toán kéo dài là cần thiết để tránh báo cáo mức tăng trưởng doanh số đáng thất vọng. Vài tháng sau, Trex thông báo rằng doanh thu tháng 6 năm 2005 của công ty sẽ thấp hơn nhiều so với kỳ vọng của Phố Wall. Sự gia tăng mạnh mẽ các khoản phải thu của Trex, cùng với việc công ty công bố điều khoản thanh toán kéo dài và chương trình mua sớm, lẽ ra phải cảnh báo nhà đầu tư về sự chậm lại sắp tới trong tăng trưởng doanh số.</w:t>
      </w:r>
    </w:p>
    <w:p>
      <w:pPr>
        <w:spacing w:after="80"/>
      </w:pPr>
      <w:r>
        <w:rPr>
          <w:b/>
          <w:i w:val="0"/>
        </w:rPr>
        <w:t>Bảng 3-3</w:t>
      </w:r>
      <w:r>
        <w:rPr>
          <w:b w:val="0"/>
          <w:i w:val="0"/>
        </w:rPr>
        <w:t xml:space="preserve"> Điều khoản thanh toán kéo dài của Trex khiến các khoản phải thu tăng vọt</w:t>
      </w:r>
    </w:p>
    <w:p>
      <w:pPr>
        <w:jc w:val="center"/>
      </w:pPr>
      <w:r>
        <w:drawing>
          <wp:inline xmlns:a="http://schemas.openxmlformats.org/drawingml/2006/main" xmlns:pic="http://schemas.openxmlformats.org/drawingml/2006/picture">
            <wp:extent cx="5486400" cy="1364638"/>
            <wp:docPr id="7" name="Picture 7"/>
            <wp:cNvGraphicFramePr>
              <a:graphicFrameLocks noChangeAspect="1"/>
            </wp:cNvGraphicFramePr>
            <a:graphic>
              <a:graphicData uri="http://schemas.openxmlformats.org/drawingml/2006/picture">
                <pic:pic>
                  <pic:nvPicPr>
                    <pic:cNvPr id="0" name="00022.jpeg"/>
                    <pic:cNvPicPr/>
                  </pic:nvPicPr>
                  <pic:blipFill>
                    <a:blip r:embed="rId15"/>
                    <a:stretch>
                      <a:fillRect/>
                    </a:stretch>
                  </pic:blipFill>
                  <pic:spPr>
                    <a:xfrm>
                      <a:off x="0" y="0"/>
                      <a:ext cx="5486400" cy="1364638"/>
                    </a:xfrm>
                    <a:prstGeom prst="rect"/>
                  </pic:spPr>
                </pic:pic>
              </a:graphicData>
            </a:graphic>
          </wp:inline>
        </w:drawing>
      </w:r>
    </w:p>
    <w:p>
      <w:pPr>
        <w:spacing w:after="80"/>
      </w:pPr>
      <w:r>
        <w:rPr>
          <w:b w:val="0"/>
          <w:i w:val="0"/>
        </w:rPr>
        <w:t>Gần đây hơn, các nhà đầu tư vào Fitbit có trụ sở tại San Francisco đã bị sốc trong cuộc gọi hội nghị tháng 11 năm 2016 của công ty khi ban điều hành đột ngột hạ dự báo tăng trưởng doanh số tương lai xuống mức kinh ngạc là 15 phần trăm. Để có chút so sánh, trong Q4 2015 doanh số tăng 92 phần trăm, và giờ đây ước tính tăng trưởng doanh số trong Q4 2016 sẽ chỉ còn 2 đến 5 phần trăm. Ôi trời!</w:t>
      </w:r>
    </w:p>
    <w:p>
      <w:pPr>
        <w:spacing w:after="80"/>
      </w:pPr>
      <w:r>
        <w:rPr>
          <w:b w:val="0"/>
          <w:i w:val="0"/>
        </w:rPr>
        <w:t xml:space="preserve">Thông báo đó của ban điều hành đánh dấu sự kết thúc của một giai đoạn tăng trưởng siêu nhanh được thúc đẩy bởi các sản phẩm theo dõi thể dục mới và việc mở rộng địa lý. Nhưng phải chăng không có cảnh báo nào cho nhà đầu tư rằng hoạt động kinh doanh thực sự đang bắt đầu gặp khó khăn? Thật vậy, những dấu hiệu của một hoạt động kinh doanh đang suy yếu (bị che giấu bởi những trò gian dối) có thể được tìm thấy trong cuộc gọi hội nghị công bố thu nhập quý hai. Trong phần phát biểu của mình, CFO có nhắc thoáng qua rằng Fitbit vừa mới </w:t>
      </w:r>
      <w:r>
        <w:rPr>
          <w:b w:val="0"/>
          <w:i/>
        </w:rPr>
        <w:t>gia hạn điều khoản thanh toán</w:t>
      </w:r>
      <w:r>
        <w:rPr>
          <w:b w:val="0"/>
          <w:i w:val="0"/>
        </w:rPr>
        <w:t xml:space="preserve"> cho "một số khách hàng ở châu Á - Thái Bình Dương, do mức tồn kho kênh phân phối đã được thảo luận trước đó." Chỉ trong một câu khó hiểu đó, ban điều hành đã báo hiệu những thách thức kinh doanh nghiêm trọng ở châu Á, vốn đã bị che đậy bằng cách cho các nhà phân phối ở đó thêm thời gian để trả tiền. Như thường thấy khi các vấn đề kinh doanh bị ban điều hành che giấu, những mánh khóe lừa dối thường chỉ có tác dụng trong một thời gian ngắn; và đúng như vậy, đến tháng 12 năm 2016, những nhà đầu tư không ngờ tới đã bị choáng váng khi cổ phiếu Fitbit sụp đổ 50 phần trăm.</w:t>
      </w:r>
    </w:p>
    <w:p>
      <w:pPr>
        <w:pStyle w:val="Heading3"/>
      </w:pPr>
      <w:r>
        <w:rPr>
          <w:rFonts w:ascii="Calibri" w:hAnsi="Calibri"/>
          <w:b/>
          <w:i w:val="0"/>
          <w:sz w:val="26"/>
        </w:rPr>
        <w:t>Nhìn về phía trước</w:t>
      </w:r>
    </w:p>
    <w:p>
      <w:pPr>
        <w:spacing w:after="80"/>
      </w:pPr>
      <w:r>
        <w:rPr>
          <w:b w:val="0"/>
          <w:i w:val="0"/>
        </w:rPr>
        <w:t>Chương này đã bàn về những thủ thuật kế toán liên quan chủ yếu đến các nguồn doanh thu hợp pháp. Chương 4 mô tả một hành vi sai trái còn đáng sợ hơn: ghi nhận doanh thu giả mạo hoặc hư cấu.</w:t>
      </w:r>
    </w:p>
    <w:p>
      <w:pPr>
        <w:pStyle w:val="Heading2"/>
      </w:pPr>
      <w:r>
        <w:rPr>
          <w:rFonts w:ascii="Calibri" w:hAnsi="Calibri"/>
          <w:b/>
          <w:i w:val="0"/>
          <w:sz w:val="32"/>
        </w:rPr>
        <w:t>4</w:t>
      </w:r>
    </w:p>
    <w:p>
      <w:pPr>
        <w:pStyle w:val="Heading2"/>
      </w:pPr>
      <w:r>
        <w:rPr>
          <w:rFonts w:ascii="Calibri" w:hAnsi="Calibri"/>
          <w:b/>
          <w:i w:val="0"/>
          <w:sz w:val="32"/>
        </w:rPr>
        <w:t>Thủ thuật thao túng lợi nhuận số 2: Ghi nhận doanh thu giả mạo</w:t>
      </w:r>
    </w:p>
    <w:p>
      <w:pPr>
        <w:spacing w:after="80"/>
      </w:pPr>
      <w:r>
        <w:rPr>
          <w:b w:val="0"/>
          <w:i w:val="0"/>
        </w:rPr>
        <w:t>Chương trước đã thảo luận về những tình huống mà các công ty ghi nhận doanh thu quá sớm. Dù điều này rõ ràng là không thích hợp, việc đẩy nhanh doanh thu hợp pháp vẫn ít táo bạo hơn so với việc đơn thuần bịa ra doanh thu từ hư không. Chương này mô tả bốn kỹ thuật mà một công ty có thể sử dụng để tạo ra doanh thu giả mạo cùng những dấu hiệu cảnh báo để nhà đầu tư nhận diện những thủ đoạn đen tối này.</w:t>
      </w:r>
    </w:p>
    <w:p>
      <w:pPr>
        <w:pStyle w:val="Heading3"/>
      </w:pPr>
      <w:r>
        <w:rPr>
          <w:rFonts w:ascii="Calibri" w:hAnsi="Calibri"/>
          <w:b/>
          <w:i w:val="0"/>
          <w:sz w:val="26"/>
        </w:rPr>
        <w:t>Các kỹ thuật ghi nhận doanh thu giả mạo</w:t>
      </w:r>
    </w:p>
    <w:p>
      <w:pPr>
        <w:spacing w:after="80"/>
      </w:pPr>
      <w:r>
        <w:rPr>
          <w:b w:val="0"/>
          <w:i w:val="0"/>
        </w:rPr>
        <w:t>1. Ghi nhận doanh thu từ các giao dịch thiếu bản chất kinh tế</w:t>
      </w:r>
    </w:p>
    <w:p>
      <w:pPr>
        <w:spacing w:after="80"/>
      </w:pPr>
      <w:r>
        <w:rPr>
          <w:b w:val="0"/>
          <w:i w:val="0"/>
        </w:rPr>
        <w:t>2. Ghi nhận doanh thu từ các giao dịch thiếu quy trình thương lượng hợp lý giữa các bên độc lập</w:t>
      </w:r>
    </w:p>
    <w:p>
      <w:pPr>
        <w:spacing w:after="80"/>
      </w:pPr>
      <w:r>
        <w:rPr>
          <w:b w:val="0"/>
          <w:i w:val="0"/>
        </w:rPr>
        <w:t>3. Ghi nhận doanh thu trên các khoản thu từ những giao dịch không tạo ra doanh thu</w:t>
      </w:r>
    </w:p>
    <w:p>
      <w:pPr>
        <w:spacing w:after="80"/>
      </w:pPr>
      <w:r>
        <w:rPr>
          <w:b w:val="0"/>
          <w:i w:val="0"/>
        </w:rPr>
        <w:t>4. Ghi nhận doanh thu từ các giao dịch phù hợp, nhưng với số tiền bị thổi phồng</w:t>
      </w:r>
    </w:p>
    <w:p>
      <w:pPr>
        <w:pStyle w:val="Heading4"/>
      </w:pPr>
      <w:r>
        <w:rPr>
          <w:rFonts w:ascii="Calibri" w:hAnsi="Calibri"/>
          <w:b/>
          <w:i w:val="0"/>
          <w:sz w:val="23"/>
        </w:rPr>
        <w:t>1. Ghi nhận doanh thu từ các giao dịch thiếu bản chất kinh tế</w:t>
      </w:r>
    </w:p>
    <w:p>
      <w:pPr>
        <w:spacing w:after="80"/>
      </w:pPr>
      <w:r>
        <w:rPr>
          <w:b w:val="0"/>
          <w:i w:val="0"/>
        </w:rPr>
        <w:t>Kỹ thuật đầu tiên của chúng ta chỉ đơn giản là bịa ra một kế hoạch trông có “dáng vẻ và cảm giác” của một thương vụ hợp pháp, nhưng lại thiếu bản chất kinh tế. Trong những giao dịch này, cái gọi là khách hàng hoặc không có nghĩa vụ phải giữ hay trả tiền cho sản phẩm, hoặc thậm chí chẳng có sản phẩm hay dịch vụ nào được chuyển giao ngay từ đầu.</w:t>
      </w:r>
    </w:p>
    <w:p>
      <w:pPr>
        <w:spacing w:after="80"/>
      </w:pPr>
      <w:r>
        <w:rPr>
          <w:b w:val="0"/>
          <w:i w:val="0"/>
        </w:rPr>
        <w:t>Trong bản hit lừng danh năm 1971 của mình, John Lennon đã thách thức chúng ta hãy “tưởng tượng” về một thế giới hoàn hảo. Trí tưởng tượng chắc chắn đã giúp thế giới trở thành một nơi tốt đẹp hơn, khi sự sáng tạo của con người đã phá vỡ mọi giới hạn và dẫn đến vô số đổi mới. Chẳng hạn, trí tưởng tượng đã truyền cảm hứng cho những nhà khoa học tài năng chẩn đoán những điều chưa biết và tìm ra phương thuốc chữa bệnh. Tương tự, những người tiên phong trong lĩnh vực công nghệ (như Bill Gates và Steve Jobs) đã tưởng tượng ra những cách thức thú vị để tạo ra sản phẩm mới, chẳng hạn Windows của Microsoft và iPhone của Apple, giúp nâng cao niềm vui sống của chúng ta.</w:t>
      </w:r>
    </w:p>
    <w:p>
      <w:pPr>
        <w:spacing w:after="80"/>
      </w:pPr>
      <w:r>
        <w:rPr>
          <w:b w:val="0"/>
          <w:i w:val="0"/>
        </w:rPr>
        <w:t>Tuy nhiên, đôi khi trí tưởng tượng có thể vượt khỏi tầm kiểm soát. Nhiều giám đốc điều hành doanh nghiệp đã làm cho trí tưởng tượng mang tiếng xấu khi họ dùng nó để quá sáng tạo với doanh thu được báo cáo. Chẳng hạn, gã khổng lồ trong ngành bảo hiểm AIG đã tưởng tượng ra một thế giới hoàn hảo cho khách hàng của mình (và cho chính mình), trong đó họ sẽ luôn đạt được kỳ vọng lợi nhuận của Phố Wall. Hẳn AIG đã nghĩ: hãy tưởng tượng khách hàng sẽ hạnh phúc biết bao nếu họ không bao giờ phải trải qua nỗi nhục nhã (và sự sụt giảm giá cổ phiếu) đi kèm với việc hụt lợi nhuận.</w:t>
      </w:r>
    </w:p>
    <w:p>
      <w:pPr>
        <w:spacing w:after="80"/>
      </w:pPr>
      <w:r>
        <w:rPr>
          <w:b w:val="0"/>
          <w:i w:val="0"/>
        </w:rPr>
        <w:t>AIG và một số hãng bảo hiểm khác bắt đầu tiếp thị một sản phẩm mới gọi là “bảo hiểm hữu hạn” (finite insurance). Giải pháp này sẽ đảm bảo cho khách hàng khả năng luôn tạo ra mức lợi nhuận được Phố Wall chấp nhận bằng cách “bảo hiểm chống lại” những khoản hụt lợi nhuận. Theo một nghĩa nào đó, sản phẩm này là một loại thuốc gây nghiện cho phép các công ty che đậy những vết nhơ hàng quý bằng cách làm phẳng lợi nhuận một cách nhân tạo.</w:t>
      </w:r>
    </w:p>
    <w:p>
      <w:pPr>
        <w:spacing w:after="80"/>
      </w:pPr>
      <w:r>
        <w:rPr>
          <w:b w:val="0"/>
          <w:i w:val="0"/>
        </w:rPr>
        <w:t>Và không có gì ngạc nhiên, khách hàng đã bị cuốn hút. Ai nấy đều vui vẻ. AIG tìm được một dòng doanh thu mới, còn khách hàng tìm được cách ngăn chặn tình trạng hụt lợi nhuận. Tuy nhiên, có một vấn đề lớn: một số hợp đồng “bảo hiểm” này hoàn toàn không phải là những thỏa thuận bảo hiểm hợp pháp; thay vào đó, chúng là những giao dịch tài chính phức tạp và được cấu trúc hóa cao độ.</w:t>
      </w:r>
    </w:p>
    <w:p>
      <w:pPr>
        <w:pStyle w:val="Heading5"/>
      </w:pPr>
      <w:r>
        <w:rPr>
          <w:rFonts w:ascii="Calibri" w:hAnsi="Calibri"/>
          <w:b/>
          <w:i/>
          <w:sz w:val="22"/>
        </w:rPr>
        <w:t>Bảo hiểm hữu hạn đã bị lạm dụng như thế nào?</w:t>
      </w:r>
    </w:p>
    <w:p>
      <w:pPr>
        <w:spacing w:after="80"/>
      </w:pPr>
      <w:r>
        <w:rPr>
          <w:b w:val="0"/>
          <w:i w:val="0"/>
        </w:rPr>
        <w:t>Hãy cùng nhìn vào Brightpoint Inc., một công ty viễn thông có trụ sở tại Indiana, để xem một số giao dịch bảo hiểm hữu hạn (finite insurance) đã mang tính chất kinh tế giống như các thỏa thuận tài trợ (financing arrangements) như thế nào. Đó là vào cuối năm 1998, thị trường tăng giá đang chạy đua, nhưng Brightpoint gặp một vấn đề: lợi nhuận của quý tháng 12 đang thấp hơn khoảng 15 triệu đô la so với dự báo đưa ra cho Phố Wall vào đầu quý. Khi quý sắp kết thúc, ban lãnh đạo lo sợ rằng nhà đầu tư sẽ không kịp chuẩn bị cho tin này và do đó, giá cổ phiếu của công ty sẽ bị đập tan.</w:t>
      </w:r>
    </w:p>
    <w:p>
      <w:pPr>
        <w:spacing w:after="80"/>
      </w:pPr>
      <w:r>
        <w:rPr>
          <w:b w:val="0"/>
          <w:i w:val="0"/>
        </w:rPr>
        <w:t>Và rồi AIG xuất hiện cùng các sản phẩm “thế giới hoàn hảo” của mình. AIG đã tạo ra một hợp đồng bảo hiểm “hồi tố” (retroactive) đặc biệt trị giá 15 triệu đô la để “bù đắp” cho các khoản lỗ chưa được báo cáo của Brightpoint. Đây là cách hợp đồng này hoạt động: Brightpoint đồng ý trả “phí bảo hiểm” cho AIG trong ba năm tiếp theo, và AIG đồng ý chi trả một khoản “bồi thường bảo hiểm” trị giá 15 triệu đô la để bù đắp mọi khoản lỗ theo hợp đồng. Nghe có vẻ giống như một hợp đồng bảo hiểm bình thường, ngoại trừ một vấn đề lớn: không có sự chuyển giao rủi ro (transfer of risk), vì hợp đồng bảo hiểm này bù đắp cho những khoản lỗ đã xảy ra rồi. Bạn không thể mua bảo hiểm cho ngôi nhà của mình sau khi nó đã cháy rụi!</w:t>
      </w:r>
    </w:p>
    <w:p>
      <w:pPr>
        <w:spacing w:after="80"/>
      </w:pPr>
      <w:r>
        <w:rPr>
          <w:b w:val="0"/>
          <w:i w:val="0"/>
        </w:rPr>
        <w:t>Brightpoint sau đó ghi nhận khoản “bồi thường bảo hiểm” 15 triệu đô la này như là thu nhập trong quý tháng 12 (khoản này bù trừ cho các khoản lỗ chưa được báo cáo của công ty). AIG ghi nhận doanh thu giả tạo từ phí bảo hiểm trong ba năm tiếp theo. Theo lẽ thường về mặt kinh tế, giao dịch này không phải là một hợp đồng bảo hiểm vì không có rủi ro thực sự nào được chuyển giao. Thật vậy, giao dịch này chẳng qua chỉ là một thỏa thuận tài trợ: Brightpoint gửi tiền mặt tại AIG, và AIG cuối cùng hoàn trả lại dưới dạng được cho là “các khoản thanh toán bồi thường bảo hiểm”.</w:t>
      </w:r>
    </w:p>
    <w:p>
      <w:pPr>
        <w:spacing w:after="80"/>
      </w:pPr>
      <w:r>
        <w:rPr>
          <w:b w:val="0"/>
          <w:i w:val="0"/>
        </w:rPr>
        <w:t>Hộp kiến thức kế toán: Hợp đồng bảo hiểm hợp pháp đòi hỏi phải có sự chuyển giao rủi ro</w:t>
      </w:r>
    </w:p>
    <w:p>
      <w:pPr>
        <w:spacing w:after="80"/>
      </w:pPr>
      <w:r>
        <w:rPr>
          <w:b w:val="0"/>
          <w:i w:val="0"/>
        </w:rPr>
        <w:t xml:space="preserve">Chỉ vì hai bên gọi một thỏa thuận là hợp đồng bảo hiểm không có nghĩa là họ có thể ghi nhận nó như vậy trong báo cáo tài chính của mình. Để được coi là một hợp đồng bảo hiểm theo mục đích kế toán, một thỏa thuận phải liên quan đến việc </w:t>
      </w:r>
      <w:r>
        <w:rPr>
          <w:b w:val="0"/>
          <w:i/>
        </w:rPr>
        <w:t>chuyển giao rủi ro</w:t>
      </w:r>
      <w:r>
        <w:rPr>
          <w:b w:val="0"/>
          <w:i w:val="0"/>
        </w:rPr>
        <w:t xml:space="preserve"> từ người được bảo hiểm sang công ty bảo hiểm. Nếu không có sự chuyển giao rủi ro này, GAAP coi thỏa thuận đó là một giao dịch tài trợ, trong đó các khoản thanh toán phí bảo hiểm được xử lý như tiền gửi ngân hàng và các khoản bồi thường được xử lý như việc hoàn trả vốn gốc.</w:t>
      </w:r>
    </w:p>
    <w:p>
      <w:pPr>
        <w:pStyle w:val="Heading5"/>
      </w:pPr>
      <w:r>
        <w:rPr>
          <w:rFonts w:ascii="Calibri" w:hAnsi="Calibri"/>
          <w:b/>
          <w:i/>
          <w:sz w:val="22"/>
        </w:rPr>
        <w:t>Các cơ quan quản lý coi kế hoạch này là một trò lừa đảo</w:t>
      </w:r>
    </w:p>
    <w:p>
      <w:pPr>
        <w:spacing w:after="80"/>
      </w:pPr>
      <w:r>
        <w:rPr>
          <w:b w:val="0"/>
          <w:i w:val="0"/>
        </w:rPr>
        <w:t>Brightpoint gặp rắc rối với SEC vì đã che giấu các vấn đề của mình một cách không thích hợp. AIG cũng nằm trong tầm ngắm của SEC vì đã cố ý cấu trúc hợp đồng bảo hiểm theo cách cho phép Brightpoint xuyên tạc các khoản lỗ thực tế của mình thành “các khoản lỗ được bảo hiểm”. Vào tháng 11 năm 2004, AIG đồng ý trả 126 triệu đô la để dàn xếp vụ kiện với Bộ Tư pháp và SEC về các cáo buộc rằng công ty đã bán các sản phẩm giúp các công ty thổi phồng lợi nhuận thông qua việc sử dụng bảo hiểm hữu hạn.</w:t>
      </w:r>
    </w:p>
    <w:p>
      <w:pPr>
        <w:pStyle w:val="Heading5"/>
      </w:pPr>
      <w:r>
        <w:rPr>
          <w:rFonts w:ascii="Calibri" w:hAnsi="Calibri"/>
          <w:b/>
          <w:i/>
          <w:sz w:val="22"/>
        </w:rPr>
        <w:t>Peregrine lừa dối nhà đầu tư bằng những giao dịch bán hàng không có thực chất kinh tế</w:t>
      </w:r>
    </w:p>
    <w:p>
      <w:pPr>
        <w:spacing w:after="80"/>
      </w:pPr>
      <w:r>
        <w:rPr>
          <w:b w:val="0"/>
          <w:i w:val="0"/>
        </w:rPr>
        <w:t>Việc tạo ra doanh thu giả tạo từ các giao dịch không có thực chất kinh tế vượt xa khỏi phạm vi các công ty bảo hiểm. Rất nhiều công ty công nghệ rõ ràng đã nắm được “bí kíp” về việc sử dụng chiêu trò này dễ dàng như thế nào. Lấy ví dụ, Peregrine Systems có trụ sở tại San Diego, đã bị bắt quả tang với một kế hoạch gian lận quy mô lớn liên quan đến việc ghi nhận doanh thu giả tạo.</w:t>
      </w:r>
    </w:p>
    <w:p>
      <w:pPr>
        <w:spacing w:after="80"/>
      </w:pPr>
      <w:r>
        <w:rPr>
          <w:b w:val="0"/>
          <w:i w:val="0"/>
        </w:rPr>
        <w:t xml:space="preserve">SEC cáo buộc rằng Peregrine đã ghi nhận một cách không thích hợp hàng triệu đô la doanh thu từ các giao dịch bán giấy phép phần mềm không ràng buộc cho các nhà bán lại. Công ty rõ ràng đã đàm phán các thỏa thuận phụ bí mật để miễn trừ nghĩa vụ thanh toán cho Peregrine của các nhà bán lại, nghĩa là doanh thu lẽ ra không nên được ghi nhận. Các nhân viên tại Peregrine có một cái tên rất hay cho kế hoạch này: “đỗ xe” (parking) giao dịch. Những giao dịch bán hàng gần về đích thường được “đỗ” lại để giúp Peregrine đạt được dự báo doanh thu của mình. Peregrine cũng thực hiện các hành vi lừa dối khác để tạo ra doanh thu giả tạo, bao gồm việc thực hiện các giao dịch có đi có lại, trong đó công ty về cơ bản là </w:t>
      </w:r>
      <w:r>
        <w:rPr>
          <w:b w:val="0"/>
          <w:i/>
        </w:rPr>
        <w:t>trả tiền cho các khách hàng của mình</w:t>
      </w:r>
      <w:r>
        <w:rPr>
          <w:b w:val="0"/>
          <w:i w:val="0"/>
        </w:rPr>
        <w:t xml:space="preserve"> để mua phần mềm của chính mình. Năm 2003, Peregrine phải điều chỉnh lại kết quả tài chính cho một số quý trước đó, giảm doanh thu đã báo cáo trước đây là 1,34 tỷ đô la xuống 509 triệu đô la, trong đó ít nhất 259 triệu đô la bị đảo ngược vì các giao dịch cơ sở không có thực chất.</w:t>
      </w:r>
    </w:p>
    <w:p>
      <w:pPr>
        <w:pStyle w:val="Heading5"/>
      </w:pPr>
      <w:r>
        <w:rPr>
          <w:rFonts w:ascii="Calibri" w:hAnsi="Calibri"/>
          <w:b/>
          <w:i/>
          <w:sz w:val="22"/>
        </w:rPr>
        <w:t>Hãy cảnh giác rằng đi kèm với doanh thu giả tạo là những khoản phải thu giả tạo</w:t>
      </w:r>
    </w:p>
    <w:p>
      <w:pPr>
        <w:spacing w:after="80"/>
      </w:pPr>
      <w:r>
        <w:rPr>
          <w:b w:val="0"/>
          <w:i w:val="0"/>
        </w:rPr>
        <w:t>Peregrine rõ ràng không nhận được tiền mặt từ khách hàng đối với các hợp đồng doanh thu giả tạo không ràng buộc này, dẫn đến các khoản phải thu giả tạo mưng mủ trên Bảng cân đối kế toán. Như chúng ta đã biết, sự gia tăng nhanh chóng của các khoản phải thu thường là dấu hiệu của sức khỏe tài chính đang xấu đi. Peregrine biết rằng các nhà phân tích sẽ tự nhiên bắt đầu đặt câu hỏi về “chất lượng lợi nhuận” nếu số dư phải thu phình to vẫn cứ cao một cách ngoan cố. Để tránh những câu hỏi này, Peregrine đã chơi một số chiêu trò khiến cho có vẻ như các khoản phải thu đã được thu hồi. Những mánh khóe này đã hạ thấp một cách không thích hợp số dư phải thu, và khi làm như vậy, đã thổi phồng một cách không chính đáng dòng tiền từ hoạt động kinh doanh (CFFO). Chúng tôi phân tích chi tiết cơ chế của trò lừa đảo này và thảo luận thêm về các Chiêu trò Dòng tiền của Peregrine trong Chương 10.</w:t>
      </w:r>
    </w:p>
    <w:p>
      <w:pPr>
        <w:pStyle w:val="Heading5"/>
      </w:pPr>
      <w:r>
        <w:rPr>
          <w:rFonts w:ascii="Calibri" w:hAnsi="Calibri"/>
          <w:b/>
          <w:i/>
          <w:sz w:val="22"/>
        </w:rPr>
        <w:t>Symbol cũng muốn tham gia vào cuộc chơi</w:t>
      </w:r>
    </w:p>
    <w:p>
      <w:pPr>
        <w:spacing w:after="80"/>
      </w:pPr>
      <w:r>
        <w:rPr>
          <w:b w:val="0"/>
          <w:i w:val="0"/>
        </w:rPr>
        <w:t>Symbol Technologies đã tìm ra một cách sáng tạo để ghi nhận doanh thu không có thực chất kinh tế. Từ cuối năm 1999 đến đầu năm 2001, Symbol đã thông đồng với một nhà phân phối ở Nam Mỹ để làm giả hơn 16 triệu đô la doanh thu. Công ty chỉ thị cho nhà phân phối nộp đơn đặt hàng cho các sản phẩm ngẫu nhiên vào cuối mỗi quý, mặc dù nhà phân phối hoàn toàn không có nhu cầu sử dụng những sản phẩm đó. Symbol chưa bao giờ vận chuyển sản phẩm cho nhà phân phối hay bất kỳ khách hàng nào của họ. Thay vào đó, để đánh lừa các kiểm toán viên tin rằng một giao dịch bán hàng đã xảy ra, Symbol gửi sản phẩm đến kho của chính mình ở New York; tuy nhiên, công ty vẫn giữ mọi “rủi ro mất mát và quyền lợi sở hữu”. Nhà phân phối, đương nhiên, không phải trả tiền cho sản phẩm được lưu kho và có thể “trả lại” hoặc “đổi” hàng hóa mà không tốn chi phí khi họ đặt các đơn hàng mới hợp pháp cho bất kỳ sản phẩm nào họ cần. Không còn nghi ngờ gì nữa, mục đích duy nhất của màn kịch này là tạo ra vẻ ngoài của một giao dịch bán hàng hợp pháp để Symbol có thể ghi nhận doanh thu.</w:t>
      </w:r>
    </w:p>
    <w:p>
      <w:pPr>
        <w:spacing w:after="80"/>
      </w:pPr>
      <w:r>
        <w:rPr>
          <w:b/>
          <w:i/>
        </w:rPr>
        <w:t>Hãy cảnh giác với các giao dịch hàng đổi hàng với các bên liên quan</w:t>
      </w:r>
      <w:r>
        <w:rPr>
          <w:b w:val="0"/>
          <w:i w:val="0"/>
        </w:rPr>
        <w:t xml:space="preserve"> Nhà đầu tư luôn nên thận trọng khi thấy doanh thu được ghi nhận mà </w:t>
      </w:r>
      <w:r>
        <w:rPr>
          <w:b w:val="0"/>
          <w:i/>
        </w:rPr>
        <w:t>không có tiền mặt được thanh toán</w:t>
      </w:r>
      <w:r>
        <w:rPr>
          <w:b w:val="0"/>
          <w:i w:val="0"/>
        </w:rPr>
        <w:t xml:space="preserve"> (tức là một giao dịch hàng đổi hàng). Và khi những giao dịch như vậy là với một khách hàng là bên liên quan, mối lo ngại của nhà đầu tư nên tăng lên mức cao nhất.</w:t>
      </w:r>
    </w:p>
    <w:p>
      <w:pPr>
        <w:spacing w:after="80"/>
      </w:pPr>
      <w:r>
        <w:rPr>
          <w:b w:val="0"/>
          <w:i w:val="0"/>
        </w:rPr>
        <w:t>Hãy xem cách comScore có trụ sở tại D.C. cố gắng che đậy sự tăng trưởng doanh thu chậm chạp năm 2014 trong mảng kinh doanh cốt lõi là bán dữ liệu lưu lượng truy cập web cho các nhà quảng cáo. Ban lãnh đạo đã ký kết các thỏa thuận với các nhà cung cấp dữ liệu khác để trao đổi một số “tài sản dữ liệu” nhất định. Vì không có tiền được trao đổi, những giao dịch này được công bố và mô tả là “phi tiền tệ” (nonmonetary) trong phần Thuyết minh Báo cáo tài chính của công ty. Các thỏa thuận trong đó hàng hóa hoặc dịch vụ được trao đổi vốn dĩ đáng ngờ, bởi vì số tiền doanh thu được ghi nhận cho việc trao đổi phụ thuộc vào ước tính giá trị của chính công ty, và số tiền đó có thể dễ dàng bị thổi phồng, hoặc thậm chí được bịa ra hoàn toàn, không phản ánh hoạt động kinh tế thực chất nào.</w:t>
      </w:r>
    </w:p>
    <w:p>
      <w:pPr>
        <w:spacing w:after="80"/>
      </w:pPr>
      <w:r>
        <w:rPr>
          <w:b w:val="0"/>
          <w:i w:val="0"/>
        </w:rPr>
        <w:t>Những thỏa thuận phi tiền tệ (hàng đổi hàng) này chiếm 16,3 triệu đô la trong tổng doanh số năm 2014 (5 phần trăm tổng doanh số), đại diện cho một phần lớn trong mức tăng trưởng được báo cáo của comScore. Những giao dịch này không chỉ đáng ngờ khi xét riêng lẻ, mà gần như toàn bộ (88 phần trăm) doanh số hàng đổi hàng này là với các bên liên quan của comScore. Đến quý thứ ba năm 2015, công ty đã ghi nhận thêm 23,7 triệu đô la doanh thu hàng đổi hàng (lúc này chiếm 9 phần trăm tổng doanh thu). Và đến cuối năm 2015, các nhà đầu tư đã đặt ra đủ câu hỏi đáng lo ngại về bản chất thực sự của những thỏa thuận này khiến ban lãnh đạo nhận thấy không thể nộp báo cáo tài chính của mình một cách đúng đắn. Và vì không nộp được, comScore cuối cùng đã bị hủy niêm yết khỏi sàn chứng khoán Nasdaq.</w:t>
      </w:r>
    </w:p>
    <w:p>
      <w:pPr>
        <w:spacing w:after="80"/>
      </w:pPr>
      <w:r>
        <w:rPr>
          <w:b w:val="0"/>
          <w:i w:val="0"/>
        </w:rPr>
        <w:t>MẸO</w:t>
      </w:r>
    </w:p>
    <w:p>
      <w:pPr>
        <w:spacing w:after="80"/>
      </w:pPr>
      <w:r>
        <w:rPr>
          <w:b w:val="0"/>
          <w:i w:val="0"/>
        </w:rPr>
        <w:t>Hãy cực kỳ thận trọng khi một công ty báo cáo doanh số hàng đổi hàng hoặc "phi tiền tệ", đặc biệt khi người mua là một bên liên quan.</w:t>
      </w:r>
    </w:p>
    <w:p>
      <w:pPr>
        <w:pStyle w:val="Heading5"/>
      </w:pPr>
      <w:r>
        <w:rPr>
          <w:rFonts w:ascii="Calibri" w:hAnsi="Calibri"/>
          <w:b/>
          <w:i/>
          <w:sz w:val="22"/>
        </w:rPr>
        <w:t>Việc không phát hiện ra các thủ thuật kế toán tại Autonomy khiến Hewlett-Packard thiệt hại hàng tỷ đô la</w:t>
      </w:r>
    </w:p>
    <w:p>
      <w:pPr>
        <w:spacing w:after="80"/>
      </w:pPr>
      <w:r>
        <w:rPr>
          <w:b w:val="0"/>
          <w:i w:val="0"/>
        </w:rPr>
        <w:t>Khi Hewlett-Packard (HP) cố gắng khởi động lại hoạt động kinh doanh đang gặp khó khăn của mình, vào tháng 10 năm 2011, họ đã đi tìm kiếm một thương vụ mua lại ở bên kia bờ đại dương và trả 11,1 tỷ đô la cho nhà sản xuất phần mềm Autonomy Corporation. Đó hóa ra lại là một sai lầm khổng lồ; một năm sau, HP phải chịu khoản giảm giá trị tài sản 8,8 tỷ đô la, thừa nhận rằng họ đã trả giá cao hơn đáng kể so với giá trị thực của Autonomy. Tệ hơn nữa, HP tuyên bố rằng phần lớn khoản lỗ khổng lồ này có liên quan đến những sai phạm kế toán nghiêm trọng.</w:t>
      </w:r>
    </w:p>
    <w:p>
      <w:pPr>
        <w:spacing w:after="80"/>
      </w:pPr>
      <w:r>
        <w:rPr>
          <w:b w:val="0"/>
          <w:i w:val="0"/>
        </w:rPr>
        <w:t>Khi tin xấu này được công bố, không chỉ giá cổ phiếu của HP lao dốc 12 phần trăm trong một ngày, mà HP còn cáo buộc rằng các giám đốc điều hành của Autonomy đã gian lận thổi phồng doanh thu để lừa dối nhà đầu tư. Tóm lại, ban lãnh đạo HP tuyên bố rằng họ đã bị Autonomy lừa gạt.</w:t>
      </w:r>
    </w:p>
    <w:p>
      <w:pPr>
        <w:spacing w:after="80"/>
      </w:pPr>
      <w:r>
        <w:rPr>
          <w:b w:val="0"/>
          <w:i w:val="0"/>
        </w:rPr>
        <w:t xml:space="preserve">SEC đã điều tra những cáo buộc này và kết luận rằng Autonomy thực sự đã sử dụng nhiều thủ đoạn khác nhau để thổi phồng doanh số một cách nghiêm trọng trong những năm trước khi thương vụ mua lại diễn ra. Trong nhiều trường hợp, những thủ thuật này cho phép Autonomy ghi nhận doanh thu từ việc bán phần mềm sớm hơn trong quá trình bán hàng; tuy nhiên, trong một số trường hợp, doanh thu có thể đã bị </w:t>
      </w:r>
      <w:r>
        <w:rPr>
          <w:b w:val="0"/>
          <w:i/>
        </w:rPr>
        <w:t>bịa đặt hoàn toàn</w:t>
      </w:r>
      <w:r>
        <w:rPr>
          <w:b w:val="0"/>
          <w:i w:val="0"/>
        </w:rPr>
        <w:t xml:space="preserve"> vì Autonomy cuối cùng đã không thành công trong việc chốt thương vụ với người dùng cuối. Ví dụ, công ty không chỉ bán sản phẩm cho một nhà phân phối mà sau đó còn mua lại từ chính nhà phân phối đó những sản phẩm không mong muốn, không được sử dụng hoặc bị định giá quá cao, khởi tạo một khoản thanh toán tiền mặt "vòng tròn" quay trở lại Autonomy. Theo SEC, chỉ riêng thủ đoạn này đã thổi phồng doanh thu được báo cáo của Autonomy lên gần 200 triệu đô la trong giai đoạn từ 2009 đến 2011.</w:t>
      </w:r>
    </w:p>
    <w:p>
      <w:pPr>
        <w:pStyle w:val="Heading4"/>
      </w:pPr>
      <w:r>
        <w:rPr>
          <w:rFonts w:ascii="Calibri" w:hAnsi="Calibri"/>
          <w:b/>
          <w:i w:val="0"/>
          <w:sz w:val="23"/>
        </w:rPr>
        <w:t>2. Ghi nhận doanh thu từ các giao dịch thiếu quy trình giao dịch độc lập hợp lý</w:t>
      </w:r>
    </w:p>
    <w:p>
      <w:pPr>
        <w:spacing w:after="80"/>
      </w:pPr>
      <w:r>
        <w:rPr>
          <w:b w:val="0"/>
          <w:i w:val="0"/>
        </w:rPr>
        <w:t>Trong khi thừa nhận rằng doanh thu từ các giao dịch thiếu bản chất kinh tế không bao giờ nên được coi là hợp pháp, thì các giao dịch thiếu quy trình giao dịch độc lập hợp lý đôi khi vẫn có thể chấp nhận được. Nhưng các nhà đầu tư khôn ngoan nên đặt cược chống lại điều đó. Nghĩa là, hầu hết các giao dịch với bên liên quan thiếu sự trao đổi độc lập đều tạo ra doanh thu bị thổi phồng, và thường là giả tạo.</w:t>
      </w:r>
    </w:p>
    <w:p>
      <w:pPr>
        <w:pStyle w:val="Heading5"/>
      </w:pPr>
      <w:r>
        <w:rPr>
          <w:rFonts w:ascii="Calibri" w:hAnsi="Calibri"/>
          <w:b/>
          <w:i/>
          <w:sz w:val="22"/>
        </w:rPr>
        <w:t>Các giao dịch liên quan đến việc bán hàng cho một bên liên kết</w:t>
      </w:r>
    </w:p>
    <w:p>
      <w:pPr>
        <w:spacing w:after="80"/>
      </w:pPr>
      <w:r>
        <w:rPr>
          <w:b w:val="0"/>
          <w:i w:val="0"/>
        </w:rPr>
        <w:t xml:space="preserve">Nếu người bán và khách hàng cũng có liên kết với nhau theo một cách nào đó, chất lượng doanh thu được ghi nhận của người bán có thể đáng ngờ. Ví dụ, việc bán hàng cho một nhà cung cấp, người thân, giám đốc công ty, chủ sở hữu đa số hoặc đối tác kinh doanh làm dấy lên nghi ngờ về việc liệu các điều khoản của giao dịch có được đàm phán </w:t>
      </w:r>
      <w:r>
        <w:rPr>
          <w:b w:val="0"/>
          <w:i/>
        </w:rPr>
        <w:t>một cách độc lập</w:t>
      </w:r>
      <w:r>
        <w:rPr>
          <w:b w:val="0"/>
          <w:i w:val="0"/>
        </w:rPr>
        <w:t xml:space="preserve"> hay không. Có phải đã giảm giá cho người thân? Có phải người bán được kỳ vọng sẽ mua hàng từ nhà cung cấp trong tương lai với giá chiết khấu? Có bất kỳ thỏa thuận ngầm nào yêu cầu người bán phải đưa ra một sự đền đáp tương xứng không? Việc bán hàng cho một bên liên kết hoặc đối tác chiến lược có thể là một giao dịch hoàn toàn phù hợp. Tuy nhiên, các nhà đầu tư nên luôn dành thời gian xem xét kỹ lưỡng những thỏa thuận này, vì điều quan trọng là phải hiểu liệu doanh thu được ghi nhận có thực sự phù hợp với thực tế kinh tế của giao dịch hay không.</w:t>
      </w:r>
    </w:p>
    <w:p>
      <w:pPr>
        <w:spacing w:after="80"/>
      </w:pPr>
      <w:r>
        <w:rPr>
          <w:b/>
          <w:i/>
        </w:rPr>
        <w:t>Hãy cảnh giác với khách hàng là bên liên quan và đối tác liên doanh</w:t>
      </w:r>
      <w:r>
        <w:rPr>
          <w:b w:val="0"/>
          <w:i w:val="0"/>
        </w:rPr>
        <w:t xml:space="preserve"> Một trường hợp điển hình là vụ gian lận bị cáo buộc tại Syntax-Brillian, nhà sản xuất TV độ nét cao có trụ sở tại Arizona. Năm 2007, Syntax-Brillian đang ở trên đỉnh cao. Nhu cầu phi thường ở Trung Quốc khiến doanh số TV tăng vọt, và sự khởi đầu của mối quan hệ tiếp thị với ESPN và ABC Sports đã tạo ra sự chú ý về dòng TV Olevia HDTV của công ty. Công ty đã tăng doanh thu hơn gấp ba lần trong năm tài chính 2007, với doanh số đạt gần 700 triệu đô la, tăng từ mức dưới 200 triệu đô la của năm trước. Vậy mà một năm sau, Syntax-Brillian đã phá sản và đang bị điều tra vì gian lận.</w:t>
      </w:r>
    </w:p>
    <w:p>
      <w:pPr>
        <w:spacing w:after="80"/>
      </w:pPr>
      <w:r>
        <w:rPr>
          <w:b w:val="0"/>
          <w:i w:val="0"/>
        </w:rPr>
        <w:t>Sự sụp đổ của Syntax-Brillian không phải là điều bất ngờ đối với những nhà đầu tư hiểu được mức độ mà kết quả được báo cáo của công ty hưởng lợi từ các giao dịch với bên liên quan. Ví dụ, mức tăng trưởng doanh thu đáng kinh ngạc của công ty đến từ việc doanh số bán cho một bên liên quan đáng ngờ tăng gấp 10 lần. Doanh số này chiếm gần một nửa tổng doanh thu của Syntax-Brillian, và bên liên quan đó là một nhà phân phối châu Á có tên South China House of Technology (SCHOT). Mối quan hệ của Syntax-Brillian với SCHOT mang tính "thân thích" hơn nhiều so với một thỏa thuận khách hàng-nhà cung cấp điển hình. Hai công ty dường như có liên quan đến một mạng lưới liên doanh chằng chịt (mà cũng kỳ lạ thay, còn bao gồm cả nhà cung cấp chính của Syntax-Brillian). Syntax-Brillian thân thiết với SCHOT đến mức đã cấp cho họ điều khoản thanh toán 120 ngày và thường xuyên gia hạn thêm.</w:t>
      </w:r>
    </w:p>
    <w:p>
      <w:pPr>
        <w:spacing w:after="80"/>
      </w:pPr>
      <w:r>
        <w:rPr>
          <w:b w:val="0"/>
          <w:i w:val="0"/>
        </w:rPr>
        <w:t>Syntax-Brillian mô tả SCHOT là một nhà phân phối sẽ mua TV của họ và sau đó bán lại cho các cửa hàng bán lẻ và người dùng cuối ở Trung Quốc. Nhiều nhà đầu tư đã không đặt câu hỏi về sự gia tăng đáng kể doanh số bán cho SCHOT của công ty, vì họ tin rằng nhu cầu ở Trung Quốc đang cao, với việc mọi người nâng cấp TV của họ để hướng tới Thế vận hội Mùa hè 2008 tại Bắc Kinh. Các nhà đầu tư cũng phấn khởi trước các báo cáo rằng chính Làng Olympic Bắc Kinh đang có kế hoạch trang bị TV Olevia cho các cơ sở của mình.</w:t>
      </w:r>
    </w:p>
    <w:p>
      <w:pPr>
        <w:spacing w:after="80"/>
      </w:pPr>
      <w:r>
        <w:rPr>
          <w:b w:val="0"/>
          <w:i w:val="0"/>
        </w:rPr>
        <w:t>Rồi đột nhiên, vào tháng 2 năm 2008, Syntax-Brillian thông báo một cách khó hiểu rằng các cơ sở Olympic sẽ không còn lắp đặt những chiếc TV mà công ty đã "bán" cho South China House of Technology nữa. Mặc dù Syntax-Brillian đã ghi nhận doanh thu từ việc bán những chiếc TV này, công ty vẫn đồng ý "mua lại" hơn 25.000 chiếc TV với giá gần 100 triệu đô la. Công ty không cần phải huy động tiền mặt vì khoản phải thu từ SCHOT, tất nhiên, vẫn chưa được thanh toán. Với quyền trả lại đáng kể này và không nhận được tiền mặt, Syntax-Brillian lẽ ra không bao giờ nên ghi nhận doanh thu này ngay từ đầu!</w:t>
      </w:r>
    </w:p>
    <w:p>
      <w:pPr>
        <w:spacing w:after="80"/>
      </w:pPr>
      <w:r>
        <w:rPr>
          <w:b w:val="0"/>
          <w:i w:val="0"/>
        </w:rPr>
        <w:t>Các giao dịch với bên liên quan phức tạp của Syntax-Brillian (và nhiều dấu hiệu cảnh báo khác, chẳng hạn như các khoản phải thu tăng vọt) đã ở ngay trước mắt bất kỳ nhà đầu tư nào đọc các hồ sơ nộp cho SEC. Lấy ví dụ, đoạn tham chiếu sau đây về SCHOT được tìm thấy trong mẫu 10-Q tháng 3 năm 2006 của Syntax-Brillian, điều mà lẽ ra đã khiến ngay cả nhà đầu tư mới vào nghề nhất cũng phải đặt câu hỏi.</w:t>
      </w:r>
    </w:p>
    <w:p>
      <w:pPr>
        <w:spacing w:after="80"/>
      </w:pPr>
      <w:r>
        <w:rPr>
          <w:b w:val="0"/>
          <w:i w:val="0"/>
        </w:rPr>
        <w:t>KHOẢN PHẢI THU CỦA SYNTAX-BRILLIAN – CÔNG BỐ THÁNG 3 NĂM 2006</w:t>
      </w:r>
    </w:p>
    <w:p>
      <w:pPr>
        <w:spacing w:after="80"/>
      </w:pPr>
      <w:r>
        <w:rPr>
          <w:b w:val="0"/>
          <w:i w:val="0"/>
        </w:rPr>
        <w:t>Tại ngày 31 tháng 3 năm 2006, số dư khoản phải thu từ một trong những khách hàng châu Á của chúng tôi, cũng đồng thời là một đối tác liên doanh, tổng cộng là 9,6 triệu đô la, tương đương 70,8 phần trăm số dư chưa thanh toán của các khoản phải thu chưa được chuyển nhượng cho CIT.</w:t>
      </w:r>
    </w:p>
    <w:p>
      <w:pPr>
        <w:spacing w:after="80"/>
      </w:pPr>
      <w:r>
        <w:rPr>
          <w:b/>
          <w:i/>
        </w:rPr>
        <w:t>Coi chừng các giao dịch với công ty mẹ</w:t>
      </w:r>
      <w:r>
        <w:rPr>
          <w:b w:val="0"/>
          <w:i w:val="0"/>
        </w:rPr>
        <w:t xml:space="preserve"> Hãy xem xét trường hợp của Hanergy Solar, nhà sản xuất thiết bị năng lượng sạch của Trung Quốc (và cũng là bậc thầy của những chiêu trò kế toán bẩn). Năm 2013, hoạt động kinh doanh mới bắt đầu khởi sắc khi doanh thu tăng 18 phần trăm lên 3,3 tỷ đô la Hồng Kông. Năm tiếp theo, doanh thu tăng gấp ba lần lên 9,6 tỷ đô la Hồng Kông. Từ tháng 5 năm 2013 đến tháng 5 năm 2015, cổ phiếu của Hanergy tăng vọt 1.300 phần trăm, đưa tổng giá trị thị trường lên mức khổng lồ 40 tỷ đô la Hồng Kông và biến người sáng lập kiêm chủ tịch Li Hejun trở thành một trong những người giàu nhất Trung Quốc.</w:t>
      </w:r>
    </w:p>
    <w:p>
      <w:pPr>
        <w:spacing w:after="80"/>
      </w:pPr>
      <w:r>
        <w:rPr>
          <w:b w:val="0"/>
          <w:i w:val="0"/>
        </w:rPr>
        <w:t>Chỉ cần đào sâu một chút bên dưới bề mặt tăng trưởng doanh thu được báo cáo là đã lộ ra một sự thật gây sốc: khách hàng chính của Hanergy cũng chính là chủ sở hữu phần lớn cổ phần của nó, Hanergy Group Holdings (trùng tên không phải là sự trùng hợp ngẫu nhiên). Năm 2013, 100 phần trăm doanh thu của Hanergy đến từ việc bán hàng cho công ty mẹ. Hanergy có những khách hàng khác vào năm 2014, nhưng công ty mẹ vẫn chiếm 61 phần trăm doanh thu. Hơn nữa, Hanergy hầu như chẳng nhận được chút tiền mặt nào từ việc bán hàng cho công ty mẹ, khiến các khoản phải thu phình to lên mức cao ngất ngưởng, dẫn đến DSO nở ra tới 500 ngày vào cuối năm 2014 (với 57 phần trăm các khoản phải thu thương mại của nó được liệt kê là quá hạn). Rõ ràng, những giao dịch bán hàng này không hề mang tính thỏa thuận ngang hàng (arm's length).</w:t>
      </w:r>
    </w:p>
    <w:p>
      <w:pPr>
        <w:spacing w:after="80"/>
      </w:pPr>
      <w:r>
        <w:rPr>
          <w:b w:val="0"/>
          <w:i w:val="0"/>
        </w:rPr>
        <w:t>Đến tháng 5 năm 2015, mọi chuyện đã vỡ lở. Một buổi sáng, khi Chủ tịch Li không xuất hiện tại cuộc họp thường niên giữa lúc đang bị điều tra về giao dịch nội gián, cổ phiếu của Hanergy lao dốc 50 phần trăm trước khi bị Sở Giao dịch Chứng khoán Hồng Kông tạm ngừng giao dịch.</w:t>
      </w:r>
    </w:p>
    <w:p>
      <w:pPr>
        <w:spacing w:after="80"/>
      </w:pPr>
      <w:r>
        <w:rPr>
          <w:b/>
          <w:i/>
        </w:rPr>
        <w:t>Hãy cảnh giác với doanh thu đáng ngờ từ các giao dịch với đối tác liên doanh</w:t>
      </w:r>
      <w:r>
        <w:rPr>
          <w:b w:val="0"/>
          <w:i w:val="0"/>
        </w:rPr>
        <w:t xml:space="preserve"> Công ty quản lý thương hiệu có trụ sở tại New York là Iconix (ICON) được Neil Cole, em trai của ông trùm thời trang Kenneth Cole, thành lập vào năm 2004. ICON có một mô hình kinh doanh tương đối đơn giản: mua các nhãn hiệu liên quan đến thương hiệu thời trang rồi cấp phép quyền sản xuất và bán quần áo dưới các tên thương hiệu này. Khách hàng thường trả cho ICON tiền bản quyền dựa trên một tỷ lệ phần trăm doanh số của mỗi thương hiệu.</w:t>
      </w:r>
    </w:p>
    <w:p>
      <w:pPr>
        <w:spacing w:after="80"/>
      </w:pPr>
      <w:r>
        <w:rPr>
          <w:b w:val="0"/>
          <w:i w:val="0"/>
        </w:rPr>
        <w:t xml:space="preserve">Iconix dành vài năm đầu để thâu tóm những nhãn hiệu thời trang đã có tiếng nhưng đã cũ kỹ (như London Fog, Joe Boxer, Starter và Umbro). Mặc dù công ty có thể đã tạo ra lợi nhuận dương từ các khoản đầu tư nhãn hiệu của mình theo thời gian, nhưng mô hình kinh doanh chậm mà chắc lại không tạo ra được mức tăng trưởng hữu cơ mạnh mẽ. Để làm cho tăng trưởng doanh thu trông hấp dẫn hơn, ban lãnh đạo đã viện đến những trò chơi kế toán sáng tạo. Một chiêu là đẩy nhanh doanh thu và lợi nhuận bằng cách chia nhỏ tài sản nhãn hiệu của mình theo các khu vực địa lý và bán đứt một số nhãn hiệu. Vậy nên vào năm 2013, chẳng hạn, Iconix đã bán các nhãn hiệu Umbro của mình tại Hàn Quốc với giá 10 triệu đô la, ghi nhận khoản lãi từ việc bán là toàn bộ 10 triệu đô la. Thật khó hiểu, khoản lãi này lại được ghi nhận như một </w:t>
      </w:r>
      <w:r>
        <w:rPr>
          <w:b w:val="0"/>
          <w:i/>
        </w:rPr>
        <w:t>thành phần của doanh thu</w:t>
      </w:r>
      <w:r>
        <w:rPr>
          <w:b w:val="0"/>
          <w:i w:val="0"/>
        </w:rPr>
        <w:t>—chứ không phải là một khoản lãi một lần từ việc bán tài sản.</w:t>
      </w:r>
    </w:p>
    <w:p>
      <w:pPr>
        <w:spacing w:after="80"/>
      </w:pPr>
      <w:r>
        <w:rPr>
          <w:b w:val="0"/>
          <w:i w:val="0"/>
        </w:rPr>
        <w:t xml:space="preserve">Trong một số trường hợp, Iconix thực sự tạo ra chính những khách hàng sẽ mua các nhãn hiệu khu vực này. Chẳng hạn vào năm 2013, nó thành lập một liên doanh 50-50 với đối tác chuỗi cung ứng Li &amp; Fung và chuyển giao một số nhãn hiệu cho liên doanh này. Iconix tuyên bố </w:t>
      </w:r>
      <w:r>
        <w:rPr>
          <w:b w:val="0"/>
          <w:i/>
        </w:rPr>
        <w:t>không kiểm soát</w:t>
      </w:r>
      <w:r>
        <w:rPr>
          <w:b w:val="0"/>
          <w:i w:val="0"/>
        </w:rPr>
        <w:t xml:space="preserve"> liên doanh này (dù nó được đặt tên là Iconix SE Asia), và do đó cũng có thể ghi nhận các giao dịch chuyển nhượng nhãn hiệu này như một phần trong tổng doanh số của mình. Công ty đã công bố trong hồ sơ nộp tháng 9 năm 2014 rằng doanh số bán cho riêng liên doanh này đã tạo ra 18,7 triệu đô la, chiếm 16 phần trăm tổng doanh thu của nó trong quý—về cơ bản là từ trên trời rơi xuống!</w:t>
      </w:r>
    </w:p>
    <w:p>
      <w:pPr>
        <w:pStyle w:val="Heading4"/>
      </w:pPr>
      <w:r>
        <w:rPr>
          <w:rFonts w:ascii="Calibri" w:hAnsi="Calibri"/>
          <w:b/>
          <w:i w:val="0"/>
          <w:sz w:val="23"/>
        </w:rPr>
        <w:t>3. Ghi nhận doanh thu từ các khoản thu của những giao dịch không tạo ra doanh thu</w:t>
      </w:r>
    </w:p>
    <w:p>
      <w:pPr>
        <w:spacing w:after="80"/>
      </w:pPr>
      <w:r>
        <w:rPr>
          <w:b w:val="0"/>
          <w:i w:val="0"/>
        </w:rPr>
        <w:t>Cho đến nay, chúng ta đã bàn đến doanh thu giả tạo phát sinh từ những giao dịch hoàn toàn không có bản chất kinh tế và những giao dịch có thể có chút bản chất kinh tế nhưng thiếu quy trình thỏa thuận ngang hàng cần thiết. Giờ chúng ta sẽ xem xét những tình huống mà doanh thu giả tạo nảy sinh từ việc phân loại sai tiền mặt nhận được từ các hoạt động không tạo ra doanh thu.</w:t>
      </w:r>
    </w:p>
    <w:p>
      <w:pPr>
        <w:spacing w:after="80"/>
      </w:pPr>
      <w:r>
        <w:rPr>
          <w:b w:val="0"/>
          <w:i w:val="0"/>
        </w:rPr>
        <w:t>Nhà đầu tư hiểu rằng không phải mọi khoản tiền mặt nhận được đều nhất thiết là doanh thu, hay thậm chí đều liên quan trực tiếp đến hoạt động kinh doanh cốt lõi của công ty. Một số dòng tiền vào liên quan đến các hoạt động tài chính (đi vay và phát hành cổ phiếu), số khác liên quan đến việc bán các mảng kinh doanh hoặc tài sản khác. Những công ty ghi nhận doanh thu thông thường hoặc thu nhập hoạt động từ những nguồn không cốt lõi này nên bị nhìn nhận một cách đáng ngờ.</w:t>
      </w:r>
    </w:p>
    <w:p>
      <w:pPr>
        <w:pStyle w:val="Heading5"/>
      </w:pPr>
      <w:r>
        <w:rPr>
          <w:rFonts w:ascii="Calibri" w:hAnsi="Calibri"/>
          <w:b/>
          <w:i/>
          <w:sz w:val="22"/>
        </w:rPr>
        <w:t>Đặt câu hỏi về doanh thu được ghi nhận khi tiền mặt nhận được trong các giao dịch cho vay</w:t>
      </w:r>
    </w:p>
    <w:p>
      <w:pPr>
        <w:spacing w:after="80"/>
      </w:pPr>
      <w:r>
        <w:rPr>
          <w:b w:val="0"/>
          <w:i w:val="0"/>
        </w:rPr>
        <w:t>Đừng bao giờ nhầm lẫn tiền nhận được từ ông bạn chủ ngân hàng với tiền từ khách hàng. Một khoản vay ngân hàng phải được hoàn trả và được coi là một khoản nợ phải trả. Ngược lại, tiền nhận được từ khách hàng để đổi lấy một dịch vụ đã cung cấp là của bạn để giữ và nên được coi là doanh thu.</w:t>
      </w:r>
    </w:p>
    <w:p>
      <w:pPr>
        <w:spacing w:after="80"/>
      </w:pPr>
      <w:r>
        <w:rPr>
          <w:b w:val="0"/>
          <w:i w:val="0"/>
        </w:rPr>
        <w:t>Rõ ràng là nhà sản xuất phụ tùng ô tô Delphi Corporation đã không hiểu được sự khác biệt giữa một khoản nợ phải trả và doanh thu. Vào cuối tháng 12 năm 2000, Delphi vay một khoản vay ngắn hạn 200 triệu đô la, thế chấp bằng hàng tồn kho. Thay vì ghi nhận số tiền mặt nhận được như một khoản nợ phải trả cần được hoàn trả, Delphi đã ghi nhận nó một cách không đúng đắn như việc bán hàng hóa—cứ như thể hàng tồn kho được đem thế chấp đã được ngân hàng mua vậy. Như bạn sẽ thấy với Delphi ở Chương 10, cách diễn giải xoắn xuýt này không chỉ cho phép Delphi ghi nhận doanh thu giả tạo; nó còn cung cấp dòng tiền hoạt động giả tạo.</w:t>
      </w:r>
    </w:p>
    <w:p>
      <w:pPr>
        <w:pStyle w:val="Heading5"/>
      </w:pPr>
      <w:r>
        <w:rPr>
          <w:rFonts w:ascii="Calibri" w:hAnsi="Calibri"/>
          <w:b/>
          <w:i/>
          <w:sz w:val="22"/>
        </w:rPr>
        <w:t>Chú ý đến cách hạch toán các khoản hoàn tiền từ nhà cung cấp</w:t>
      </w:r>
    </w:p>
    <w:p>
      <w:pPr>
        <w:spacing w:after="80"/>
      </w:pPr>
      <w:r>
        <w:rPr>
          <w:b w:val="0"/>
          <w:i w:val="0"/>
        </w:rPr>
        <w:t>Khi mua hàng hóa từ một nhà cung cấp, tiền mặt thường chảy theo một hướng—từ khách hàng đến nhà cung cấp. Đôi khi, tiền mặt lại chảy theo hướng ngược lại, thường dưới dạng một khoản hoàn tiền hoặc bồi hoàn theo khối lượng. Việc ghi nhận những khoản hoàn tiền bằng tiền mặt này như doanh thu rõ ràng là không thích hợp, vì chúng nên được coi là một khoản điều chỉnh đối với giá vốn hàng tồn kho đã mua. Tuy nhiên, những con người sáng tạo ở Sunbeam lại không nhìn nhận như vậy. Sunbeam đã chơi một chiêu khéo léo để thổi phồng doanh thu, trong đó nó ứng trước tiền mặt cho các nhà cung cấp rồi ghi nhận doanh thu khi số tiền mặt đó được hoàn trả. Ngoài ra, Sunbeam còn cam kết mua hàng trong tương lai từ một nhà cung cấp cụ thể để đổi lấy một khoản "hoàn tiền" ngay lập tức từ nhà cung cấp đó, và tất nhiên Sunbeam đã ghi nhận khoản này như doanh thu.</w:t>
      </w:r>
    </w:p>
    <w:p>
      <w:pPr>
        <w:spacing w:after="80"/>
      </w:pPr>
      <w:r>
        <w:rPr>
          <w:b w:val="0"/>
          <w:i w:val="0"/>
        </w:rPr>
        <w:t>Royal Ahold, chủ sở hữu của các chuỗi siêu thị Mỹ Stop &amp; Shop và Giant, cũng chơi trò tương tự với các khoản hoàn tiền từ nhà cung cấp. Các giám đốc điều hành đã thao túng tài khoản nhà cung cấp để tạo ra các khoản hoàn tiền giả, giúp thổi phồng lợi nhuận và giúp công ty đạt được mục tiêu lợi nhuận. Các khoản hoàn tiền bị khai khống lên tới hơn 700 triệu đô la trong năm 2001 và 2002, dẫn đến lợi nhuận bị thổi phồng nghiêm trọng. Những giám đốc điều hành thực hiện âm mưu này cuối cùng bị kết tội gian lận và phải ngồi tù.</w:t>
      </w:r>
    </w:p>
    <w:p>
      <w:pPr>
        <w:spacing w:after="80"/>
      </w:pPr>
      <w:r>
        <w:rPr>
          <w:b w:val="0"/>
          <w:i w:val="0"/>
        </w:rPr>
        <w:t>Tương tự, vào tháng 9 năm 2014, chuỗi bán lẻ thực phẩm Anh Tesco thông báo rằng họ đã khai khống lợi nhuận bằng cách ghi nhận quá nhiều thu nhập liên quan đến chiết khấu và hoàn tiền từ nhà cung cấp. Hỗn loạn xảy ra sau đó khi cổ phiếu giảm hơn 50 phần trăm kể từ đầu năm. Chủ tịch, CEO, CFO cùng các giám đốc điều hành chủ chốt và thành viên hội đồng quản trị của Tesco đều rời công ty. Vào tháng 9 năm 2016, Cơ quan Chống Gian lận Nghiêm trọng của Vương quốc Anh (Serious Fraud Office) thông báo sẽ truy tố ba cựu nhân viên với tội danh gian lận và khai báo kế toán sai.</w:t>
      </w:r>
    </w:p>
    <w:p>
      <w:pPr>
        <w:pStyle w:val="Heading4"/>
      </w:pPr>
      <w:r>
        <w:rPr>
          <w:rFonts w:ascii="Calibri" w:hAnsi="Calibri"/>
          <w:b/>
          <w:i w:val="0"/>
          <w:sz w:val="23"/>
        </w:rPr>
        <w:t>4. Ghi nhận doanh thu từ các giao dịch phù hợp, nhưng với số tiền bị thổi phồng</w:t>
      </w:r>
    </w:p>
    <w:p>
      <w:pPr>
        <w:spacing w:after="80"/>
      </w:pPr>
      <w:r>
        <w:rPr>
          <w:b w:val="0"/>
          <w:i w:val="0"/>
        </w:rPr>
        <w:t>Ba mục đầu tiên của chương này tập trung vào các nguồn doanh thu hoàn toàn không phù hợp, vì chúng thiếu bất kỳ cơ sở kinh tế nào, không vượt qua được bài kiểm tra giao dịch độc lập (arm's-length test) cần thiết, hoặc bắt nguồn từ các hoạt động không tạo ra doanh thu. Ngược lại, các công ty được nêu trong mục này nhìn chung đáp ứng các nguyên tắc chung để ghi nhận doanh thu. Tuy nhiên, sai phạm (và không hề nhỏ) lại liên quan đến việc ghi nhận doanh thu với số tiền có vẻ quá cao hoặc gây hiểu lầm cho nhà đầu tư. Doanh thu quá cao hoặc gây hiểu lầm có thể xuất phát từ (1) sử dụng phương pháp ghi nhận doanh thu không phù hợp và/hoặc (2) thổi phồng doanh thu để khiến công ty trông lớn hơn nhiều so với thực tế.</w:t>
      </w:r>
    </w:p>
    <w:p>
      <w:pPr>
        <w:pStyle w:val="Heading5"/>
      </w:pPr>
      <w:r>
        <w:rPr>
          <w:rFonts w:ascii="Calibri" w:hAnsi="Calibri"/>
          <w:b/>
          <w:i/>
          <w:sz w:val="22"/>
        </w:rPr>
        <w:t>Enron sử dụng phương pháp không phù hợp để ghi nhận doanh thu</w:t>
      </w:r>
    </w:p>
    <w:p>
      <w:pPr>
        <w:spacing w:after="80"/>
      </w:pPr>
      <w:r>
        <w:rPr>
          <w:b w:val="0"/>
          <w:i w:val="0"/>
        </w:rPr>
        <w:t>Như chúng ta đã thảo luận ở Chương 1, rất lâu trước khi Enron trở nên tai tiếng với danh hiệu "vụ gian lận kế toán lớn nhất", trong nhiều năm nó hoạt động như một doanh nghiệp đường ống dẫn khí nhỏ ở Houston, Texas. Trong suốt thập niên 1990, công ty dần chuyển mình từ một nhà sản xuất năng lượng thành một công ty tạo điều kiện giao dịch năng lượng và các hợp đồng tương lai liên quan.</w:t>
      </w:r>
    </w:p>
    <w:p>
      <w:pPr>
        <w:spacing w:after="80"/>
      </w:pPr>
      <w:r>
        <w:rPr>
          <w:b w:val="0"/>
          <w:i w:val="0"/>
        </w:rPr>
        <w:t>Để hiểu hoạt động kinh doanh mới của Enron, và cách nó tác động đến báo cáo tài chính được công bố của công ty, thật đáng để xem xét một giao dịch môi giới hàng hóa đơn giản. Thông thường, nếu một nhà môi giới tạo điều kiện cho một giao dịch có giá trị danh nghĩa (notional value) 100 triệu đô la với mức hoa hồng 1 phần trăm, nhà môi giới sẽ chỉ ghi nhận khoản hoa hồng 1 triệu đô la là doanh thu và lợi nhuận gộp của mình. Tuy nhiên, Enron lại áp dụng cách tiếp cận hung hăng hơn nhiều (và không phù hợp) để ghi nhận loại giao dịch này. Enron sẽ "thổi phồng" giao dịch này bằng cách ghi nhận doanh thu 101 triệu đô la, bù trừ bằng giá vốn hàng bán 100 triệu đô la, dẫn đến cùng mức lợi nhuận gộp 1 triệu đô la. Chính cách hạch toán cực kỳ hung hăng này là lý do Enron thể hiện sự kết hợp kỳ lạ giữa doanh thu tăng trưởng nhanh chóng và biên lợi nhuận nhỏ bé.</w:t>
      </w:r>
    </w:p>
    <w:p>
      <w:pPr>
        <w:pStyle w:val="Heading5"/>
      </w:pPr>
      <w:r>
        <w:rPr>
          <w:rFonts w:ascii="Calibri" w:hAnsi="Calibri"/>
          <w:b/>
          <w:i/>
          <w:sz w:val="22"/>
        </w:rPr>
        <w:t>Cuộc gặp gỡ tình cờ với CFO của Enron, Andrew Fastow</w:t>
      </w:r>
    </w:p>
    <w:p>
      <w:pPr>
        <w:spacing w:after="80"/>
      </w:pPr>
      <w:r>
        <w:rPr>
          <w:b w:val="0"/>
          <w:i w:val="0"/>
        </w:rPr>
        <w:t>Đó là luận điểm làm việc của chúng tôi trong nhiều năm, nhưng chúng tôi không thể nói chuyện với các lãnh đạo cấp cao để xác nhận luận điểm này vì họ đã bị giam trong tù. Nhưng vào tháng 12 năm 2015, con đường của Howard tình cờ giao với cựu CFO của Enron, Andrew Fastow, khi cả hai được mời làm diễn giả tại một hội nghị ở Park City, Utah. Trong phần hỏi đáp của bài trình bày Fastow, Howard có cơ hội mô tả điều ông tin là vụ gian lận kế toán chính (dùng cùng ví dụ hàng hóa như trên), và ông hỏi Andrew liệu luận điểm đó có đúng không. Có phải Enron đang thổi phồng giá trị danh nghĩa của một giao dịch và tính số tiền đó vào doanh thu, thay vì chỉ tính khoản hoa hồng kiếm được? Năm từ đầu tiên trong câu trả lời của ông là: "Về cơ bản ông đúng, nhưng…", rồi ông tiếp tục mô tả lý do tại sao quy tắc kế toán cơ bản này không áp dụng cho Enron. Howard chỉ đảo mắt và mỉm cười, vì luận điểm đã được xác nhận.</w:t>
      </w:r>
    </w:p>
    <w:p>
      <w:pPr>
        <w:spacing w:after="80"/>
      </w:pPr>
      <w:r>
        <w:rPr>
          <w:b/>
          <w:i/>
        </w:rPr>
        <w:t>Hãy cảnh giác với các công ty thổi phồng doanh thu để trông có vẻ lớn hơn nhiều</w:t>
      </w:r>
      <w:r>
        <w:rPr>
          <w:b w:val="0"/>
          <w:i w:val="0"/>
        </w:rPr>
        <w:t xml:space="preserve"> Hiện tượng thương mại điện tử Groupon xuất hiện vào tháng 11 năm 2008, và chỉ 17 tháng sau, nó được định giá tư nhân ở mức một tỷ đô la—công ty đạt ngưỡng này nhanh nhất so với bất kỳ công ty nào. Rồi đến sinh nhật thứ ba vào tháng 11 năm 2011, Groupon lên sàn, huy động được 700 triệu đô la đáng kinh ngạc, trở thành IPO công nghệ lớn thứ hai vào thời điểm đó (sau 1,7 tỷ đô la mà Google huy động được năm 2004). Nhưng trước khi phát hành cổ phiếu ra công chúng, Groupon đã gặp khó khăn trong việc được SEC chấp thuận cho IPO, vì phải sửa đổi hồ sơ đăng ký tới tám lần. Lần điều chỉnh lại quan trọng nhất liên quan đến việc ghi nhận doanh thu của Groupon, dẫn đến những thay đổi cắt giảm doanh thu hơn 50 phần trăm. (Xem Bảng 4-1.)</w:t>
      </w:r>
    </w:p>
    <w:p>
      <w:pPr>
        <w:spacing w:after="80"/>
      </w:pPr>
      <w:r>
        <w:rPr>
          <w:b/>
          <w:i w:val="0"/>
        </w:rPr>
        <w:t>Bảng 4-1</w:t>
      </w:r>
      <w:r>
        <w:rPr>
          <w:b w:val="0"/>
          <w:i w:val="0"/>
        </w:rPr>
        <w:t xml:space="preserve"> Doanh thu gộp và ròng của Groupon</w:t>
      </w:r>
    </w:p>
    <w:p>
      <w:pPr>
        <w:jc w:val="center"/>
      </w:pPr>
      <w:r>
        <w:drawing>
          <wp:inline xmlns:a="http://schemas.openxmlformats.org/drawingml/2006/main" xmlns:pic="http://schemas.openxmlformats.org/drawingml/2006/picture">
            <wp:extent cx="5486400" cy="1502894"/>
            <wp:docPr id="8" name="Picture 8"/>
            <wp:cNvGraphicFramePr>
              <a:graphicFrameLocks noChangeAspect="1"/>
            </wp:cNvGraphicFramePr>
            <a:graphic>
              <a:graphicData uri="http://schemas.openxmlformats.org/drawingml/2006/picture">
                <pic:pic>
                  <pic:nvPicPr>
                    <pic:cNvPr id="0" name="00031.jpeg"/>
                    <pic:cNvPicPr/>
                  </pic:nvPicPr>
                  <pic:blipFill>
                    <a:blip r:embed="rId16"/>
                    <a:stretch>
                      <a:fillRect/>
                    </a:stretch>
                  </pic:blipFill>
                  <pic:spPr>
                    <a:xfrm>
                      <a:off x="0" y="0"/>
                      <a:ext cx="5486400" cy="1502894"/>
                    </a:xfrm>
                    <a:prstGeom prst="rect"/>
                  </pic:spPr>
                </pic:pic>
              </a:graphicData>
            </a:graphic>
          </wp:inline>
        </w:drawing>
      </w:r>
    </w:p>
    <w:p>
      <w:pPr>
        <w:spacing w:after="80"/>
      </w:pPr>
      <w:r>
        <w:rPr>
          <w:b w:val="0"/>
          <w:i w:val="0"/>
        </w:rPr>
        <w:t>Trò gian lận chính của Groupon là cố gắng làm cho hoạt động kinh doanh trông lớn hơn bằng cách ghi nhận số tiền gộp mà thành viên trả cho một ưu đãi là doanh số, mà không trừ đi phần đáng kể mà họ nợ các nhà bán lẻ. Trong các tài liệu đăng ký điều chỉnh lại (nằm trong Mẫu S-1A), SEC buộc Groupon chuyển từ phương pháp "gộp" sang "ròng", khiến doanh thu tan chảy từ gần 1,6 tỷ đô la xuống chỉ còn 688 triệu đô la, giảm 57 phần trăm trong sáu tháng kết thúc vào tháng 6 năm 2011.</w:t>
      </w:r>
    </w:p>
    <w:p>
      <w:pPr>
        <w:spacing w:after="80"/>
      </w:pPr>
      <w:r>
        <w:rPr>
          <w:b w:val="0"/>
          <w:i w:val="0"/>
        </w:rPr>
        <w:t>Đáng ngạc nhiên là các nhà đầu tư dường như phớt lờ diễn biến đáng ngại này; đợt IPO tháng 11 hóa ra lại thành công lớn, với giá cổ phiếu Groupon tăng 31 phần trăm trong ngày đầu tiên giao dịch với tư cách công ty đại chúng. Nó đóng cửa ở mức 26,11 đô la vào ngày 4 tháng 11 với giá trị thị trường 16 tỷ đô la. Nhưng mọi thứ bắt đầu rạn nứt nhanh chóng với một lần điều chỉnh lại khác (do chính công ty khởi xướng) vào đầu năm 2012. Và đến sinh nhật đầu tiên vào tháng 11 năm 2012, giá cổ phiếu lao dốc xuống 2,76 đô la—mức giảm đáng kinh ngạc 90 phần trăm đối với một trong những đợt IPO được mong đợi nhất. Các nhà đầu tư đã thấy quá đủ, và đến tháng 2 năm 2013, CEO Andrew Mason bị sa thải.</w:t>
      </w:r>
    </w:p>
    <w:p>
      <w:pPr>
        <w:spacing w:after="80"/>
      </w:pPr>
      <w:r>
        <w:rPr>
          <w:b w:val="0"/>
          <w:i w:val="0"/>
        </w:rPr>
        <w:t>Khi các doanh nghiệp truyền thống chuyển sang thương mại điện tử, thường có cơ hội xem xét lại sự phân biệt giữa doanh thu gộp và ròng. Lấy ví dụ về những trò chơi của các công ty quảng cáo khi họ bắt đầu đặt quảng cáo trực tuyến. Những công ty này thường ghi nhận doanh thu từ phí hoa hồng mà họ kiếm được từ quảng cáo do khách hàng đặt trên các chương trình truyền hình hoặc phát thanh, báo chí, hoặc biển quảng cáo. Tuy nhiên, hầu hết các công ty quảng cáo lại tiếp cận quảng cáo trực tuyến theo cách khác, chọn ghi nhận doanh thu theo cơ sở gộp, từ đó bao gồm toàn bộ giá trị của quảng cáo trong doanh thu được báo cáo. Có vẻ khá đơn giản để nhà đầu tư nhìn thấu trò gian lận này; tuy nhiên, trong nhiều trường hợp, doanh thu quảng cáo trực tuyến bị trộn lẫn với các khoản phí đại lý khác được ghi nhận theo cơ sở ròng, khiến việc đánh giá hiệu suất thực sự của hoa hồng đại lý trở nên khá khó khăn. Vì quảng cáo trực tuyến có xu hướng tăng tỷ trọng trong thị trường quảng cáo mỗi năm, cách xử lý doanh thu này đã tạo ra sự thúc đẩy nhân tạo cho tăng trưởng doanh số được báo cáo của các công ty quảng cáo.</w:t>
      </w:r>
    </w:p>
    <w:p>
      <w:pPr>
        <w:pStyle w:val="Heading3"/>
      </w:pPr>
      <w:r>
        <w:rPr>
          <w:rFonts w:ascii="Calibri" w:hAnsi="Calibri"/>
          <w:b/>
          <w:i w:val="0"/>
          <w:sz w:val="26"/>
        </w:rPr>
        <w:t>Nhìn về phía trước</w:t>
      </w:r>
    </w:p>
    <w:p>
      <w:pPr>
        <w:spacing w:after="80"/>
      </w:pPr>
      <w:r>
        <w:rPr>
          <w:b w:val="0"/>
          <w:i w:val="0"/>
        </w:rPr>
        <w:t>Chương này và Chương 3 đều đề cập đến các kỹ thuật thổi phồng doanh thu. Những thủ thuật này bao gồm việc ghi nhận doanh thu quá sớm hoặc ghi nhận doanh thu mà toàn bộ hoặc một phần là giả mạo. Chương 5 xem xét các kỹ thuật thổi phồng thu nhập, nhưng nó đi xa hơn xuống Báo cáo Kết quả Hoạt động Kinh doanh (Statement of Operation). Dù không thuộc phần doanh thu, các khoản lãi một lần có thể tạo ra sự bóp méo trong thu nhập hoạt động hoặc thu nhập ròng của một công ty.</w:t>
      </w:r>
    </w:p>
    <w:p>
      <w:pPr>
        <w:pStyle w:val="Heading2"/>
      </w:pPr>
      <w:r>
        <w:rPr>
          <w:rFonts w:ascii="Calibri" w:hAnsi="Calibri"/>
          <w:b/>
          <w:i w:val="0"/>
          <w:sz w:val="32"/>
        </w:rPr>
        <w:t>5</w:t>
      </w:r>
    </w:p>
    <w:p>
      <w:pPr>
        <w:pStyle w:val="Heading2"/>
      </w:pPr>
      <w:r>
        <w:rPr>
          <w:rFonts w:ascii="Calibri" w:hAnsi="Calibri"/>
          <w:b/>
          <w:i w:val="0"/>
          <w:sz w:val="32"/>
        </w:rPr>
        <w:t>Chiêu trò Thao túng Lợi nhuận Số 3: Đẩy Doanh thu Lên Bằng Các Hoạt động Một lần hoặc Không Bền vững</w:t>
      </w:r>
    </w:p>
    <w:p>
      <w:pPr>
        <w:spacing w:after="80"/>
      </w:pPr>
      <w:r>
        <w:rPr>
          <w:b w:val="0"/>
          <w:i w:val="0"/>
        </w:rPr>
        <w:t>Khi một ảo thuật gia muốn làm cho một chú thỏ xuất hiện từ hư không, anh ta có thể gõ cây gậy thần hoặc nói câu thần chú "abracadabra." Không chịu kém cạnh, các giám đốc điều hành doanh nghiệp cũng có cách riêng của họ để tạo ra thứ gì đó từ hư vô khi báo cáo lợi nhuận. Tuy nhiên, các giám đốc điều hành không cần đạo cụ đặc biệt, và họ cũng không cần dùng những từ ngữ đặc biệt như "abracadabra." Tất cả những gì họ cần chỉ là một vài kỹ thuật đơn giản.</w:t>
      </w:r>
    </w:p>
    <w:p>
      <w:pPr>
        <w:spacing w:after="80"/>
      </w:pPr>
      <w:r>
        <w:rPr>
          <w:b w:val="0"/>
          <w:i w:val="0"/>
        </w:rPr>
        <w:t>Các khoản lợi nhuận một lần giống như chú thỏ trong mũ, xuất hiện một cách thần kỳ từ hư không. Một công ty đang gặp khó khăn có thể bị cám dỗ sử dụng một số kỹ thuật đẩy doanh thu lên bằng các hoạt động một lần hoặc không bền vững. Chương này khám phá những phương pháp như vậy, mà nếu không bị phát hiện, có thể khiến nhà đầu tư bối rối. Trong chương này, chúng ta xem xét hai kỹ thuật sau đây được ban lãnh đạo sử dụng để mang lại cho lợi nhuận một cú "tiêm tăng lực" nhanh chóng nhưng tạm thời.</w:t>
      </w:r>
    </w:p>
    <w:p>
      <w:pPr>
        <w:pStyle w:val="Heading3"/>
      </w:pPr>
      <w:r>
        <w:rPr>
          <w:rFonts w:ascii="Calibri" w:hAnsi="Calibri"/>
          <w:b/>
          <w:i w:val="0"/>
          <w:sz w:val="26"/>
        </w:rPr>
        <w:t>Các Kỹ thuật Đẩy Doanh thu Lên Bằng Các Hoạt động Một lần hoặc Không Bền vững</w:t>
      </w:r>
    </w:p>
    <w:p>
      <w:pPr>
        <w:spacing w:after="80"/>
      </w:pPr>
      <w:r>
        <w:rPr>
          <w:b w:val="0"/>
          <w:i w:val="0"/>
        </w:rPr>
        <w:t>1. Đẩy doanh thu lên bằng các sự kiện một lần</w:t>
      </w:r>
    </w:p>
    <w:p>
      <w:pPr>
        <w:spacing w:after="80"/>
      </w:pPr>
      <w:r>
        <w:rPr>
          <w:b w:val="0"/>
          <w:i w:val="0"/>
        </w:rPr>
        <w:t>2. Đẩy doanh thu lên thông qua các phân loại gây hiểu nhầm</w:t>
      </w:r>
    </w:p>
    <w:p>
      <w:pPr>
        <w:pStyle w:val="Heading4"/>
      </w:pPr>
      <w:r>
        <w:rPr>
          <w:rFonts w:ascii="Calibri" w:hAnsi="Calibri"/>
          <w:b/>
          <w:i w:val="0"/>
          <w:sz w:val="23"/>
        </w:rPr>
        <w:t>1. Đẩy Doanh thu Lên Bằng Các Sự kiện Một lần</w:t>
      </w:r>
    </w:p>
    <w:p>
      <w:pPr>
        <w:pStyle w:val="Heading5"/>
      </w:pPr>
      <w:r>
        <w:rPr>
          <w:rFonts w:ascii="Calibri" w:hAnsi="Calibri"/>
          <w:b/>
          <w:i/>
          <w:sz w:val="22"/>
        </w:rPr>
        <w:t>Cơn Sốt Dot-Com Khiến Các Cổ phiếu Blue Chip Cảm Thấy Buồn Bã</w:t>
      </w:r>
    </w:p>
    <w:p>
      <w:pPr>
        <w:spacing w:after="80"/>
      </w:pPr>
      <w:r>
        <w:rPr>
          <w:b w:val="0"/>
          <w:i w:val="0"/>
        </w:rPr>
        <w:t>Vào cuối những năm 1990, các công ty khởi nghiệp công nghệ "dot-com" đã thu hút sự chú ý của nhà đầu tư, trong khi các tên tuổi công nghệ lâu đời khao khát lấy lại ánh hào quang. Chỉ cần thêm "dot-com" vào cuối tên công ty cũng đủ khiến nhà đầu tư ngay lập tức trả giá cao hơn cho cổ phiếu. Hiệu quả kinh tế thực tế và sức khỏe cơ bản của những doanh nghiệp này dường như ít được nhà đầu tư quan tâm, những người đã bị mê hoặc bởi tiềm năng tăng trưởng điên cuồng trong nền kinh tế mới hoặc tiềm năng công ty bị mua lại với mức giá cực cao. Một số công ty này phát triển thịnh vượng (Yahoo!), số khác hợp lực với các doanh nghiệp truyền thống (AOL sáp nhập với Time Warner), và nhiều công ty chỉ đơn giản là phá sản (eToys đi từ giá trị thị trường 11 tỷ đô la năm 1999 đến phá sản năm 2001). Nhà đầu tư tập trung quá nhiều vào những công ty mới nổi này đến nỗi các cổ phiếu công nghệ blue chip như IBM, Intel và Microsoft thường bị coi là những kẻ già nua lỗi thời.</w:t>
      </w:r>
    </w:p>
    <w:p>
      <w:pPr>
        <w:spacing w:after="80"/>
      </w:pPr>
      <w:r>
        <w:rPr>
          <w:b w:val="0"/>
          <w:i w:val="0"/>
        </w:rPr>
        <w:t>IBM thực sự đã gặp khó khăn trong năm 1999, khi chi phí của công ty tăng nhanh hơn doanh thu. Như Bảng 5-1 cho thấy, giá vốn hàng bán và dịch vụ (COGS) tăng 9,5 phần trăm trong năm 1999, trong khi doanh thu tăng 7,2 phần trăm, dẫn đến biên lợi nhuận gộp thấp hơn. Tuy nhiên, bằng cách nào đó lợi nhuận hoạt động và lợi nhuận trước thuế của IBM lại tăng ấn tượng tới 30 phần trăm.</w:t>
      </w:r>
    </w:p>
    <w:p>
      <w:pPr>
        <w:spacing w:after="80"/>
      </w:pPr>
      <w:r>
        <w:rPr>
          <w:b w:val="0"/>
          <w:i w:val="0"/>
        </w:rPr>
        <w:t xml:space="preserve">Sự chênh lệch lớn giữa tăng trưởng doanh thu và thu nhập hoạt động lẽ ra phải khiến các nhà đầu tư cẩn thận đào sâu tìm hiểu thêm. Vì khi đọc cuốn sách này, bạn giờ đây được coi là một nhà đầu tư cẩn thận, hãy cùng xem xét kỹ Báo cáo Thu nhập trong hồ sơ 10-K của IBM (được trình bày trong Bảng 5-1). Một điều ngay lập tức nổi bật là mức </w:t>
      </w:r>
      <w:r>
        <w:rPr>
          <w:b w:val="0"/>
          <w:i/>
        </w:rPr>
        <w:t>giảm</w:t>
      </w:r>
      <w:r>
        <w:rPr>
          <w:b w:val="0"/>
          <w:i w:val="0"/>
        </w:rPr>
        <w:t xml:space="preserve"> 11,6 phần trăm trong "Chi phí bán hàng, chi phí chung và chi phí quản lý (SG&amp;A)," trái ngược với mức </w:t>
      </w:r>
      <w:r>
        <w:rPr>
          <w:b w:val="0"/>
          <w:i/>
        </w:rPr>
        <w:t>tăng</w:t>
      </w:r>
      <w:r>
        <w:rPr>
          <w:b w:val="0"/>
          <w:i w:val="0"/>
        </w:rPr>
        <w:t xml:space="preserve"> 9,5 phần trăm trong hạng mục COGS. Thứ hai, mức tăng trưởng 30 phần trăm cả trong thu nhập hoạt động và thu nhập trước thuế có vẻ rất đáng ngạc nhiên chỉ với mức tăng doanh số 7,2 phần trăm, trừ khi công ty cũng có một khoản lợi nhuận một lần lớn bị che giấu—hoặc đã chọn một chiêu trò khác để đẩy doanh thu lên hoặc che giấu chi phí.</w:t>
      </w:r>
    </w:p>
    <w:p>
      <w:pPr>
        <w:spacing w:after="80"/>
      </w:pPr>
      <w:r>
        <w:rPr>
          <w:b/>
          <w:i w:val="0"/>
        </w:rPr>
        <w:t>Bảng 5-1</w:t>
      </w:r>
      <w:r>
        <w:rPr>
          <w:b w:val="0"/>
          <w:i w:val="0"/>
        </w:rPr>
        <w:t xml:space="preserve"> Báo cáo Thu nhập năm 1999 của IBM, như được Báo cáo</w:t>
      </w:r>
    </w:p>
    <w:p>
      <w:pPr>
        <w:jc w:val="center"/>
      </w:pPr>
      <w:r>
        <w:drawing>
          <wp:inline xmlns:a="http://schemas.openxmlformats.org/drawingml/2006/main" xmlns:pic="http://schemas.openxmlformats.org/drawingml/2006/picture">
            <wp:extent cx="5486400" cy="2941739"/>
            <wp:docPr id="9" name="Picture 9"/>
            <wp:cNvGraphicFramePr>
              <a:graphicFrameLocks noChangeAspect="1"/>
            </wp:cNvGraphicFramePr>
            <a:graphic>
              <a:graphicData uri="http://schemas.openxmlformats.org/drawingml/2006/picture">
                <pic:pic>
                  <pic:nvPicPr>
                    <pic:cNvPr id="0" name="00039.jpeg"/>
                    <pic:cNvPicPr/>
                  </pic:nvPicPr>
                  <pic:blipFill>
                    <a:blip r:embed="rId17"/>
                    <a:stretch>
                      <a:fillRect/>
                    </a:stretch>
                  </pic:blipFill>
                  <pic:spPr>
                    <a:xfrm>
                      <a:off x="0" y="0"/>
                      <a:ext cx="5486400" cy="2941739"/>
                    </a:xfrm>
                    <a:prstGeom prst="rect"/>
                  </pic:spPr>
                </pic:pic>
              </a:graphicData>
            </a:graphic>
          </wp:inline>
        </w:drawing>
      </w:r>
    </w:p>
    <w:p>
      <w:pPr>
        <w:spacing w:after="80"/>
      </w:pPr>
      <w:r>
        <w:rPr>
          <w:b w:val="0"/>
          <w:i w:val="0"/>
        </w:rPr>
        <w:t xml:space="preserve">Và đó chính xác là những gì đã xảy ra. Một chú thích trong hồ sơ 10-K năm 1999 tiết lộ rằng IBM đã ghi nhận khoản lợi nhuận 4,1 tỷ đô la từ việc bán mảng Global Network cho AT&amp;T và một cách kỳ lạ đã đưa khoản lợi nhuận đó vào như một </w:t>
      </w:r>
      <w:r>
        <w:rPr>
          <w:b w:val="0"/>
          <w:i/>
        </w:rPr>
        <w:t>khoản giảm trong chi phí SG&amp;A</w:t>
      </w:r>
      <w:r>
        <w:rPr>
          <w:b w:val="0"/>
          <w:i w:val="0"/>
        </w:rPr>
        <w:t>. Bằng cách đó, IBM đã thần kỳ che giấu hoạt động kinh doanh đang suy thoái của mình khỏi nhiều nhà đầu tư.</w:t>
      </w:r>
    </w:p>
    <w:p>
      <w:pPr>
        <w:spacing w:after="80"/>
      </w:pPr>
      <w:r>
        <w:rPr>
          <w:b w:val="0"/>
          <w:i w:val="0"/>
        </w:rPr>
        <w:t>Như Bảng 5-2 minh họa, kết quả không bao gồm khoản lợi nhuận một lần sẽ trông thảm hại khi so sánh với các con số được IBM báo cáo. Điều chỉnh kết quả năm 1999 của IBM bằng cách chỉ đơn giản loại bỏ khoản lợi nhuận khổng lồ bị gộp không đúng cách vào chi phí SG&amp;A sẽ khiến chi phí này tăng vọt từ 14,7 tỷ đô la lên 18,8 tỷ đô la. Thu nhập hoạt động theo đó sẽ giảm cùng mức, từ 11,9 tỷ đô la xuống 7,9 tỷ đô la. Kết quả là, cả thu nhập hoạt động và thu nhập trước thuế đều bị cắt giảm 4,1 tỷ đô la.</w:t>
      </w:r>
    </w:p>
    <w:p>
      <w:pPr>
        <w:spacing w:after="80"/>
      </w:pPr>
      <w:r>
        <w:rPr>
          <w:b w:val="0"/>
          <w:i w:val="0"/>
        </w:rPr>
        <w:t xml:space="preserve">Giờ chúng ta có thể so sánh kết quả (như được báo cáo so với các con số đã điều chỉnh của chúng ta đã loại trừ khoản lợi nhuận) và thấy rõ sự khác biệt đáng kể. Chi phí SG&amp;A thực sự đã </w:t>
      </w:r>
      <w:r>
        <w:rPr>
          <w:b w:val="0"/>
          <w:i/>
        </w:rPr>
        <w:t>tăng</w:t>
      </w:r>
      <w:r>
        <w:rPr>
          <w:b w:val="0"/>
          <w:i w:val="0"/>
        </w:rPr>
        <w:t xml:space="preserve"> 12,7 phần trăm (thay vì mức </w:t>
      </w:r>
      <w:r>
        <w:rPr>
          <w:b w:val="0"/>
          <w:i/>
        </w:rPr>
        <w:t>giảm</w:t>
      </w:r>
      <w:r>
        <w:rPr>
          <w:b w:val="0"/>
          <w:i w:val="0"/>
        </w:rPr>
        <w:t xml:space="preserve"> 11,6 phần trăm được báo cáo), và lợi nhuận hoạt động và trước thuế </w:t>
      </w:r>
      <w:r>
        <w:rPr>
          <w:b w:val="0"/>
          <w:i/>
        </w:rPr>
        <w:t>giảm</w:t>
      </w:r>
      <w:r>
        <w:rPr>
          <w:b w:val="0"/>
          <w:i w:val="0"/>
        </w:rPr>
        <w:t xml:space="preserve"> lần lượt 14,1 và 14,8 phần trăm (thay vì mức </w:t>
      </w:r>
      <w:r>
        <w:rPr>
          <w:b w:val="0"/>
          <w:i/>
        </w:rPr>
        <w:t>tăng</w:t>
      </w:r>
      <w:r>
        <w:rPr>
          <w:b w:val="0"/>
          <w:i w:val="0"/>
        </w:rPr>
        <w:t xml:space="preserve"> 30,2 và 30,0 phần trăm được báo cáo).</w:t>
      </w:r>
    </w:p>
    <w:p>
      <w:pPr>
        <w:spacing w:after="80"/>
      </w:pPr>
      <w:r>
        <w:rPr>
          <w:b/>
          <w:i w:val="0"/>
        </w:rPr>
        <w:t>Bảng 5-2</w:t>
      </w:r>
      <w:r>
        <w:rPr>
          <w:b w:val="0"/>
          <w:i w:val="0"/>
        </w:rPr>
        <w:t xml:space="preserve"> Báo cáo thu nhập năm 1999 của IBM, đã điều chỉnh để loại trừ khoản lãi một lần</w:t>
      </w:r>
    </w:p>
    <w:p>
      <w:pPr>
        <w:jc w:val="center"/>
      </w:pPr>
      <w:r>
        <w:drawing>
          <wp:inline xmlns:a="http://schemas.openxmlformats.org/drawingml/2006/main" xmlns:pic="http://schemas.openxmlformats.org/drawingml/2006/picture">
            <wp:extent cx="5486400" cy="2933157"/>
            <wp:docPr id="10" name="Picture 10"/>
            <wp:cNvGraphicFramePr>
              <a:graphicFrameLocks noChangeAspect="1"/>
            </wp:cNvGraphicFramePr>
            <a:graphic>
              <a:graphicData uri="http://schemas.openxmlformats.org/drawingml/2006/picture">
                <pic:pic>
                  <pic:nvPicPr>
                    <pic:cNvPr id="0" name="00032.jpeg"/>
                    <pic:cNvPicPr/>
                  </pic:nvPicPr>
                  <pic:blipFill>
                    <a:blip r:embed="rId18"/>
                    <a:stretch>
                      <a:fillRect/>
                    </a:stretch>
                  </pic:blipFill>
                  <pic:spPr>
                    <a:xfrm>
                      <a:off x="0" y="0"/>
                      <a:ext cx="5486400" cy="2933157"/>
                    </a:xfrm>
                    <a:prstGeom prst="rect"/>
                  </pic:spPr>
                </pic:pic>
              </a:graphicData>
            </a:graphic>
          </wp:inline>
        </w:drawing>
      </w:r>
    </w:p>
    <w:p>
      <w:pPr>
        <w:pStyle w:val="Heading5"/>
      </w:pPr>
      <w:r>
        <w:rPr>
          <w:rFonts w:ascii="Calibri" w:hAnsi="Calibri"/>
          <w:b/>
          <w:i/>
          <w:sz w:val="22"/>
        </w:rPr>
        <w:t>Biến việc bán một mảng kinh doanh thành dòng doanh thu định kỳ</w:t>
      </w:r>
    </w:p>
    <w:p>
      <w:pPr>
        <w:spacing w:after="80"/>
      </w:pPr>
      <w:r>
        <w:rPr>
          <w:b w:val="0"/>
          <w:i w:val="0"/>
        </w:rPr>
        <w:t>Một số công ty sẽ bán nhà máy sản xuất hoặc một đơn vị kinh doanh cho công ty khác, đồng thời ký kết một thỏa thuận mua lại sản phẩm từ đơn vị kinh doanh đã bán đó. Những giao dịch kiểu này rất phổ biến trong ngành công nghệ và thường được các công ty dùng để nhanh chóng "thuê ngoài" (outsource) một quy trình nội bộ. Ví dụ, một nhà sản xuất điện thoại di động quyết định không muốn tự làm pin nữa có thể bán bộ phận sản xuất pin của mình cho công ty khác. Đồng thời, vì nhà sản xuất điện thoại vẫn cần pin cho điện thoại của mình, hai công ty có thể ký thêm một thỏa thuận khác, trong đó nhà sản xuất điện thoại mua pin từ chính bộ phận mà mình vừa bán.</w:t>
      </w:r>
    </w:p>
    <w:p>
      <w:pPr>
        <w:spacing w:after="80"/>
      </w:pPr>
      <w:r>
        <w:rPr>
          <w:b w:val="0"/>
          <w:i w:val="0"/>
        </w:rPr>
        <w:t>Không có gì ngạc nhiên khi những giao dịch kiểu này — vốn trộn lẫn một sự kiện một lần (bán một mảng kinh doanh) với các hoạt động kinh doanh thường xuyên định kỳ (bán sản phẩm cho khách hàng) — lại tạo cơ hội cho ban lãnh đạo dùng các chiêu trò tài chính. Ví dụ, công ty điện thoại có thể chấp nhận bán mảng kinh doanh pin với giá thấp hơn nếu người mua cũng đồng ý cho họ một mức giá hời cho việc mua pin trong tương lai. Trong một kiểu giao dịch trộn lẫn khác, một công ty có thể bán một mảng kinh doanh với giá bị hạ thấp nếu người mua cũng đồng ý mua các hàng hóa khác từ người bán với giá bị đẩy lên cao.</w:t>
      </w:r>
    </w:p>
    <w:p>
      <w:pPr>
        <w:spacing w:after="80"/>
      </w:pPr>
      <w:r>
        <w:rPr>
          <w:b w:val="0"/>
          <w:i w:val="0"/>
        </w:rPr>
        <w:t xml:space="preserve">Hãy xem cấu trúc của một thương vụ tháng 11 năm 2006 giữa gã khổng lồ bán dẫn Intel Corporation và hãng sản xuất chip đồng hương Marvell Technology Group. Intel đồng ý bán một số tài sản thuộc mảng kinh doanh truyền thông và ứng dụng của mình cho Marvell. Đồng thời, Marvell đồng ý mua một số lượng tối thiểu tấm wafer bán dẫn (semiconductor wafer) từ Intel trong hai năm tiếp theo. Đọc kỹ phần mô tả giao dịch của Marvell sẽ phát hiện một điều kỳ lạ: Marvell đồng ý mua số wafer này từ Intel với mức giá bị </w:t>
      </w:r>
      <w:r>
        <w:rPr>
          <w:b w:val="0"/>
          <w:i/>
        </w:rPr>
        <w:t>đẩy lên cao</w:t>
      </w:r>
      <w:r>
        <w:rPr>
          <w:b w:val="0"/>
          <w:i w:val="0"/>
        </w:rPr>
        <w:t>. (Điều thú vị là Intel đã không tiết lộ điều này, có lẽ vì cho rằng số tiền đó không đáng kể.) Tại sao Marvell lại đồng ý trả giá cao hơn cho lượng hàng tồn kho này?</w:t>
      </w:r>
    </w:p>
    <w:p>
      <w:pPr>
        <w:spacing w:after="80"/>
      </w:pPr>
      <w:r>
        <w:rPr>
          <w:b w:val="0"/>
          <w:i w:val="0"/>
        </w:rPr>
        <w:t>PHẦN THẢO LUẬN TRONG MẪU 10-Q CỦA MARVELL VỀ THƯƠNG VỤ VỚI INTEL</w:t>
      </w:r>
    </w:p>
    <w:p>
      <w:pPr>
        <w:spacing w:after="80"/>
      </w:pPr>
      <w:r>
        <w:rPr>
          <w:b w:val="0"/>
          <w:i w:val="0"/>
        </w:rPr>
        <w:t xml:space="preserve">Cùng với việc mua lại mảng kinh doanh ICAP, Công ty đã ký một thỏa thuận cung ứng với Intel. Thỏa thuận cung ứng này buộc Công ty phải mua một số thành phẩm và wafer đã phân loại nhất định từ Intel theo một mức giá đã thỏa thuận trong một khoảng thời gian đã thỏa thuận. Khoảng thời gian thỏa thuận có thể khác nhau giữa thành phẩm và wafer đã phân loại. </w:t>
      </w:r>
      <w:r>
        <w:rPr>
          <w:b w:val="0"/>
          <w:i/>
        </w:rPr>
        <w:t>Giá mà Intel đưa ra cho Công ty cao hơn mức giá tương đương mà Công ty có thể tìm được trên thị trường trong gần như mọi trường hợp</w:t>
      </w:r>
      <w:r>
        <w:rPr>
          <w:b w:val="0"/>
          <w:i w:val="0"/>
        </w:rPr>
        <w:t>. Theo phương pháp kế toán mua lại (purchase accounting), Công ty đã ghi nhận một khoản nợ phải trả tại thời điểm ký hợp đồng, đại diện cho phần chênh lệch giữa giá của Intel và mức giá thị trường tương đương đối với những sản phẩm mà Công ty có nghĩa vụ theo hợp đồng. [Phần in nghiêng được thêm vào để nhấn mạnh]</w:t>
      </w:r>
    </w:p>
    <w:p>
      <w:pPr>
        <w:spacing w:after="80"/>
      </w:pPr>
      <w:r>
        <w:rPr>
          <w:b w:val="0"/>
          <w:i w:val="0"/>
        </w:rPr>
        <w:t>MẸO</w:t>
      </w:r>
    </w:p>
    <w:p>
      <w:pPr>
        <w:spacing w:after="80"/>
      </w:pPr>
      <w:r>
        <w:rPr>
          <w:b w:val="0"/>
          <w:i w:val="0"/>
        </w:rPr>
        <w:t>Hãy luôn xem xét công bố thông tin của cả hai bên về việc bán các mảng kinh doanh để nắm bắt rõ nhất bản chất kinh tế thực sự của giao dịch.</w:t>
      </w:r>
    </w:p>
    <w:p>
      <w:pPr>
        <w:spacing w:after="80"/>
      </w:pPr>
      <w:r>
        <w:rPr>
          <w:b w:val="0"/>
          <w:i w:val="0"/>
        </w:rPr>
        <w:t>Marvell chắc chắn sẽ không đồng ý trả giá cao hơn cho các khoản mua từ Intel trừ khi họ nhận lại được thứ gì đó có giá trị tương đương. Hãy nhớ rằng Marvell và Intel đã đàm phán việc bán tài sản và thỏa thuận cung ứng cùng một lúc. Để hiểu bản chất kinh tế thực sự của thỏa thuận này, chúng ta phải phân tích cả hai yếu tố của giao dịch cùng nhau.</w:t>
      </w:r>
    </w:p>
    <w:p>
      <w:pPr>
        <w:spacing w:after="80"/>
      </w:pPr>
      <w:r>
        <w:rPr>
          <w:b w:val="0"/>
          <w:i w:val="0"/>
        </w:rPr>
        <w:t>Về mặt kinh tế, sẽ hợp lý nếu tổng số tiền mặt mà Marvell trả cho cả mảng kinh doanh lẫn các sản phẩm trong tương lai tương ứng với giá trị mà Marvell nhận được từ cả mảng kinh doanh mua được lẫn các sản phẩm mua sau đó. Theo đó, nếu Marvell trả giá cao hơn cho các sản phẩm, thì ắt hẳn họ đã trả giá thấp hơn cho mảng kinh doanh. Nói cách khác, Intel có thể đã nhận ít tiền mặt trả trước hơn từ việc bán mảng kinh doanh để đổi lấy nhiều tiền mặt hơn về sau dưới dạng doanh thu từ bán sản phẩm. Điều này chắc chắn rất có lợi cho Intel, vì nhà đầu tư ấn tượng với một dòng doanh thu định kỳ hơn hẳn so với tiền mặt thu được từ việc bán một mảng kinh doanh.</w:t>
      </w:r>
    </w:p>
    <w:p>
      <w:pPr>
        <w:spacing w:after="80"/>
      </w:pPr>
      <w:r>
        <w:rPr>
          <w:b w:val="0"/>
          <w:i w:val="0"/>
        </w:rPr>
        <w:t>Tất nhiên, việc báo cáo tài chính của Marvell cũng được hưởng lợi từ việc trả ít hơn cho mảng kinh doanh và nhiều hơn cho các sản phẩm. (Trong Chương 7, chúng ta sẽ quay lại với Marvell và chỉ ra cách thỏa thuận này mang lại cho công ty cơ hội tùy ý điều chỉnh lợi nhuận của mình mỗi quý.)</w:t>
      </w:r>
    </w:p>
    <w:p>
      <w:pPr>
        <w:spacing w:after="80"/>
      </w:pPr>
      <w:r>
        <w:rPr>
          <w:b/>
          <w:i/>
        </w:rPr>
        <w:t>Coi chừng việc trộn lẫn bán một mảng kinh doanh với bán sản phẩm</w:t>
      </w:r>
      <w:r>
        <w:rPr>
          <w:b w:val="0"/>
          <w:i w:val="0"/>
        </w:rPr>
        <w:t xml:space="preserve"> Chắc chắn chiêu trò của Intel-Marvell không phải là hiện tượng chỉ riêng nước Mỹ. Ở bên kia Thái Bình Dương, tập đoàn công nghệ Nhật Bản Softbank cũng báo cáo những kết quả ấn tượng nhờ phương pháp hạch toán bán một mảng kinh doanh khác thường của mình. Cụ thể, có vẻ như thay vì đưa toàn bộ khoản lãi vào kỳ bán, Softbank đã hoãn lại một phần khoản lãi và dùng nó để làm lợi cho doanh thu và thu nhập của các kỳ sau.</w:t>
      </w:r>
    </w:p>
    <w:p>
      <w:pPr>
        <w:spacing w:after="80"/>
      </w:pPr>
      <w:r>
        <w:rPr>
          <w:b w:val="0"/>
          <w:i w:val="0"/>
        </w:rPr>
        <w:t>Vào tháng 12 năm 2005, Softbank bán mảng kinh doanh cho thuê modem của mình và đồng thời ký một thỏa thuận cung cấp một số dịch vụ cho người mua. Softbank nhận được tổng cộng 85 tỷ yên, chia khoản này giữa việc bán mảng kinh doanh và thỏa thuận dịch vụ, phân bổ 45 tỷ yên cho việc bán mảng kinh doanh và 40 tỷ yên còn lại cho doanh thu tương lai theo thỏa thuận dịch vụ. Bằng cách trộn lẫn việc bán tài sản với việc bán sản phẩm sau đó, Softbank, cũng như Intel, có thể báo cáo một khoản lãi một lần nhỏ hơn và một dòng doanh thu sản phẩm lớn hơn. Kết quả là nhà đầu tư có thể đã bị lừa để tin rằng doanh số của Softbank đang tăng nhanh hơn so với thực tế kinh tế bên dưới.</w:t>
      </w:r>
    </w:p>
    <w:p>
      <w:pPr>
        <w:spacing w:after="80"/>
      </w:pPr>
      <w:r>
        <w:rPr>
          <w:b/>
          <w:i/>
        </w:rPr>
        <w:t>Để ý những thay đổi trong chính sách kế toán nhằm đẩy nhanh việc ghi nhận thu nhập</w:t>
      </w:r>
      <w:r>
        <w:rPr>
          <w:b w:val="0"/>
          <w:i w:val="0"/>
        </w:rPr>
        <w:t xml:space="preserve"> Năm 2013, Dunkin' Brands có trụ sở tại Boston (bên nhượng quyền của Dunkin' Donuts và Baskin-Robbins) có được cú hích lợi nhuận từ một nguồn không ngờ tới. Giống như nhiều chuỗi bán lẻ khác, Dunkin' Donuts bán thẻ quà tặng nạp sẵn có thể dùng tại bất kỳ địa điểm nào trong hệ thống toàn quốc. Vào đầu năm, công ty có chính sách kế toán giả định rằng bất kỳ thẻ nào không được dùng trong năm năm thì được coi là đã mất, và số dư còn lại trên thẻ được ghi nhận là thu nhập sau 60 tháng không hoạt động. Tuy nhiên, đến quý hai năm 2013, ban lãnh đạo đã thay đổi cách làm, bắt đầu ghi nhận thu nhập cho phần tiền có khả năng sẽ không được dùng đến trên cơ sở </w:t>
      </w:r>
      <w:r>
        <w:rPr>
          <w:b w:val="0"/>
          <w:i/>
        </w:rPr>
        <w:t>liên tục</w:t>
      </w:r>
      <w:r>
        <w:rPr>
          <w:b w:val="0"/>
          <w:i w:val="0"/>
        </w:rPr>
        <w:t>, tính từ khi thẻ được dùng lần đầu. Thay đổi này có tác dụng đẩy nhanh việc ghi nhận những khoản lãi đó, mang lại cú hích đúng lúc cho thu nhập trên mỗi cổ phiếu được báo cáo. Hơn nữa, nó còn soi sáng cho nhà đầu tư thấy rằng ban lãnh đạo đã liều lĩnh thực hiện những thay đổi kế toán đầy mánh khóe để bù đắp cho mảng kinh doanh nhượng quyền đang yếu đi.</w:t>
      </w:r>
    </w:p>
    <w:p>
      <w:pPr>
        <w:spacing w:after="80"/>
      </w:pPr>
      <w:r>
        <w:rPr>
          <w:b w:val="0"/>
          <w:i w:val="0"/>
        </w:rPr>
        <w:t>Phần thứ hai của chương này minh họa những thủ thuật mà ban lãnh đạo có thể dùng để dịch chuyển thu nhập hoặc lỗ quanh các kỳ nhằm che mờ bất kỳ sự suy giảm nào trong lợi nhuận hoạt động định kỳ của công ty.</w:t>
      </w:r>
    </w:p>
    <w:p>
      <w:pPr>
        <w:pStyle w:val="Heading4"/>
      </w:pPr>
      <w:r>
        <w:rPr>
          <w:rFonts w:ascii="Calibri" w:hAnsi="Calibri"/>
          <w:b/>
          <w:i w:val="0"/>
          <w:sz w:val="23"/>
        </w:rPr>
        <w:t>2. Tăng thu nhập thông qua phân loại gây hiểu nhầm</w:t>
      </w:r>
    </w:p>
    <w:p>
      <w:pPr>
        <w:spacing w:after="80"/>
      </w:pPr>
      <w:r>
        <w:rPr>
          <w:b w:val="0"/>
          <w:i w:val="0"/>
        </w:rPr>
        <w:t>Khi đánh giá hiệu quả kinh doanh của một công ty, tất nhiên điều quan trọng là phải phân tích lợi nhuận tạo ra từ hoạt động thực tế của doanh nghiệp (thu nhập từ hoạt động kinh doanh). Lãi và lỗ từ lãi vay, bán tài sản, đầu tư và các nguồn khác không liên quan đến việc điều hành doanh nghiệp (thu nhập ngoài hoạt động kinh doanh) cũng quan trọng để phân tích — tuy nhiên, không phải trong việc đánh giá hiệu quả hoạt động của công ty. Một số công ty sẽ phân loại sai thu nhập hoặc lỗ và làm mờ ranh giới để đánh lừa nhà đầu tư nhằm khiến thu nhập từ hoạt động kinh doanh trông đẹp hơn.</w:t>
      </w:r>
    </w:p>
    <w:p>
      <w:pPr>
        <w:spacing w:after="80"/>
      </w:pPr>
      <w:r>
        <w:rPr>
          <w:b w:val="0"/>
          <w:i w:val="0"/>
        </w:rPr>
        <w:t xml:space="preserve">Mục này xác định ba kiểu phân loại trên báo cáo tài chính có thể thổi phồng thu nhập từ hoạt động kinh doanh (phần trên dòng kẻ): (1) chuyển </w:t>
      </w:r>
      <w:r>
        <w:rPr>
          <w:b w:val="0"/>
          <w:i/>
        </w:rPr>
        <w:t>chi phí</w:t>
      </w:r>
      <w:r>
        <w:rPr>
          <w:b w:val="0"/>
          <w:i w:val="0"/>
        </w:rPr>
        <w:t xml:space="preserve"> hoạt động kinh doanh bình thường (tức là "những thứ xấu") xuống phần ngoài hoạt động kinh doanh, (2) chuyển </w:t>
      </w:r>
      <w:r>
        <w:rPr>
          <w:b w:val="0"/>
          <w:i/>
        </w:rPr>
        <w:t>thu nhập</w:t>
      </w:r>
      <w:r>
        <w:rPr>
          <w:b w:val="0"/>
          <w:i w:val="0"/>
        </w:rPr>
        <w:t xml:space="preserve"> ngoài hoạt động kinh doanh hoặc không thường xuyên (tức là "những thứ tốt") lên phần Hoạt động kinh doanh, và (3) sử dụng các quyết định quản lý đáng ngờ liên quan đến phân loại Bảng cân đối kế toán để giúp đẩy những thứ xấu đi hoặc đưa những thứ tốt vào.</w:t>
      </w:r>
    </w:p>
    <w:p>
      <w:pPr>
        <w:pStyle w:val="Heading5"/>
      </w:pPr>
      <w:r>
        <w:rPr>
          <w:rFonts w:ascii="Calibri" w:hAnsi="Calibri"/>
          <w:b/>
          <w:i/>
          <w:sz w:val="22"/>
        </w:rPr>
        <w:t>Chuyển chi phí bình thường xuống dưới dòng kẻ</w:t>
      </w:r>
    </w:p>
    <w:p>
      <w:pPr>
        <w:spacing w:after="80"/>
      </w:pPr>
      <w:r>
        <w:rPr>
          <w:b w:val="0"/>
          <w:i w:val="0"/>
        </w:rPr>
        <w:t>Cách phổ biến nhất để chuyển chi phí hoạt động kinh doanh bình thường xuống dưới dòng kẻ là xóa sổ một lần các chi phí lẽ ra thường xuất hiện trong phần Hoạt động kinh doanh. Ví dụ, một công ty thực hiện khoản xóa sổ một lần đối với hàng tồn kho hoặc nhà xưởng và thiết bị sẽ thực chất chuyển các chi phí liên quan (tức là giá vốn hàng bán hoặc khấu hao) ra khỏi phần Hoạt động kinh doanh sang phần ngoài hoạt động kinh doanh và do đó, đẩy thu nhập từ hoạt động kinh doanh lên cao.</w:t>
      </w:r>
    </w:p>
    <w:p>
      <w:pPr>
        <w:spacing w:after="80"/>
      </w:pPr>
      <w:r>
        <w:rPr>
          <w:b/>
          <w:i/>
        </w:rPr>
        <w:t>Hãy cảnh giác với những công ty liên tục ghi nhận "chi phí tái cơ cấu"</w:t>
      </w:r>
      <w:r>
        <w:rPr>
          <w:b w:val="0"/>
          <w:i w:val="0"/>
        </w:rPr>
        <w:t xml:space="preserve"> Các công ty đang gặp khó khăn thường đưa ra các kế hoạch tái cơ cấu, trong đó họ phát sinh các chi phí không thường xuyên. Ví dụ, nếu một công ty đóng cửa một trong các văn phòng của mình, họ có thể phải trả trợ cấp thôi việc cho nhân viên hoặc một khoản phí để chấm dứt hợp đồng thuê văn phòng. Các công ty thường tách các chi phí liên quan đến kế hoạch tái cơ cấu ra khỏi thu nhập từ hoạt động kinh doanh và trình bày chúng ở dưới dòng kẻ. Nếu được thực hiện đúng cách, cách xử lý này hữu ích cho nhà đầu tư, vì nó cung cấp cái nhìn sâu sắc về hiệu quả hoạt động thường xuyên của công ty. Nói chung, với việc ban lãnh đạo công bố đầy đủ về các chi phí tái cơ cấu, nhà đầu tư sẽ được trang bị tốt hơn để đánh giá các hoạt động thường xuyên quan trọng hơn của một công ty.</w:t>
      </w:r>
    </w:p>
    <w:p>
      <w:pPr>
        <w:spacing w:after="80"/>
      </w:pPr>
      <w:r>
        <w:rPr>
          <w:b w:val="0"/>
          <w:i w:val="0"/>
        </w:rPr>
        <w:t>Tuy nhiên, một số công ty lạm dụng cách trình bày này bằng cách ghi nhận chi phí "tái cơ cấu" trong hầu như mọi kỳ. Nhà đầu tư nên nhìn nhận những chi phí này với sự hoài nghi, vì công ty có thể đang gộp các chi phí hoạt động kinh doanh bình thường vào những chi phí này và cố gắng làm cho chúng trông như chỉ mang tính một lần. Ví dụ, nhà cung cấp thiết bị mạng viễn thông Alcatel đã ghi nhận chi phí tái cơ cấu dưới dòng kẻ trong gần như mọi quý kể từ đầu thập niên 1990. Hàng năm, những chi phí này lên tới hàng trăm triệu đô la, và đôi khi hàng tỷ đô la. Whirlpool cũng ghi nhận chi phí tái cơ cấu gần như mỗi năm kể từ 1990 cho đến nay, khiến SEC, trong một lá thư trao đổi vào tháng 10 năm 2016 gửi công ty, phải chất vấn ban lãnh đạo: "Xin hãy giải thích cho chúng tôi tại sao đây không phải là những chi phí tiền mặt bình thường, thường xuyên và cần thiết để điều hành doanh nghiệp của quý vị."</w:t>
      </w:r>
    </w:p>
    <w:p>
      <w:pPr>
        <w:spacing w:after="80"/>
      </w:pPr>
      <w:r>
        <w:rPr>
          <w:b/>
          <w:i/>
        </w:rPr>
        <w:t>Hãy cảnh giác với những công ty chuyển lỗ sang hoạt động đã chấm dứt</w:t>
      </w:r>
      <w:r>
        <w:rPr>
          <w:b w:val="0"/>
          <w:i w:val="0"/>
        </w:rPr>
        <w:t xml:space="preserve"> Một thủ thuật dễ dàng có thể cải thiện lợi nhuận hoạt động kinh doanh của một công ty như có phép màu bắt đầu bằng việc công bố kế hoạch bán đi một bộ phận thua lỗ. Hãy xem xét một công ty đang gặp khó khăn với ba bộ phận tạo ra kết quả hoạt động kinh doanh như sau: Bộ phận A, thu nhập $100,000; Bộ phận B, thu nhập $250,000; và Bộ phận C, </w:t>
      </w:r>
      <w:r>
        <w:rPr>
          <w:b w:val="0"/>
          <w:i/>
        </w:rPr>
        <w:t>lỗ</w:t>
      </w:r>
      <w:r>
        <w:rPr>
          <w:b w:val="0"/>
          <w:i w:val="0"/>
        </w:rPr>
        <w:t xml:space="preserve"> $400,000. Công ty sẽ báo cáo khoản lỗ ròng $50,000 — trừ khi nó đã quyết định đưa Bộ phận C ra rao bán vào đầu kỳ và hạch toán nó như một "hoạt động đã chấm dứt". Khi làm vậy, toàn bộ khoản lỗ $400,000 đó sẽ được chuyển xuống dưới dòng kẻ và rất có thể bị nhà đầu tư bỏ qua. Như có phép màu, mặc dù công ty vẫn đang vận hành cả ba bộ phận với khoản lỗ tổng cộng $50,000, nó sẽ báo cáo thu nhập từ hoạt động kinh doanh trên tiêu đề là $350,000 và một khoản lỗ "không quan trọng" $400,000 ở dưới dòng kẻ. Chúng tôi coi thủ thuật này không khác gì một tay golf gian lận chỉ đếm những cú đánh mà anh ta thích và bỏ qua những cú đánh rơi xuống nước hoặc hoàn toàn ra ngoài sân. Với cách tiếp cận đó, mọi tay golf đều sẽ đạt điểm dưới chuẩn (under par).</w:t>
      </w:r>
    </w:p>
    <w:p>
      <w:pPr>
        <w:spacing w:after="80"/>
      </w:pPr>
      <w:r>
        <w:rPr>
          <w:b w:val="0"/>
          <w:i w:val="0"/>
        </w:rPr>
        <w:t>Hãy xem cách Sabre Corporation khéo léo thổi phồng thu nhập từ hoạt động kinh doanh tiếp diễn của mình ngay trước khi bán bộ phận Travelocity cho Expedia. Khi Sabre quyết định bán mảng kinh doanh này, theo yêu cầu của GAAP, nó đã chuyển toàn bộ doanh thu và chi phí của mảng kinh doanh thua lỗ này sang "hoạt động đã chấm dứt". Khi làm vậy, Sabre đã thổi phồng một cách nhân tạo thu nhập từ hoạt động kinh doanh tiếp diễn của mình vì mảng kinh doanh trước đây đã làm giảm thu nhập của công ty (Travelocity) được xử lý như thể nó không còn là một phần trong hoạt động kinh doanh của Sabre nữa. Tất nhiên, mảng kinh doanh thua lỗ này vẫn chưa được bán, nhưng nó gần như bị nhà đầu tư bỏ qua. Nhà đầu tư tinh ý có thể đã nhận ra rằng Sabre đã tăng việc phân bổ chi phí trong quá khứ cho phân khúc Travelocity sau khi nó được chỉ định là hoạt động đã chấm dứt, khiến các phân khúc kinh doanh còn lại có chi phí thấp hơn và lợi nhuận cao hơn.</w:t>
      </w:r>
    </w:p>
    <w:p>
      <w:pPr>
        <w:spacing w:after="80"/>
      </w:pPr>
      <w:r>
        <w:rPr>
          <w:b w:val="0"/>
          <w:i w:val="0"/>
        </w:rPr>
        <w:t>Cụ thể, trong hồ sơ S-1 của mình (trước khi trang web du lịch trực tuyến được chỉ định là "đã chấm dứt"), phân khúc Travelocity báo cáo chi phí bán hàng, chi phí chung và chi phí quản lý là $331 triệu cho năm 2013. Sau đó, khi Travelocity được tách ra như một mảng kinh doanh đã chấm dứt, số chi phí bán hàng, chi phí chung và chi phí quản lý được loại khỏi hoạt động kinh doanh tiếp diễn đã tăng vọt lên $389 triệu cho cùng kỳ năm 2013. Việc phân bổ chi phí cao hơn này có tác dụng khiến phần còn lại của hoạt động kinh doanh trông có vẻ sinh lời hơn. Đúng như dự đoán, sau khi thoái vốn, chi phí hoạt động kinh doanh được báo cáo của Sabre đã tăng trở lại mức bình thường.</w:t>
      </w:r>
    </w:p>
    <w:p>
      <w:pPr>
        <w:pStyle w:val="Heading5"/>
      </w:pPr>
      <w:r>
        <w:rPr>
          <w:rFonts w:ascii="Calibri" w:hAnsi="Calibri"/>
          <w:b/>
          <w:i/>
          <w:sz w:val="22"/>
        </w:rPr>
        <w:t>Chuyển thu nhập ngoài hoạt động kinh doanh và không thường xuyên lên trên dòng kẻ</w:t>
      </w:r>
    </w:p>
    <w:p>
      <w:pPr>
        <w:spacing w:after="80"/>
      </w:pPr>
      <w:r>
        <w:rPr>
          <w:b w:val="0"/>
          <w:i w:val="0"/>
        </w:rPr>
        <w:t>Như chúng tôi đã chỉ ra, việc gộp các chi phí hoạt động kinh doanh bình thường vào một khoản chi phí tái cơ cấu sẽ là một trò chơi tương đối dễ thực hiện. Ban lãnh đạo chỉ cần thuyết phục kiểm toán viên rằng việc xóa sổ sẽ tạo ra thu nhập thận trọng hơn. Ngược lại, việc chuyển thu nhập ngoài hoạt động kinh doanh lên trên dòng kẻ thì phức tạp hơn một chút và đôi khi có thể khó hơn để ban lãnh đạo qua mặt được những nhà đầu tư cẩn trọng. Nhưng điều đó sẽ không ngăn các công ty thử. Như chúng tôi đã minh họa với IBM, việc thổi phồng thu nhập từ hoạt động kinh doanh bằng cách bao gồm một khoản lãi một lần từ việc bán một mảng kinh doanh có thể đánh lừa nhà đầu tư về sức khỏe kinh tế thực sự của một công ty.</w:t>
      </w:r>
    </w:p>
    <w:p>
      <w:pPr>
        <w:spacing w:after="80"/>
      </w:pPr>
      <w:r>
        <w:rPr>
          <w:b/>
          <w:i/>
        </w:rPr>
        <w:t>Hãy cảnh giác với những công ty tính thu nhập từ đầu tư vào doanh thu</w:t>
      </w:r>
      <w:r>
        <w:rPr>
          <w:b w:val="0"/>
          <w:i w:val="0"/>
        </w:rPr>
        <w:t xml:space="preserve"> Nhà đầu tư nên đặc biệt cảnh giác khi các công ty tính các khoản lãi ngoài hoạt động kinh doanh hoặc thu nhập từ đầu tư vào doanh thu. Boston Chicken, bên nhượng quyền của chuỗi nhà hàng Boston Market, đã ngụy trang hoạt động kinh doanh đang suy thoái của mình bằng cách tính thu nhập từ lãi vay và các khoản phí khác nhau thu từ các bên nhận nhượng quyền vào doanh thu. Mặc dù việc coi thu nhập từ lãi vay là doanh thu rõ ràng sẽ phù hợp với các ngân hàng và tổ chức tài chính khác, nhưng điều đó chắc chắn nghe có vẻ hơi bất thường đối với một nhà hàng.</w:t>
      </w:r>
    </w:p>
    <w:p>
      <w:pPr>
        <w:spacing w:after="80"/>
      </w:pPr>
      <w:r>
        <w:rPr>
          <w:b w:val="0"/>
          <w:i w:val="0"/>
        </w:rPr>
        <w:t>Việc Boston Chicken tính thu nhập từ đầu tư vào doanh thu đã khéo léo che giấu tình hình tài chính thảm hại của mình. Kết quả là, nhiều nhà đầu tư đã không nhận ra rằng Boston Chicken đã thua lỗ trong hoạt động kinh doanh nhà hàng cốt lõi của mình. Thật vậy, toàn bộ lợi nhuận của công ty đến từ các hoạt động phi cốt lõi, chẳng hạn như thu nhập từ lãi vay hoặc các khoản phí dịch vụ khác nhau thu từ chính các bên nhận nhượng quyền này. Một cảnh báo khổng lồ (nhưng dường như bị bỏ qua) trong Báo cáo Thường niên năm 1996 là các nhà hàng do bên nhận nhượng quyền sở hữu đang thua lỗ rất nhiều. Các khoản lỗ đã tăng lên $156.5 triệu trong năm 1996 từ $148.3 triệu trong năm trước đó.</w:t>
      </w:r>
    </w:p>
    <w:p>
      <w:pPr>
        <w:spacing w:after="80"/>
      </w:pPr>
      <w:r>
        <w:rPr>
          <w:b w:val="0"/>
          <w:i w:val="0"/>
        </w:rPr>
        <w:t xml:space="preserve">Với việc các bên nhận nhượng quyền thua lỗ quá nhiều, nhà đầu tư lẽ ra phải tự hỏi làm sao Boston Chicken, bên nhượng quyền và chủ sở hữu một số nhà hàng, lại có thể báo cáo lợi nhuận mạnh mẽ đến vậy. Một chút đào sâu sẽ trả lời được câu hỏi đó. Nguồn doanh thu và thu nhập từ hoạt động kinh doanh chính không phải là khách hàng nhà hàng mà chính là </w:t>
      </w:r>
      <w:r>
        <w:rPr>
          <w:b w:val="0"/>
          <w:i/>
        </w:rPr>
        <w:t>các bên nhận nhượng quyền</w:t>
      </w:r>
      <w:r>
        <w:rPr>
          <w:b w:val="0"/>
          <w:i w:val="0"/>
        </w:rPr>
        <w:t>. Boston Chicken ban đầu huy động vốn (vốn chủ sở hữu và nợ) từ thị trường và cho các bên nhận nhượng quyền vay tiền. Khi các bên nhận nhượng quyền bắt đầu trả nợ, Boston Chicken ghi nhận một lượng đáng kể thu nhập từ lãi vay và các khoản phí khác và phân loại những dòng tiền vào đó là doanh thu. Đáng lo ngại thay, doanh thu và thu nhập phụ trợ này đang trở thành phần chiếm ưu thế trong thu nhập từ hoạt động kinh doanh được báo cáo của công ty. Vì thu nhập này đã được gộp chung với doanh thu bán hàng nhà hàng, việc phát hiện rất khó khăn, nhưng không phải là bất khả thi đối với những nhà đầu tư cẩn trọng.</w:t>
      </w:r>
    </w:p>
    <w:p>
      <w:pPr>
        <w:spacing w:after="80"/>
      </w:pPr>
      <w:r>
        <w:rPr>
          <w:b/>
          <w:i/>
        </w:rPr>
        <w:t>Hãy nghi ngờ thu nhập từ hoạt động kinh doanh bị thổi phồng liên quan đến các công ty con</w:t>
      </w:r>
      <w:r>
        <w:rPr>
          <w:b w:val="0"/>
          <w:i w:val="0"/>
        </w:rPr>
        <w:t xml:space="preserve"> Các công ty có thể tạo ra mức tăng trưởng doanh thu và thu nhập từ hoạt động kinh doanh mạnh mẽ gây hiểu nhầm chỉ đơn giản bằng cách hưởng lợi từ một trong những điểm kỳ quặc của kế toán hợp nhất. Hãy xem cách hạch toán nếu một công ty quyết định thành lập một số liên doanh do mình nắm quyền kiểm soát, sở hữu 60 phần trăm mỗi liên doanh. Các quy tắc kế toán yêu cầu các đơn vị này phải được hợp nhất và "công ty mẹ" phải báo cáo toàn bộ doanh thu và chi phí hoạt động kinh doanh như thu nhập từ hoạt động kinh doanh (tức là ở trên dòng kẻ) như thể đó là của chính mình; 40 phần trăm do người khác sở hữu sẽ được trừ đi sau đó trên Báo cáo Thu nhập (được trình bày ở dưới dòng kẻ). Hãy xem xét tình huống giả định này, giả sử một công ty con có tổng doanh thu $1 triệu và tổng chi phí $400,000. Theo các quy tắc kế toán, công ty mẹ sở hữu 60 phần trăm công ty con vẫn báo cáo 100 phần trăm doanh thu và chi phí hoạt động kinh doanh, tức là lợi nhuận hoạt động kinh doanh $600,000. Vì nó sở hữu không phải 100 mà là 60 phần trăm, phần chênh lệch 40 phần trăm, tức là $240,000 (40 phần trăm của $600,000), được trừ ở dưới dòng kẻ. Do đó, nhà đầu tư sẽ thấy lợi nhuận hoạt động kinh doanh là $600,000, chứ không phải lợi nhuận kinh tế thực là $360,000 (hay 60 phần trăm của $600,000), vốn sẽ ít được chú ý hơn. Có gì đáng ngạc nhiên khi có quá nhiều công ty con được sở hữu 51 phần trăm? Chắc chắn, việc bao gồm 100 phần trăm doanh thu ở trên dòng kẻ và trừ đi 49 phần trăm lợi nhuận thuộc sở hữu của người khác ở dưới dòng kẻ có vẻ là một kết quả hấp dẫn vô cùng.</w:t>
      </w:r>
    </w:p>
    <w:p>
      <w:pPr>
        <w:pStyle w:val="Heading5"/>
      </w:pPr>
      <w:r>
        <w:rPr>
          <w:rFonts w:ascii="Calibri" w:hAnsi="Calibri"/>
          <w:b/>
          <w:i/>
          <w:sz w:val="22"/>
        </w:rPr>
        <w:t>Sử dụng sự tùy ý trong phân loại Bảng cân đối kế toán để thổi phồng thu nhập hoạt động</w:t>
      </w:r>
    </w:p>
    <w:p>
      <w:pPr>
        <w:spacing w:after="80"/>
      </w:pPr>
      <w:r>
        <w:rPr>
          <w:b w:val="0"/>
          <w:i w:val="0"/>
        </w:rPr>
        <w:t>Phần cuối của mục này bàn về cách các công ty có thể tạo ra thu nhập hấp dẫn một cách gây nhầm lẫn bằng việc đẩy lỗ sang hoặc rút thu nhập từ Bảng cân đối kế toán.</w:t>
      </w:r>
    </w:p>
    <w:p>
      <w:pPr>
        <w:spacing w:after="80"/>
      </w:pPr>
      <w:r>
        <w:rPr>
          <w:b w:val="0"/>
          <w:i w:val="0"/>
        </w:rPr>
        <w:t>Nếu ban điều hành của một công ty tin rằng họ có ảnh hưởng đáng kể đối với một công ty con hoặc một thực thể khác (nhưng không kiểm soát nó), thì một phần tương ứng trong thu nhập hoặc lỗ của thực thể đó nên được đưa vào Báo cáo kết quả kinh doanh (theo phương pháp vốn chủ sở hữu trong kế toán). Ngược lại, nếu công ty không có ảnh hưởng như vậy, thì tài khoản trên Bảng cân đối kế toán liên quan đến liên doanh chỉ đơn giản được điều chỉnh định kỳ theo giá trị hợp lý. Do đó, cơ hội để gian lận nhan nhản đối với những người trong ban điều hành muốn đẩy thu nhập lên Báo cáo kết quả kinh doanh bằng cách khẳng định rằng họ có ảnh hưởng đó trong những giai đoạn thu nhập từ công ty con mạnh, hoặc đẩy lỗ sang Bảng cân đối kế toán bằng cách tuyên bố rằng không có ảnh hưởng đáng kể nào khi hoạt động của liên doanh yếu hơn.</w:t>
      </w:r>
    </w:p>
    <w:p>
      <w:pPr>
        <w:spacing w:after="80"/>
      </w:pPr>
      <w:r>
        <w:rPr>
          <w:b w:val="0"/>
          <w:i w:val="0"/>
        </w:rPr>
        <w:t>Viên nang kế toán: Kế toán các khoản đầu tư vào công ty khác</w:t>
      </w:r>
    </w:p>
    <w:p>
      <w:pPr>
        <w:spacing w:after="80"/>
      </w:pPr>
      <w:r>
        <w:rPr>
          <w:b w:val="0"/>
          <w:i w:val="0"/>
        </w:rPr>
        <w:t xml:space="preserve">Đối với một khoản đầu tư nhỏ vào một công ty (thường dưới 20 phần trăm), chủ sở hữu trình bày khoản đầu tư theo giá trị hợp lý trên Bảng cân đối kế toán của mình. Nếu khoản đầu tư được xếp loại là </w:t>
      </w:r>
      <w:r>
        <w:rPr>
          <w:b w:val="0"/>
          <w:i/>
        </w:rPr>
        <w:t>chứng khoán kinh doanh</w:t>
      </w:r>
      <w:r>
        <w:rPr>
          <w:b w:val="0"/>
          <w:i w:val="0"/>
        </w:rPr>
        <w:t xml:space="preserve">, những thay đổi về giá trị hợp lý được phản ánh trên Báo cáo kết quả kinh doanh. Nếu thay vào đó nó được xếp loại là </w:t>
      </w:r>
      <w:r>
        <w:rPr>
          <w:b w:val="0"/>
          <w:i/>
        </w:rPr>
        <w:t>sẵn sàng để bán</w:t>
      </w:r>
      <w:r>
        <w:rPr>
          <w:b w:val="0"/>
          <w:i w:val="0"/>
        </w:rPr>
        <w:t>, những thay đổi về giá trị hợp lý được trình bày như một khoản bù trừ vào vốn chủ sở hữu, không ảnh hưởng đến lợi nhuận (trừ khi có suy giảm giá trị vĩnh viễn).</w:t>
      </w:r>
    </w:p>
    <w:p>
      <w:pPr>
        <w:spacing w:after="80"/>
      </w:pPr>
      <w:r>
        <w:rPr>
          <w:b w:val="0"/>
          <w:i w:val="0"/>
        </w:rPr>
        <w:t>Đối với một khoản đầu tư cỡ trung bình vào một công ty (thường từ 20 đến 50 phần trăm), chủ sở hữu báo cáo phần chia theo tỷ lệ của mình trong thu nhập của khoản đầu tư như một dòng duy nhất trên Báo cáo kết quả kinh doanh. Đây được gọi là “phương pháp vốn chủ sở hữu”.</w:t>
      </w:r>
    </w:p>
    <w:p>
      <w:pPr>
        <w:spacing w:after="80"/>
      </w:pPr>
      <w:r>
        <w:rPr>
          <w:b w:val="0"/>
          <w:i w:val="0"/>
        </w:rPr>
        <w:t>Đối với một khoản đầu tư lớn vào một công ty (thường trên 50 phần trăm), chủ sở hữu hợp nhất toàn bộ báo cáo tài chính của khoản đầu tư vào báo cáo của chính mình. Đây được gọi là “hợp nhất”.</w:t>
      </w:r>
    </w:p>
    <w:p>
      <w:pPr>
        <w:pStyle w:val="Heading5"/>
      </w:pPr>
      <w:r>
        <w:rPr>
          <w:rFonts w:ascii="Calibri" w:hAnsi="Calibri"/>
          <w:b/>
          <w:i/>
          <w:sz w:val="22"/>
        </w:rPr>
        <w:t>Enron thổi phồng thu nhập hoạt động bằng cách chuyển lỗ từ các liên doanh sang Bảng cân đối kế toán</w:t>
      </w:r>
    </w:p>
    <w:p>
      <w:pPr>
        <w:spacing w:after="80"/>
      </w:pPr>
      <w:r>
        <w:rPr>
          <w:b w:val="0"/>
          <w:i w:val="0"/>
        </w:rPr>
        <w:t>Ban điều hành tại Enron có lẽ hiểu rõ hơn bất kỳ ai về lợi ích của việc sử dụng các liên doanh không hợp nhất để đẩy nợ và lỗ đi nơi khác. Vào giữa những năm 1990, Enron bắt đầu xây dựng một loạt liên doanh mới, những liên doanh này sẽ cần bơm vốn khổng lồ và có thể sẽ tạo ra lỗ lớn trong những năm đầu. Ban điều hành chắc chắn đã cân nhắc tác động có thể gây tổn hại của việc đưa nợ vào Bảng cân đối kế toán và những khoản lỗ lớn vào Báo cáo kết quả kinh doanh. Enron biết rằng các bên cho vay và các tổ chức xếp hạng tín dụng sẽ tái mặt nếu nó phơi ra những khoản vay phải trả phình to, và rằng các nhà đầu tư sẽ không tán thành những khoản lỗ lớn cùng sự pha loãng thu nhập đến từ việc huy động vốn cổ phần. Vì những hình thức huy động vốn truyền thống này có vẻ rắc rối, Enron đã phát triển một chiến lược có phần độc đáo và chắc chắn rất phi chính thống. Nó tạo ra hàng nghìn quan hệ đối tác (bề ngoài là theo các quy tắc kế toán) mà nó hy vọng sẽ không bị hợp nhất và, kết quả là, sẽ giữ toàn bộ khoản nợ mới này ngoài Bảng cân đối kế toán của mình. Hơn nữa, Enron tin rằng cấu trúc phức tạp này cũng sẽ giúp che giấu những khoản lỗ kinh tế dự kiến (hoặc, bất cứ khi nào có thể, kéo về các khoản lãi) từ những liên doanh ở giai đoạn đầu này.</w:t>
      </w:r>
    </w:p>
    <w:p>
      <w:pPr>
        <w:spacing w:after="80"/>
      </w:pPr>
      <w:r>
        <w:rPr>
          <w:b w:val="0"/>
          <w:i w:val="0"/>
        </w:rPr>
        <w:t>Thú vị thay, số vốn mà Enron góp vào một số liên doanh này hóa ra chẳng gì khác ngoài cổ phiếu của chính nó. Trong một số trường hợp, bản thân các quan hệ đối tác thậm chí còn nắm giữ cổ phiếu Enron trong danh mục đầu tư của mình. Khi giá cổ phiếu của nó tăng vọt theo thời gian, giá trị tài sản của liên doanh cũng tăng theo, cũng như phần vốn góp của chính Enron trong các quan hệ đối tác này. Thủ thuật này cho phép Enron ghi nhận khoảng 85 triệu đô-la thu nhập chỉ đơn giản vì giá cổ phiếu của chính nó tăng trong một thị trường tăng giá tuyệt vời.</w:t>
      </w:r>
    </w:p>
    <w:p>
      <w:pPr>
        <w:spacing w:after="80"/>
      </w:pPr>
      <w:r>
        <w:rPr>
          <w:b w:val="0"/>
          <w:i w:val="0"/>
        </w:rPr>
        <w:t>Vậy là giá cổ phiếu tăng nhanh chóng của Enron đã trở thành “liều thuốc” thúc đẩy giá trị các phần vốn góp trong quan hệ đối tác và thu nhập của nó. Chỉ trong một giai đoạn, Enron đã tạo ra tới 126 triệu đô-la từ một liên doanh. Kỳ lạ thay, khi cổ phiếu bắt đầu lao dốc nhanh chóng, Enron hẳn đã mắc chứng mất trí nhớ trầm trọng và đơn giản là quên báo cáo khoản lỗ 90 triệu đô-la phát sinh cho các cổ đông. Thay vào đó, Enron tiện thể tuyên bố rằng kết quả vẫn “không hợp nhất” và, tất nhiên, không được đưa vào Báo cáo kết quả kinh doanh. Vậy là theo luật chơi của Enron, trên cùng một phương tiện đầu tư, các khoản lãi được đưa vào còn các khoản lỗ thì bị giấu khỏi tầm nhìn của nhà đầu tư. Nói cách khác, với Enron thì đó là—ngửa thì tôi thắng, sấp thì tôi vẫn thắng! Chà, tất cả chúng ta đều biết câu chuyện đó kết thúc thế nào.</w:t>
      </w:r>
    </w:p>
    <w:p>
      <w:pPr>
        <w:pStyle w:val="Heading3"/>
      </w:pPr>
      <w:r>
        <w:rPr>
          <w:rFonts w:ascii="Calibri" w:hAnsi="Calibri"/>
          <w:b/>
          <w:i w:val="0"/>
          <w:sz w:val="26"/>
        </w:rPr>
        <w:t>Nhìn về phía trước</w:t>
      </w:r>
    </w:p>
    <w:p>
      <w:pPr>
        <w:spacing w:after="80"/>
      </w:pPr>
      <w:r>
        <w:rPr>
          <w:b w:val="0"/>
          <w:i w:val="0"/>
        </w:rPr>
        <w:t>Giờ chúng ta có thể cùng nhau lấy lại hơi thở trong giây lát và ngẫm nghĩ, vì chúng ta đã đến một chặng quan trọng của cuốn sách. Kết thúc chương này đánh dấu việc hoàn thành chương thứ ba trong số ba chương tập trung vào các kỹ thuật thổi phồng lợi nhuận kỳ hiện tại bằng cách ghi nhận quá nhiều doanh thu hoặc thu nhập khác, chẳng hạn như các khoản lãi một lần từ các sự kiện hoặc từ những đánh giá đáng ngờ của ban điều hành.</w:t>
      </w:r>
    </w:p>
    <w:p>
      <w:pPr>
        <w:spacing w:after="80"/>
      </w:pPr>
      <w:r>
        <w:rPr>
          <w:b w:val="0"/>
          <w:i w:val="0"/>
        </w:rPr>
        <w:t>Hai chương tiếp theo hoàn tất bài học về thổi phồng lợi nhuận, nhưng chúng tập trung vào việc báo cáo quá ít chi phí. Chương 6 (“Thủ thuật thao túng lợi nhuận số 4: Chuyển chi phí hiện tại sang một kỳ sau”) cho thấy cách các chi phí có thể bị giấu trên Bảng cân đối kế toán và, kết quả là, được chuyển sang một kỳ sau. Chương 7 (“Thủ thuật thao túng lợi nhuận số 5: Sử dụng các kỹ thuật khác để che giấu chi phí hoặc lỗ”) mô tả những chiêu trò để giữ chi phí ngoài tầm nhìn của nhà đầu tư hôm nay và, trong một số trường hợp, mãi mãi.</w:t>
      </w:r>
    </w:p>
    <w:p>
      <w:pPr>
        <w:pStyle w:val="Heading2"/>
      </w:pPr>
      <w:r>
        <w:rPr>
          <w:rFonts w:ascii="Calibri" w:hAnsi="Calibri"/>
          <w:b/>
          <w:i w:val="0"/>
          <w:sz w:val="32"/>
        </w:rPr>
        <w:t>6</w:t>
      </w:r>
    </w:p>
    <w:p>
      <w:pPr>
        <w:pStyle w:val="Heading2"/>
      </w:pPr>
      <w:r>
        <w:rPr>
          <w:rFonts w:ascii="Calibri" w:hAnsi="Calibri"/>
          <w:b/>
          <w:i w:val="0"/>
          <w:sz w:val="32"/>
        </w:rPr>
        <w:t>Thủ thuật thao túng lợi nhuận số 4: Chuyển chi phí hiện tại sang một kỳ sau</w:t>
      </w:r>
    </w:p>
    <w:p>
      <w:pPr>
        <w:spacing w:after="80"/>
      </w:pPr>
      <w:r>
        <w:rPr>
          <w:b w:val="0"/>
          <w:i w:val="0"/>
        </w:rPr>
        <w:t xml:space="preserve">Điệu Texas two-step là một điệu nhảy đồng quê và miền Tây sôi động được bộ phim </w:t>
      </w:r>
      <w:r>
        <w:rPr>
          <w:b w:val="0"/>
          <w:i/>
        </w:rPr>
        <w:t>Urban Cowboy</w:t>
      </w:r>
      <w:r>
        <w:rPr>
          <w:b w:val="0"/>
          <w:i w:val="0"/>
        </w:rPr>
        <w:t xml:space="preserve"> năm 1980 làm nên tên tuổi. Từ một điệu nhảy nhà kho đơn giản, phiên bản two-step được nhảy ngày nay đã phát triển để bao gồm cả những động tác vay mượn từ fox-trot và swing. Các vũ công xoay tròn khắp sàn và thường xuyên đổi bạn nhảy, mang lại niềm vui giải trí tuyệt vời cho cả những người bạn nhảy lẫn người xem.</w:t>
      </w:r>
    </w:p>
    <w:p>
      <w:pPr>
        <w:spacing w:after="80"/>
      </w:pPr>
      <w:r>
        <w:rPr>
          <w:b w:val="0"/>
          <w:i w:val="0"/>
        </w:rPr>
        <w:t xml:space="preserve">Các công ty cũng hạch toán chi phí và khoản chi tiêu của mình bằng một điệu nhảy kế toán hai bước tương tự. Bước 1 diễn ra vào thời điểm phát sinh khoản chi — khi chi phí đã được trả, nhưng lợi ích liên quan thì chưa nhận được. Ở Bước 1, khoản chi này đại diện cho một </w:t>
      </w:r>
      <w:r>
        <w:rPr>
          <w:b w:val="0"/>
          <w:i/>
        </w:rPr>
        <w:t>lợi ích tương lai</w:t>
      </w:r>
      <w:r>
        <w:rPr>
          <w:b w:val="0"/>
          <w:i w:val="0"/>
        </w:rPr>
        <w:t xml:space="preserve"> của công ty và do đó được ghi nhận trên Bảng cân đối kế toán như một tài sản. Bước 2 xảy ra khi lợi ích được nhận về. Lúc này, chi phí nên được chuyển từ Bảng cân đối kế toán sang Báo cáo kết quả kinh doanh và ghi nhận như một khoản chi phí.</w:t>
      </w:r>
    </w:p>
    <w:p>
      <w:pPr>
        <w:spacing w:after="80"/>
      </w:pPr>
      <w:r>
        <w:rPr>
          <w:b w:val="0"/>
          <w:i w:val="0"/>
        </w:rPr>
        <w:t>Điệu nhảy kế toán hai bước này được nhảy ở những nhịp độ khác nhau, tùy thuộc vào việc chi phí đó gắn với một lợi ích có tầm nhìn dài hạn hay ngắn hạn. Những chi phí mang lại lợi ích dài hạn đôi khi đòi hỏi một điệu nhảy chậm hơn, trong đó chi phí vẫn nằm trên Bảng cân đối kế toán và được ghi nhận dần dần thành chi phí (ví dụ: thiết bị có thời gian sử dụng hữu ích 20 năm). Những chi phí mang lại lợi ích ngắn hạn lại đòi hỏi một điệu nhảy nhanh, trong đó hai bước gần như diễn ra đồng thời. Những chi phí này không lưu lại chút nào trên Bảng cân đối kế toán, mà thay vào đó được ghi nhận thẳng thành chi phí (ví dụ: hầu hết các chi phí hoạt động thông thường, như tiền lương và tiền điện).</w:t>
      </w:r>
    </w:p>
    <w:p>
      <w:pPr>
        <w:spacing w:after="80"/>
      </w:pPr>
      <w:r>
        <w:rPr>
          <w:b w:val="0"/>
          <w:i w:val="0"/>
        </w:rPr>
        <w:t>Các công ty có thể tự mình tác động lên tốc độ nhảy điệu two-step, và sự tùy nghi này có thể gây ảnh hưởng đáng kể đến lợi nhuận. Nhà đầu tư cẩn trọng nên đánh giá xem liệu ban lãnh đạo có đang giữ chi phí đóng băng một cách không đúng đắn ở Bước 1 trên Bảng cân đối kế toán hay không, thay vì tiếp tục điệu nhảy và chuyển chúng sang Bước 2 thành chi phí trên Báo cáo kết quả kinh doanh. Chương này trình bày bốn kỹ thuật mà ban lãnh đạo dùng để lợi dụng quy trình hai bước bằng cách giữ chi phí trên Bảng cân đối kế toán một cách không đúng đắn, qua đó ngăn chúng làm giảm lợi nhuận cho đến một kỳ sau đó.</w:t>
      </w:r>
    </w:p>
    <w:p>
      <w:pPr>
        <w:pStyle w:val="Heading3"/>
      </w:pPr>
      <w:r>
        <w:rPr>
          <w:rFonts w:ascii="Calibri" w:hAnsi="Calibri"/>
          <w:b/>
          <w:i w:val="0"/>
          <w:sz w:val="26"/>
        </w:rPr>
        <w:t>Các kỹ thuật chuyển chi phí hiện tại sang một kỳ sau</w:t>
      </w:r>
    </w:p>
    <w:p>
      <w:pPr>
        <w:spacing w:after="80"/>
      </w:pPr>
      <w:r>
        <w:rPr>
          <w:b w:val="0"/>
          <w:i w:val="0"/>
        </w:rPr>
        <w:t>1. Vốn hóa quá mức các chi phí hoạt động thông thường</w:t>
      </w:r>
    </w:p>
    <w:p>
      <w:pPr>
        <w:spacing w:after="80"/>
      </w:pPr>
      <w:r>
        <w:rPr>
          <w:b w:val="0"/>
          <w:i w:val="0"/>
        </w:rPr>
        <w:t>2. Phân bổ chi phí quá chậm</w:t>
      </w:r>
    </w:p>
    <w:p>
      <w:pPr>
        <w:spacing w:after="80"/>
      </w:pPr>
      <w:r>
        <w:rPr>
          <w:b w:val="0"/>
          <w:i w:val="0"/>
        </w:rPr>
        <w:t>3. Không ghi giảm giá trị các tài sản bị suy giảm giá trị</w:t>
      </w:r>
    </w:p>
    <w:p>
      <w:pPr>
        <w:spacing w:after="80"/>
      </w:pPr>
      <w:r>
        <w:rPr>
          <w:b w:val="0"/>
          <w:i w:val="0"/>
        </w:rPr>
        <w:t>4. Không ghi nhận chi phí cho các khoản phải thu khó đòi và các khoản đầu tư bị giảm giá trị</w:t>
      </w:r>
    </w:p>
    <w:p>
      <w:pPr>
        <w:pStyle w:val="Heading4"/>
      </w:pPr>
      <w:r>
        <w:rPr>
          <w:rFonts w:ascii="Calibri" w:hAnsi="Calibri"/>
          <w:b/>
          <w:i w:val="0"/>
          <w:sz w:val="23"/>
        </w:rPr>
        <w:t>1. Vốn hóa quá mức các chi phí hoạt động thông thường</w:t>
      </w:r>
    </w:p>
    <w:p>
      <w:pPr>
        <w:spacing w:after="80"/>
      </w:pPr>
      <w:r>
        <w:rPr>
          <w:b w:val="0"/>
          <w:i w:val="0"/>
        </w:rPr>
        <w:t>Phần đầu tiên của chương này tập trung vào một lạm dụng rất phổ biến đối với quy trình hai bước: ban lãnh đạo chỉ thực hiện một bước khi cần đến hai bước. Nói cách khác, ban lãnh đạo ghi nhận chi phí trên Bảng cân đối kế toán một cách không đúng đắn như một tài sản (hay còn gọi là "vốn hóa" chi phí), thay vì ghi nhận chúng thành chi phí ngay lập tức.</w:t>
      </w:r>
    </w:p>
    <w:p>
      <w:pPr>
        <w:spacing w:after="80"/>
      </w:pPr>
      <w:r>
        <w:rPr>
          <w:b w:val="0"/>
          <w:i w:val="0"/>
        </w:rPr>
        <w:t>Viên nang kế toán: Tài sản và chi phí</w:t>
      </w:r>
    </w:p>
    <w:p>
      <w:pPr>
        <w:spacing w:after="80"/>
      </w:pPr>
      <w:r>
        <w:rPr>
          <w:b w:val="0"/>
          <w:i w:val="0"/>
        </w:rPr>
        <w:t>Trong phần thảo luận này, sẽ hữu ích nếu ta hình dung tài sản rơi vào một trong hai nhóm: (1) những tài sản được kỳ vọng sẽ tạo ra lợi ích trong tương lai (ví dụ: hàng tồn kho, thiết bị và bảo hiểm trả trước) và (2) những tài sản cuối cùng được kỳ vọng sẽ được đổi lấy một tài sản khác như tiền mặt (ví dụ: các khoản phải thu và các khoản đầu tư). Những tài sản được kỳ vọng mang lại lợi ích trong tương lai thực ra là họ hàng gần gũi của chi phí: cả hai đều đại diện cho những chi phí đã bỏ ra để phát triển hoạt động kinh doanh. Điểm khác biệt then chốt giữa những tài sản này và chi phí chính là thời điểm.</w:t>
      </w:r>
    </w:p>
    <w:p>
      <w:pPr>
        <w:spacing w:after="80"/>
      </w:pPr>
      <w:r>
        <w:rPr>
          <w:b w:val="0"/>
          <w:i w:val="0"/>
        </w:rPr>
        <w:t>Ví dụ, giả sử một công ty mua một hợp đồng bảo hiểm hai năm. Khi mới bắt đầu, toàn bộ số tiền đại diện cho một lợi ích tương lai và sẽ được phân loại là tài sản. Sau khi nhận được lợi ích của một năm, một nửa chi phí sẽ được thể hiện là tài sản và nửa còn lại là chi phí. Sau năm thứ hai, không còn phần chi phí nào lưu lại dưới dạng tài sản nữa, và nửa còn lại vẫn nằm trong nhóm tài sản sẽ được ghi nhận thành chi phí.</w:t>
      </w:r>
    </w:p>
    <w:p>
      <w:pPr>
        <w:pStyle w:val="Heading5"/>
      </w:pPr>
      <w:r>
        <w:rPr>
          <w:rFonts w:ascii="Calibri" w:hAnsi="Calibri"/>
          <w:b/>
          <w:i/>
          <w:sz w:val="22"/>
        </w:rPr>
        <w:t>Vốn hóa không đúng đắn các chi phí hoạt động thường nhật</w:t>
      </w:r>
    </w:p>
    <w:p>
      <w:pPr>
        <w:spacing w:after="80"/>
      </w:pPr>
      <w:r>
        <w:rPr>
          <w:b w:val="0"/>
          <w:i w:val="0"/>
        </w:rPr>
        <w:t>Vào đỉnh cao của cơn bùng nổ dot-com thập niên 1990, gã khổng lồ dịch vụ viễn thông WorldCom đã ký nhiều thỏa thuận truy cập mạng dài hạn để thuê dung lượng đường truyền từ các nhà cung cấp viễn thông khác. Những thỏa thuận này bao gồm các khoản phí mà WorldCom trả cho quyền sử dụng mạng viễn thông của các công ty khác. Ban đầu, WorldCom hạch toán đúng đắn những chi phí này như một khoản chi phí trên Báo cáo kết quả kinh doanh của mình.</w:t>
      </w:r>
    </w:p>
    <w:p>
      <w:pPr>
        <w:spacing w:after="80"/>
      </w:pPr>
      <w:r>
        <w:rPr>
          <w:b w:val="0"/>
          <w:i w:val="0"/>
        </w:rPr>
        <w:t>Khi cuộc khủng hoảng công nghệ bắt đầu từ năm 2000, đà tăng trưởng doanh thu của WorldCom bắt đầu chậm lại, và các nhà đầu tư bắt đầu chú ý nhiều hơn đến chi phí vận hành khổng lồ của công ty. Và chi phí đường truyền (line costs) chính là khoản chi phí vận hành lớn nhất của WorldCom, vượt xa mọi khoản khác. Công ty bắt đầu lo lắng về khả năng đáp ứng kỳ vọng của các nhà phân tích Phố Wall. Một sự thất vọng chắc chắn sẽ khiến nhà đầu tư sụp đổ.</w:t>
      </w:r>
    </w:p>
    <w:p>
      <w:pPr>
        <w:spacing w:after="80"/>
      </w:pPr>
      <w:r>
        <w:rPr>
          <w:b w:val="0"/>
          <w:i w:val="0"/>
        </w:rPr>
        <w:t>Thế là WorldCom quyết định dùng một chiêu đơn giản để giữ cho lợi nhuận không bị chìm. Năm 2000, công ty bắt đầu che giấu một phần chi phí đường truyền thông qua một sự thay đổi đột ngột và cực kỳ đáng kể trong cách hạch toán. (Cờ đỏ đây!) Thay vì ghi nhận những chi phí này như chi phí phát sinh, WorldCom vốn hóa (capitalize) một phần lớn trong số đó thành tài sản trên Bảng cân đối kế toán (Balance Sheet). Công ty làm điều này với quy mô lên tới hàng tỷ đô la, khiến chi phí bị ghi giảm nghiêm trọng và lợi nhuận bị thổi phồng từ năm 2000 đến đầu năm 2002.</w:t>
      </w:r>
    </w:p>
    <w:p>
      <w:pPr>
        <w:pStyle w:val="Heading5"/>
      </w:pPr>
      <w:r>
        <w:rPr>
          <w:rFonts w:ascii="Calibri" w:hAnsi="Calibri"/>
          <w:b/>
          <w:i/>
          <w:sz w:val="22"/>
        </w:rPr>
        <w:t>Dấu hiệu cảnh báo về việc vốn hóa chi phí đường truyền không đúng cách</w:t>
      </w:r>
    </w:p>
    <w:p>
      <w:pPr>
        <w:spacing w:after="80"/>
      </w:pPr>
      <w:r>
        <w:rPr>
          <w:b w:val="0"/>
          <w:i w:val="0"/>
        </w:rPr>
        <w:t xml:space="preserve">Khi WorldCom bắt đầu vốn hóa hàng tỷ đô la chi phí đường truyền, rõ ràng công ty vẫn tiếp tục chi số tiền đó ra, dù Báo cáo thu nhập (Income Statement) ghi nhận ít chi phí hơn. Như đã chỉ ra trong Chương 1 và Chương 2, nếu đọc kỹ Báo cáo lưu chuyển tiền tệ (Statement of Cash Flows), nhà đầu tư sẽ thấy ngay một tín hiệu sáng rực về dòng tiền tự do (free cash flow) đang xấu đi (tức là dòng tiền từ hoạt động kinh doanh trừ chi tiêu vốn). Bảng 6-1 cho thấy dòng tiền tự do đã đi từ </w:t>
      </w:r>
      <w:r>
        <w:rPr>
          <w:b w:val="0"/>
          <w:i/>
        </w:rPr>
        <w:t>mức dương 2,3 tỷ đô la</w:t>
      </w:r>
      <w:r>
        <w:rPr>
          <w:b w:val="0"/>
          <w:i w:val="0"/>
        </w:rPr>
        <w:t xml:space="preserve"> năm 1999 (năm trước khi vốn hóa chi phí đường truyền) xuống </w:t>
      </w:r>
      <w:r>
        <w:rPr>
          <w:b w:val="0"/>
          <w:i/>
        </w:rPr>
        <w:t>mức âm 3,8 tỷ đô la</w:t>
      </w:r>
      <w:r>
        <w:rPr>
          <w:b w:val="0"/>
          <w:i w:val="0"/>
        </w:rPr>
        <w:t xml:space="preserve"> (mức suy giảm đáng kinh ngạc 6,1 tỷ đô la). Những nhà đầu tư được đào tạo bài bản lẽ ra phải thấy xu hướng này là dấu hiệu của rắc rối.</w:t>
      </w:r>
    </w:p>
    <w:p>
      <w:pPr>
        <w:spacing w:after="80"/>
      </w:pPr>
      <w:r>
        <w:rPr>
          <w:b/>
          <w:i w:val="0"/>
        </w:rPr>
        <w:t>Bảng 6-1</w:t>
      </w:r>
      <w:r>
        <w:rPr>
          <w:b w:val="0"/>
          <w:i w:val="0"/>
        </w:rPr>
        <w:t xml:space="preserve"> Dòng tiền tự do của WorldCom</w:t>
      </w:r>
    </w:p>
    <w:p>
      <w:pPr>
        <w:jc w:val="center"/>
      </w:pPr>
      <w:r>
        <w:drawing>
          <wp:inline xmlns:a="http://schemas.openxmlformats.org/drawingml/2006/main" xmlns:pic="http://schemas.openxmlformats.org/drawingml/2006/picture">
            <wp:extent cx="5486400" cy="1011241"/>
            <wp:docPr id="11" name="Picture 11"/>
            <wp:cNvGraphicFramePr>
              <a:graphicFrameLocks noChangeAspect="1"/>
            </wp:cNvGraphicFramePr>
            <a:graphic>
              <a:graphicData uri="http://schemas.openxmlformats.org/drawingml/2006/picture">
                <pic:pic>
                  <pic:nvPicPr>
                    <pic:cNvPr id="0" name="00041.jpeg"/>
                    <pic:cNvPicPr/>
                  </pic:nvPicPr>
                  <pic:blipFill>
                    <a:blip r:embed="rId19"/>
                    <a:stretch>
                      <a:fillRect/>
                    </a:stretch>
                  </pic:blipFill>
                  <pic:spPr>
                    <a:xfrm>
                      <a:off x="0" y="0"/>
                      <a:ext cx="5486400" cy="1011241"/>
                    </a:xfrm>
                    <a:prstGeom prst="rect"/>
                  </pic:spPr>
                </pic:pic>
              </a:graphicData>
            </a:graphic>
          </wp:inline>
        </w:drawing>
      </w:r>
    </w:p>
    <w:p>
      <w:pPr>
        <w:spacing w:after="80"/>
      </w:pPr>
      <w:r>
        <w:rPr>
          <w:b w:val="0"/>
          <w:i w:val="0"/>
        </w:rPr>
        <w:t>Cụ thể, việc WorldCom gia tăng đáng kể chi tiêu vốn lẽ ra phải làm dấy lên câu hỏi. Nó trái ngược với chính định hướng mà WorldCom đưa ra (vào đầu năm) về việc chi tiêu vốn tương đối đi ngang, và nó xuất hiện vào đúng thời điểm chi tiêu cho công nghệ nói chung đang sụp đổ. Thật vậy, mức tăng chi tiêu vốn được báo cáo này chỉ là hư cấu; trên thực tế, phần lớn là kết quả của việc WorldCom thay đổi phương pháp hạch toán để chuyển các chi phí vận hành thông thường (tức chi phí đường truyền) sang Bảng cân đối kế toán nhằm thổi phồng lợi nhuận. Những nhà đầu tư cẩn trọng lẽ ra phải phát hiện ra cú nhảy vọt 32 phần trăm (từ 8,7 tỷ đô la lên 11,5 tỷ đô la) trong chi tiêu vốn và đặt câu hỏi tại sao khoản chi này lại hợp lý trong bối cảnh công nghệ suy thoái, khi dòng tiền từ hoạt động kinh doanh của công ty đã co lại 30 phần trăm. Việc đánh dấu một mức tăng chi tiêu khổng lồ như vậy sẽ là bước đầu tiên quan trọng để đánh hơi ra một trong những vụ gian lận kế toán lớn nhất lịch sử.</w:t>
      </w:r>
    </w:p>
    <w:p>
      <w:pPr>
        <w:spacing w:after="80"/>
      </w:pPr>
      <w:r>
        <w:rPr>
          <w:b w:val="0"/>
          <w:i w:val="0"/>
        </w:rPr>
        <w:t>DẤU HIỆU CẢNH BÁO VỀ VIỆC VỐN HÓA SAI CÁCH CÁC CHI PHÍ VẬN HÀNH THÔNG THƯỜNG</w:t>
      </w:r>
    </w:p>
    <w:p>
      <w:pPr>
        <w:spacing w:after="80"/>
      </w:pPr>
      <w:r>
        <w:rPr>
          <w:b w:val="0"/>
          <w:i w:val="0"/>
        </w:rPr>
        <w:t>• Biên lợi nhuận cải thiện không có cơ sở và một số tài sản tăng vọt</w:t>
      </w:r>
    </w:p>
    <w:p>
      <w:pPr>
        <w:spacing w:after="80"/>
      </w:pPr>
      <w:r>
        <w:rPr>
          <w:b w:val="0"/>
          <w:i w:val="0"/>
        </w:rPr>
        <w:t>• Dòng tiền tự do sụt giảm lớn ngoài dự kiến, kèm theo mức tăng tương đương về dòng tiền từ hoạt động kinh doanh</w:t>
      </w:r>
    </w:p>
    <w:p>
      <w:pPr>
        <w:spacing w:after="80"/>
      </w:pPr>
      <w:r>
        <w:rPr>
          <w:b w:val="0"/>
          <w:i w:val="0"/>
        </w:rPr>
        <w:t>• Chi tiêu vốn tăng ngoài dự kiến, trái ngược với định hướng ban đầu của công ty và điều kiện thị trường</w:t>
      </w:r>
    </w:p>
    <w:p>
      <w:pPr>
        <w:spacing w:after="80"/>
      </w:pPr>
      <w:r>
        <w:rPr>
          <w:b/>
          <w:i/>
        </w:rPr>
        <w:t>Coi chừng việc vốn hóa sai cách các chi phí tiếp thị và chào mời khách hàng</w:t>
      </w:r>
      <w:r>
        <w:rPr>
          <w:b w:val="0"/>
          <w:i w:val="0"/>
        </w:rPr>
        <w:t xml:space="preserve"> Chi phí tiếp thị và chào mời khách hàng cũng là ví dụ về những chi phí vận hành thông thường mang lại lợi ích ngắn hạn cho doanh nghiệp. Hầu hết các công ty đều cần chi tiền để quảng cáo sản phẩm hoặc dịch vụ của mình. Các nguyên tắc kế toán thông thường yêu cầu công ty ghi nhận ngay những khoản chi này như chi phí vận hành ngắn hạn định kỳ thông thường. Tuy nhiên, một số công ty lại chọn cách tiếp cận táo bạo hơn là vốn hóa những chi phí này và phân bổ chúng ra nhiều kỳ. Hãy xem trường hợp của công ty tiên phong Internet AOL và cách họ xử lý kế toán đối với chi phí chào mời khách hàng trong giai đoạn tăng trưởng then chốt giữa thập niên 1990.</w:t>
      </w:r>
    </w:p>
    <w:p>
      <w:pPr>
        <w:spacing w:after="80"/>
      </w:pPr>
      <w:r>
        <w:rPr>
          <w:b w:val="0"/>
          <w:i w:val="0"/>
        </w:rPr>
        <w:t>Cho đến năm 1994, AOL vẫn xử lý chi phí chào mời khách hàng mới như một khoản chi phí vận hành. Tuy nhiên, đến năm 1994, AOL bắt đầu ghi nhận những chi phí này thành tài sản trên Bảng cân đối kế toán, gọi là "chi phí thu hút hội viên hoãn lại" (deferred membership acquisition costs - DMAC). Như thể hiện trong Bảng 6-2, ban đầu AOL vốn hóa 26 triệu đô la (chiếm 22 phần trăm doanh thu và 17 phần trăm tổng tài sản), rồi phân bổ dần những chi phí đó trong 12 tháng tiếp theo.</w:t>
      </w:r>
    </w:p>
    <w:p>
      <w:pPr>
        <w:spacing w:after="80"/>
      </w:pPr>
      <w:r>
        <w:rPr>
          <w:b/>
          <w:i w:val="0"/>
        </w:rPr>
        <w:t>Bảng 6-2</w:t>
      </w:r>
      <w:r>
        <w:rPr>
          <w:b w:val="0"/>
          <w:i w:val="0"/>
        </w:rPr>
        <w:t xml:space="preserve"> Chi phí thu hút hội viên hoãn lại của AOL</w:t>
      </w:r>
    </w:p>
    <w:p>
      <w:pPr>
        <w:jc w:val="center"/>
      </w:pPr>
      <w:r>
        <w:drawing>
          <wp:inline xmlns:a="http://schemas.openxmlformats.org/drawingml/2006/main" xmlns:pic="http://schemas.openxmlformats.org/drawingml/2006/picture">
            <wp:extent cx="5486400" cy="1504426"/>
            <wp:docPr id="12" name="Picture 12"/>
            <wp:cNvGraphicFramePr>
              <a:graphicFrameLocks noChangeAspect="1"/>
            </wp:cNvGraphicFramePr>
            <a:graphic>
              <a:graphicData uri="http://schemas.openxmlformats.org/drawingml/2006/picture">
                <pic:pic>
                  <pic:nvPicPr>
                    <pic:cNvPr id="0" name="00040.jpeg"/>
                    <pic:cNvPicPr/>
                  </pic:nvPicPr>
                  <pic:blipFill>
                    <a:blip r:embed="rId20"/>
                    <a:stretch>
                      <a:fillRect/>
                    </a:stretch>
                  </pic:blipFill>
                  <pic:spPr>
                    <a:xfrm>
                      <a:off x="0" y="0"/>
                      <a:ext cx="5486400" cy="1504426"/>
                    </a:xfrm>
                    <a:prstGeom prst="rect"/>
                  </pic:spPr>
                </pic:pic>
              </a:graphicData>
            </a:graphic>
          </wp:inline>
        </w:drawing>
      </w:r>
    </w:p>
    <w:p>
      <w:pPr>
        <w:spacing w:after="80"/>
      </w:pPr>
      <w:r>
        <w:rPr>
          <w:b w:val="0"/>
          <w:i w:val="0"/>
        </w:rPr>
        <w:t xml:space="preserve">Hãy để ý mức tăng chóng mặt của số dư DMAC trong vài năm sau đó. Đến tháng 6 năm 1996, DMAC trên Bảng cân đối kế toán đã phình lên tới 314 triệu đô la, tức 33 phần trăm tổng tài sản và 61 phần trăm vốn chủ sở hữu. Nếu những chi phí này được ghi nhận ngay khi phát sinh, khoản lỗ trước thuế năm 1995 của AOL lẽ ra đã vào khoảng 98 triệu đô la thay vì 21 triệu đô la (bao gồm cả việc xóa sổ DMAC tồn tại đến cuối năm tài chính 1994), và khoản thu nhập trước thuế 62 triệu đô la năm 1996 của AOL lẽ ra đã </w:t>
      </w:r>
      <w:r>
        <w:rPr>
          <w:b w:val="0"/>
          <w:i/>
        </w:rPr>
        <w:t>biến thành khoản lỗ 175 triệu đô la</w:t>
      </w:r>
      <w:r>
        <w:rPr>
          <w:b w:val="0"/>
          <w:i w:val="0"/>
        </w:rPr>
        <w:t>. Tính theo quý, tác động của việc vốn hóa DMAC là AOL báo cáo có lãi trong sáu trong tám quý của năm tài chính 1995 và 1996, thay vì báo lỗ ở mỗi kỳ.</w:t>
      </w:r>
    </w:p>
    <w:p>
      <w:pPr>
        <w:spacing w:after="80"/>
      </w:pPr>
      <w:r>
        <w:rPr>
          <w:b w:val="0"/>
          <w:i w:val="0"/>
        </w:rPr>
        <w:t xml:space="preserve">Nhà đầu tư lẽ ra phải giật mình khi xem những con số này vì nhiều lý do. Thứ nhất, công ty đã </w:t>
      </w:r>
      <w:r>
        <w:rPr>
          <w:b w:val="0"/>
          <w:i/>
        </w:rPr>
        <w:t>chuyển từ việc ghi nhận chi phí</w:t>
      </w:r>
      <w:r>
        <w:rPr>
          <w:b w:val="0"/>
          <w:i w:val="0"/>
        </w:rPr>
        <w:t xml:space="preserve"> sang cách tiếp cận táo bạo hơn nhiều là vốn hóa chúng. Thứ hai, </w:t>
      </w:r>
      <w:r>
        <w:rPr>
          <w:b w:val="0"/>
          <w:i/>
        </w:rPr>
        <w:t>sự tăng trưởng khổng lồ</w:t>
      </w:r>
      <w:r>
        <w:rPr>
          <w:b w:val="0"/>
          <w:i w:val="0"/>
        </w:rPr>
        <w:t xml:space="preserve"> của DMAC chưa phân bổ thể hiện việc ghi giảm chi phí và thổi phồng lợi nhuận một cách trọng yếu trong ba năm này. Thứ ba, AOL chỉ đơn thuần dời chi phí từ các kỳ trước sang các kỳ sau, và những chi phí đó sẽ </w:t>
      </w:r>
      <w:r>
        <w:rPr>
          <w:b w:val="0"/>
          <w:i/>
        </w:rPr>
        <w:t>làm giảm đáng kể lợi nhuận kỳ vọng trong những kỳ tương lai đó</w:t>
      </w:r>
      <w:r>
        <w:rPr>
          <w:b w:val="0"/>
          <w:i w:val="0"/>
        </w:rPr>
        <w:t>.</w:t>
      </w:r>
    </w:p>
    <w:p>
      <w:pPr>
        <w:spacing w:after="80"/>
      </w:pPr>
      <w:r>
        <w:rPr>
          <w:b w:val="0"/>
          <w:i w:val="0"/>
        </w:rPr>
        <w:t xml:space="preserve">AOL đương nhiên cố biện minh cho lựa chọn kế toán của mình, khẳng định rằng nó thuộc một ngoại lệ được quy định trong các nguyên tắc kế toán (SOP 93–7). Để đủ điều kiện hưởng ngoại lệ và được phép vốn hóa chi phí chào mời khách hàng, một công ty sẽ phải đưa ra </w:t>
      </w:r>
      <w:r>
        <w:rPr>
          <w:b w:val="0"/>
          <w:i/>
        </w:rPr>
        <w:t>bằng chứng thuyết phục</w:t>
      </w:r>
      <w:r>
        <w:rPr>
          <w:b w:val="0"/>
          <w:i w:val="0"/>
        </w:rPr>
        <w:t xml:space="preserve"> rằng hoạt động quảng cáo sẽ mang lại lợi ích trong tương lai </w:t>
      </w:r>
      <w:r>
        <w:rPr>
          <w:b w:val="0"/>
          <w:i/>
        </w:rPr>
        <w:t>tương tự</w:t>
      </w:r>
      <w:r>
        <w:rPr>
          <w:b w:val="0"/>
          <w:i w:val="0"/>
        </w:rPr>
        <w:t xml:space="preserve"> với hiệu quả của các hoạt động quảng cáo phản hồi trực tiếp trước đây của công ty.</w:t>
      </w:r>
    </w:p>
    <w:p>
      <w:pPr>
        <w:spacing w:after="80"/>
      </w:pPr>
      <w:r>
        <w:rPr>
          <w:b w:val="0"/>
          <w:i w:val="0"/>
        </w:rPr>
        <w:t>SEC không đồng tình với cách xử lý của AOL, cho rằng công ty đã không đáp ứng được các yêu cầu thiết yếu của SOP 93–7 bởi vì “môi trường kinh doanh bất ổn đã khiến cho việc dự báo đáng tin cậy về doanh thu thuần trong tương lai là không thể.” Các nhà đầu tư không cần phải hiểu rõ về quy tắc kế toán khó hiểu này để nhận ra rằng có điều gì đó có mùi bất thường. Việc AOL thay đổi sang một chính sách kế toán hung hăng hơn cùng với mức độ ảnh hưởng to lớn của chính sách đó lên lợi nhuận lẽ ra đã quá đủ để khiến những nhà đầu tư nhạy bén cảm thấy khó tiêu.</w:t>
      </w:r>
    </w:p>
    <w:p>
      <w:pPr>
        <w:spacing w:after="80"/>
      </w:pPr>
      <w:r>
        <w:rPr>
          <w:b/>
          <w:i/>
        </w:rPr>
        <w:t>Coi chừng việc lợi nhuận tăng vọt sau khi áp dụng các quy tắc kế toán mới</w:t>
      </w:r>
      <w:r>
        <w:rPr>
          <w:b w:val="0"/>
          <w:i w:val="0"/>
        </w:rPr>
        <w:t xml:space="preserve"> Đôi khi, quyết định bắt đầu vốn hóa các chi phí hoạt động không xuất phát từ ý thích bất chợt của ban lãnh đạo mà từ việc tuân thủ một quy tắc kế toán mới do các cơ quan ban hành chuẩn mực đưa ra. Trong khi việc chỉ trích ban lãnh đạo vì đã thực hiện thay đổi như vậy rõ ràng là không công bằng và không chính đáng, các nhà đầu tư nên nhận thức rằng bất kỳ sự cải thiện lợi nhuận nào xuất phát từ thay đổi đó đều sẽ chỉ là tạm thời và không liên quan đến thành công trong hoạt động. Ví dụ, Lucent (nay là một phần của Alcatel) đã có được một cú hích lợi nhuận đáng kể nhờ bắt đầu vốn hóa chi phí phần mềm dùng nội bộ, theo yêu cầu của một quy tắc kế toán mới.</w:t>
      </w:r>
    </w:p>
    <w:p>
      <w:pPr>
        <w:spacing w:after="80"/>
      </w:pPr>
      <w:r>
        <w:rPr>
          <w:b w:val="0"/>
          <w:i w:val="0"/>
        </w:rPr>
        <w:t>MẸO</w:t>
      </w:r>
    </w:p>
    <w:p>
      <w:pPr>
        <w:spacing w:after="80"/>
      </w:pPr>
      <w:r>
        <w:rPr>
          <w:b w:val="0"/>
          <w:i w:val="0"/>
        </w:rPr>
        <w:t xml:space="preserve">Bất kể tính chính đáng của một thay đổi kế toán là gì, các nhà đầu tư nên cố gắng hiểu tác động mà thay đổi này gây ra đối với tăng trưởng lợi nhuận. Nói đơn giản: </w:t>
      </w:r>
      <w:r>
        <w:rPr>
          <w:b w:val="0"/>
          <w:i/>
        </w:rPr>
        <w:t>bất kỳ mức tăng trưởng nào liên quan đến thay đổi đó sẽ không lặp lại</w:t>
      </w:r>
      <w:r>
        <w:rPr>
          <w:b w:val="0"/>
          <w:i w:val="0"/>
        </w:rPr>
        <w:t>. Để duy trì được, mức tăng trưởng đó phải được thay thế bằng hiệu quả hoạt động được cải thiện.</w:t>
      </w:r>
    </w:p>
    <w:p>
      <w:pPr>
        <w:spacing w:after="80"/>
      </w:pPr>
      <w:r>
        <w:rPr>
          <w:b/>
          <w:i/>
        </w:rPr>
        <w:t>Hãy cảnh giác với những tài khoản tài sản bất thường trên bảng cân đối kế toán</w:t>
      </w:r>
      <w:r>
        <w:rPr>
          <w:b w:val="0"/>
          <w:i w:val="0"/>
        </w:rPr>
        <w:t xml:space="preserve"> Vào năm trước khi phá sản và bị điều tra gian lận, Syntax-Brillian bắt đầu báo cáo trên Bảng cân đối kế toán những tài khoản tài sản mới lạ có tên là tiền đặt cọc “tooling” và “inventory”. Công ty cung cấp rất ít và gây khó hiểu về các chi tiết của những tài sản này, nói rằng chúng đại diện cho các khoản tiền đặt cọc cho nhà cung cấp hàng tồn kho chính của công ty (Kolin), theo các báo cáo. Kỳ lạ thay, cả hai tài khoản này đều lớn hơn tổng lượng hàng tồn kho được báo cáo trên Bảng cân đối kế toán của công ty. Hơn nữa, Kolin không chỉ là nhà cung cấp lớn nhất của Syntax-Brillian mà còn là một bên liên quan, sở hữu hơn 10 phần trăm cổ phiếu của công ty và là đối tác trong một số liên doanh.</w:t>
      </w:r>
    </w:p>
    <w:p>
      <w:pPr>
        <w:spacing w:after="80"/>
      </w:pPr>
      <w:r>
        <w:rPr>
          <w:b w:val="0"/>
          <w:i w:val="0"/>
        </w:rPr>
        <w:t>Các nhà đầu tư có lý do để hoài nghi về những tài khoản tài sản mới này, không chỉ vì tính chất bất thường và liên quan đến bên liên quan của chúng, mà còn vì số dư tăng lên nhanh chóng. Như thể hiện trong Bảng 6-3, Syntax-Brillian báo cáo con số đáng kinh ngạc là 70,0 triệu đô la trong “tiền đặt cọc hàng tồn kho với Kolin” vào tháng 6 năm 2007, sau khi không có khoản tiền đặt cọc nào như vậy trong ba quý trước đó. Tương tự, “tiền đặt cọc tooling với Kolin” không hề tồn tại vào tháng 6 năm 2006 nhưng đã tăng đều đặn trong năm tiếp theo, đạt 65,3 triệu đô la vào tháng 6 năm 2007. Sự gia tăng đột biến ở bất kỳ tài khoản tài sản bất thường nào như thế này, đặc biệt là những tài khoản liên quan đến một bên liên quan, nên khiến các nhà đầu tư chạy tìm lối thoát.</w:t>
      </w:r>
    </w:p>
    <w:p>
      <w:pPr>
        <w:spacing w:after="80"/>
      </w:pPr>
      <w:r>
        <w:rPr>
          <w:b/>
          <w:i w:val="0"/>
        </w:rPr>
        <w:t>Bảng 6-3</w:t>
      </w:r>
      <w:r>
        <w:rPr>
          <w:b w:val="0"/>
          <w:i w:val="0"/>
        </w:rPr>
        <w:t xml:space="preserve"> Những tài khoản tài sản bất thường của Syntax-Brillian</w:t>
      </w:r>
    </w:p>
    <w:p>
      <w:pPr>
        <w:jc w:val="center"/>
      </w:pPr>
      <w:r>
        <w:drawing>
          <wp:inline xmlns:a="http://schemas.openxmlformats.org/drawingml/2006/main" xmlns:pic="http://schemas.openxmlformats.org/drawingml/2006/picture">
            <wp:extent cx="5486400" cy="1285002"/>
            <wp:docPr id="13" name="Picture 13"/>
            <wp:cNvGraphicFramePr>
              <a:graphicFrameLocks noChangeAspect="1"/>
            </wp:cNvGraphicFramePr>
            <a:graphic>
              <a:graphicData uri="http://schemas.openxmlformats.org/drawingml/2006/picture">
                <pic:pic>
                  <pic:nvPicPr>
                    <pic:cNvPr id="0" name="00057.jpeg"/>
                    <pic:cNvPicPr/>
                  </pic:nvPicPr>
                  <pic:blipFill>
                    <a:blip r:embed="rId21"/>
                    <a:stretch>
                      <a:fillRect/>
                    </a:stretch>
                  </pic:blipFill>
                  <pic:spPr>
                    <a:xfrm>
                      <a:off x="0" y="0"/>
                      <a:ext cx="5486400" cy="1285002"/>
                    </a:xfrm>
                    <a:prstGeom prst="rect"/>
                  </pic:spPr>
                </pic:pic>
              </a:graphicData>
            </a:graphic>
          </wp:inline>
        </w:drawing>
      </w:r>
    </w:p>
    <w:p>
      <w:pPr>
        <w:spacing w:after="80"/>
      </w:pPr>
      <w:r>
        <w:rPr>
          <w:b w:val="0"/>
          <w:i w:val="0"/>
        </w:rPr>
        <w:t>DẤU HIỆU CẢNH BÁO</w:t>
      </w:r>
    </w:p>
    <w:p>
      <w:pPr>
        <w:spacing w:after="80"/>
      </w:pPr>
      <w:r>
        <w:rPr>
          <w:b w:val="0"/>
          <w:i w:val="0"/>
        </w:rPr>
        <w:t>Một tài khoản tài sản mới hoặc bất thường (đặc biệt là một tài khoản đang tăng lên nhanh chóng) có thể là dấu hiệu của việc vốn hóa không đúng quy định.</w:t>
      </w:r>
    </w:p>
    <w:p>
      <w:pPr>
        <w:pStyle w:val="Heading5"/>
      </w:pPr>
      <w:r>
        <w:rPr>
          <w:rFonts w:ascii="Calibri" w:hAnsi="Calibri"/>
          <w:b/>
          <w:i/>
          <w:sz w:val="22"/>
        </w:rPr>
        <w:t>Vốn hóa những khoản mục được phép, nhưng với số tiền quá lớn</w:t>
      </w:r>
    </w:p>
    <w:p>
      <w:pPr>
        <w:spacing w:after="80"/>
      </w:pPr>
      <w:r>
        <w:rPr>
          <w:b w:val="0"/>
          <w:i w:val="0"/>
        </w:rPr>
        <w:t xml:space="preserve">Các hướng dẫn kế toán cho phép các công ty vốn hóa một số chi phí hoạt động, nhưng chỉ ở một mức độ nhất định hoặc nếu đáp ứng được một số điều kiện cụ thể. Chúng ta sẽ gọi những chi phí này là </w:t>
      </w:r>
      <w:r>
        <w:rPr>
          <w:b w:val="0"/>
          <w:i/>
        </w:rPr>
        <w:t>lai</w:t>
      </w:r>
      <w:r>
        <w:rPr>
          <w:b w:val="0"/>
          <w:i w:val="0"/>
        </w:rPr>
        <w:t>—nghĩa là, các chi phí được ghi nhận một phần là chi phí và một phần là tài sản.</w:t>
      </w:r>
    </w:p>
    <w:p>
      <w:pPr>
        <w:spacing w:after="80"/>
      </w:pPr>
      <w:r>
        <w:rPr>
          <w:b/>
          <w:i/>
        </w:rPr>
        <w:t>Vốn hóa chi phí phát triển phần mềm</w:t>
      </w:r>
      <w:r>
        <w:rPr>
          <w:b w:val="0"/>
          <w:i w:val="0"/>
        </w:rPr>
        <w:t xml:space="preserve"> Một chi phí hoạt động thường xuyên tìm đường lên Bảng cân đối kế toán, đặc biệt là ở các công ty công nghệ, là chi phí phát sinh để phát triển các sản phẩm dựa trên phần mềm. Chi phí nghiên cứu và phát triển ở giai đoạn đầu đối với phần mềm thường sẽ được ghi nhận là chi phí. Chi phí ở giai đoạn sau (những chi phí phát sinh khi một dự án đạt đến “tính khả thi về mặt kỹ thuật”) thường sẽ được vốn hóa. Các nhà đầu tư nên cảnh giác với những công ty vốn hóa một lượng lớn một cách không cân xứng trong chi phí phần mềm của họ hoặc những công ty thay đổi chính sách kế toán và bắt đầu vốn hóa chi phí, đặc biệt nếu những chi phí đó không phù hợp với thông lệ trong ngành.</w:t>
      </w:r>
    </w:p>
    <w:p>
      <w:pPr>
        <w:spacing w:after="80"/>
      </w:pPr>
      <w:r>
        <w:rPr>
          <w:b/>
          <w:i/>
        </w:rPr>
        <w:t>Coi chừng sự gia tăng vốn hóa phần mềm</w:t>
      </w:r>
      <w:r>
        <w:rPr>
          <w:b w:val="0"/>
          <w:i w:val="0"/>
        </w:rPr>
        <w:t xml:space="preserve"> Tốc độ vốn hóa phần mềm tăng nhanh thường là một dấu hiệu đỏ cho thấy tăng trưởng lợi nhuận đang được hưởng lợi từ việc giữ nhiều chi phí hơn trên Bảng cân đối kế toán. The Ultimate Software Group (ULTI), một nhà phát triển phần mềm nhân sự có trụ sở tại Florida, đã đi từ chỗ không vốn hóa bất kỳ chi phí phần mềm nào vào năm 2011 đến chỗ vốn hóa 19 triệu đô la (22 phần trăm tổng chi tiêu R&amp;D của họ) chỉ hai năm sau đó. Các chi phí được vốn hóa khá trọng yếu, lên tới gần 5 phần trăm tổng doanh thu và 44 phần trăm trong số 43 triệu đô la thu nhập hoạt động của công ty vào năm 2013. Thực tiễn này đã chuyển những chi phí đáng kể sang Bảng cân đối kế toán và thổi phồng lợi nhuận.</w:t>
      </w:r>
    </w:p>
    <w:p>
      <w:pPr>
        <w:spacing w:after="80"/>
      </w:pPr>
      <w:r>
        <w:rPr>
          <w:b/>
          <w:i/>
        </w:rPr>
        <w:t>Coi chừng các khoản tạm ứng hoặc trả trước ngày càng tăng</w:t>
      </w:r>
      <w:r>
        <w:rPr>
          <w:b w:val="0"/>
          <w:i w:val="0"/>
        </w:rPr>
        <w:t xml:space="preserve"> Hãy xem xét trường hợp của công ty thực phẩm ăn nhẹ Diamond Foods (DMND), nhà cung cấp hạt Emerald, bắp rang Pop Secret và Kettle Chips. Khi giá quả óc chó tăng vọt vào đầu năm 2010, Diamond rơi vào tình huống cần phải bồi thường cho các nhà cung cấp quả óc chó của mình vì giá tăng đối với vụ mùa năm đó. Đối mặt với áp lực từ các nhà đầu tư đòi duy trì chuỗi 11 quý hoạt động vượt trội, CFO Steven Neil đã dàn dựng một kế hoạch trong đó công ty sẽ trả tiền cho những người trồng óc chó để bù đắp cho họ vụ mùa năm 2009, nhưng họ sẽ gọi khoản thanh toán đó là một “khoản tạm ứng” cho vụ mùa năm sau. Thủ thuật khéo léo này đã cho Neil lý do chính đáng mà ông cần để vốn hóa những khoản thanh toán này trên Bảng cân đối kế toán, thay vì ghi nhận chúng là chi phí trong năm hiện tại. Bất chấp thủ thuật lén lút này, những người trồng óc chó biết rằng khoản thanh toán này thực sự không phải là một khoản tạm ứng cho vụ mùa 2010; đúng hơn nó liên quan đến vụ mùa 2009 đã được giao.</w:t>
      </w:r>
    </w:p>
    <w:p>
      <w:pPr>
        <w:spacing w:after="80"/>
      </w:pPr>
      <w:r>
        <w:rPr>
          <w:b w:val="0"/>
          <w:i w:val="0"/>
        </w:rPr>
        <w:t>Sự thật cuối cùng cũng được phơi bày khi sự soi xét của nhà đầu tư dẫn đến một cuộc điều tra nội bộ. DMND cuối cùng đã phải điều chỉnh lại kết quả của mình vào tháng 11 năm 2012 để hạch toán đúng chi phí mua quả óc chó, và giá cổ phiếu của công ty đã giảm xuống còn 17 đô la, từ mức cao 90 đô la vào năm 2011. SEC cuối cùng đã buộc tội công ty và CFO Neil của họ về tội gian lận.</w:t>
      </w:r>
    </w:p>
    <w:p>
      <w:pPr>
        <w:pStyle w:val="Heading5"/>
      </w:pPr>
      <w:r>
        <w:rPr>
          <w:rFonts w:ascii="Calibri" w:hAnsi="Calibri"/>
          <w:b/>
          <w:i/>
          <w:sz w:val="22"/>
        </w:rPr>
        <w:t>Việc vốn hóa chi phí không đúng quy định cũng thổi phồng dòng tiền hoạt động</w:t>
      </w:r>
    </w:p>
    <w:p>
      <w:pPr>
        <w:spacing w:after="80"/>
      </w:pPr>
      <w:r>
        <w:rPr>
          <w:b w:val="0"/>
          <w:i w:val="0"/>
        </w:rPr>
        <w:t>Trong khi chi phí hoạt động bình thường được phản ánh như một dòng tiền ra từ hoạt động kinh doanh, thì chi phí được vốn hóa thường được trình bày như chi tiêu vốn trong phần Đầu tư của Báo cáo Lưu chuyển Tiền tệ. Bằng cách vốn hóa các chi phí hoạt động bình thường, các công ty không chỉ thổi phồng lợi nhuận mà còn thổi phồng cả dòng tiền từ hoạt động kinh doanh. Chúng tôi trình bày chủ đề này trong Chương 11, "Thủ thuật Dòng tiền số 2: Chuyển các dòng tiền ra từ hoạt động kinh doanh sang các phần khác."</w:t>
      </w:r>
    </w:p>
    <w:p>
      <w:pPr>
        <w:pStyle w:val="Heading4"/>
      </w:pPr>
      <w:r>
        <w:rPr>
          <w:rFonts w:ascii="Calibri" w:hAnsi="Calibri"/>
          <w:b/>
          <w:i w:val="0"/>
          <w:sz w:val="23"/>
        </w:rPr>
        <w:t>2. Phân bổ chi phí quá chậm</w:t>
      </w:r>
    </w:p>
    <w:p>
      <w:pPr>
        <w:spacing w:after="80"/>
      </w:pPr>
      <w:r>
        <w:rPr>
          <w:b w:val="0"/>
          <w:i w:val="0"/>
        </w:rPr>
        <w:t>Được rồi, hãy xỏ lại đôi giày khiêu vũ đó vào khi chúng ta chuẩn bị cho bước thứ hai trong điệu nhảy kế toán hai bước của mình. Giờ đây khi đã hoàn thành Bước 1, chúng ta đã vốn hóa những chi phí đó, nhưng lợi ích kinh doanh liên quan vẫn chưa được thực hiện. Bước 2 liên quan đến việc ghi nhận những chi phí đó như là chi phí phát sinh, chuyển chúng từ Bảng cân đối kế toán sang Báo cáo kết quả hoạt động kinh doanh.</w:t>
      </w:r>
    </w:p>
    <w:p>
      <w:pPr>
        <w:spacing w:after="80"/>
      </w:pPr>
      <w:r>
        <w:rPr>
          <w:b w:val="0"/>
          <w:i w:val="0"/>
        </w:rPr>
        <w:t>Bản chất của một khoản chi phí và thời điểm phát sinh lợi ích liên quan quyết định khoảng thời gian mà chi phí này lưu lại trên Bảng cân đối kế toán. Ví dụ, các khoản chi để mua hoặc sản xuất hàng tồn kho vẫn nằm trên Bảng cân đối kế toán cho đến khi hàng tồn kho được bán và doanh thu được ghi nhận. Mặt khác, các khoản chi để mua thiết bị hoặc một nhà máy sản xuất mang lại lợi ích dài hạn hơn nhiều. Những tài sản này vẫn nằm trên Bảng cân đối kế toán trong suốt thời gian hữu dụng của chúng, qua đó chúng dần trở thành chi phí thông qua khấu hao hoặc phân bổ.</w:t>
      </w:r>
    </w:p>
    <w:p>
      <w:pPr>
        <w:spacing w:after="80"/>
      </w:pPr>
      <w:r>
        <w:rPr>
          <w:b w:val="0"/>
          <w:i w:val="0"/>
        </w:rPr>
        <w:t>Các nhà đầu tư nên đặt ra lo ngại nếu chi phí vẫn nằm trên Bảng cân đối kế toán như là tài sản quá lâu, thể hiện qua một khung thời gian phân bổ dài bất thường. Ngoài ra, nếu ban lãnh đạo quyết định kéo dài thời gian phân bổ, điều đó nên gióng lên một tín hiệu cảnh báo lớn.</w:t>
      </w:r>
    </w:p>
    <w:p>
      <w:pPr>
        <w:pStyle w:val="Heading5"/>
      </w:pPr>
      <w:r>
        <w:rPr>
          <w:rFonts w:ascii="Calibri" w:hAnsi="Calibri"/>
          <w:b/>
          <w:i/>
          <w:sz w:val="22"/>
        </w:rPr>
        <w:t>Hãy cảnh giác với việc thổi phồng thu nhập bằng cách kéo dài thời gian phân bổ</w:t>
      </w:r>
    </w:p>
    <w:p>
      <w:pPr>
        <w:spacing w:after="80"/>
      </w:pPr>
      <w:r>
        <w:rPr>
          <w:b w:val="0"/>
          <w:i w:val="0"/>
        </w:rPr>
        <w:t>Hãy nhớ lại cách những người bạn của chúng ta tại AOL đã chi một đống tiền để thu hút khách hàng mới (như được trình bày trong Bảng 6-2)? Chúng ta đã thảo luận về sự thay đổi kế toán năm 1994, quy cho nó việc vốn hóa chi phí quảng cáo một cách tích cực và quyết định trải đều những chi phí đó trong khoảng thời gian 12 tháng tiếp theo. Việc vốn hóa tích cực này đã hoàn toàn đánh lừa các nhà đầu tư, những người tin rằng công ty đã có lãi, mặc dù công ty vẫn tiếp tục thất thoát tiền mặt và chịu lỗ kinh tế thực sự.</w:t>
      </w:r>
    </w:p>
    <w:p>
      <w:pPr>
        <w:spacing w:after="80"/>
      </w:pPr>
      <w:r>
        <w:rPr>
          <w:b w:val="0"/>
          <w:i w:val="0"/>
        </w:rPr>
        <w:t xml:space="preserve">Thật không may cho các nhà đầu tư, câu chuyện không kết thúc với một mánh khóe đó. Bắt đầu từ ngày 1 tháng 7 năm 1995, AOL quyết định tăng gấp đôi thời gian phân bổ cho những chi phí tiếp thị bùng nổ này từ 12 lên 24 tháng. Việc kéo dài thời gian phân bổ có nghĩa là các chi phí lưu lại trên Bảng cân đối kế toán lâu hơn nhiều và chỉ giảm chi phí với một nửa tác động mỗi kỳ. Chỉ riêng sự thay đổi đó đã thổi phồng lợi nhuận lên 48,1 triệu đô la (thành </w:t>
      </w:r>
      <w:r>
        <w:rPr>
          <w:b w:val="0"/>
          <w:i/>
        </w:rPr>
        <w:t>lợi nhuận được báo cáo là 29,8 triệu đô la từ mức lỗ 18,3 triệu đô la</w:t>
      </w:r>
      <w:r>
        <w:rPr>
          <w:b w:val="0"/>
          <w:i w:val="0"/>
        </w:rPr>
        <w:t>). Điều chỉnh kế toán đơn giản này đã giúp che giấu những khoản lỗ khổng lồ của AOL khỏi các nhà đầu tư.</w:t>
      </w:r>
    </w:p>
    <w:p>
      <w:pPr>
        <w:spacing w:after="80"/>
      </w:pPr>
      <w:r>
        <w:rPr>
          <w:b w:val="0"/>
          <w:i w:val="0"/>
        </w:rPr>
        <w:t>Tuy nhiên, việc xem xét cẩn thận Báo cáo Lưu chuyển Tiền tệ sẽ tiết lộ vấn đề. Thật vậy, thu nhập ròng 29,8 triệu đô la của AOL vào tháng 6 năm 1996 đã cao hơn nhiều so với dòng tiền ra từ hoạt động kinh doanh là 66,7 triệu đô la, một khoản thiếu hụt đáng kinh ngạc là 96,5 triệu đô la. Bằng cách đọc kỹ các chú thích, các nhà đầu tư sẽ nhận thấy rằng việc vốn hóa tích cực chi phí tiếp thị đã thổi phồng thu nhập hoạt động và thu nhập ròng. (Xem Bảng 6-4.) Với cách xử lý thông thường hơn đối với chi phí thu hút khách hàng như là chi phí phát sinh, AOL sẽ ghi nhận khoản lỗ hoạt động và lỗ ròng khổng lồ (lần lượt là 154,8 triệu đô la và 124,2 triệu đô la), điều chắc chắn sẽ dẫn đến việc điều chỉnh giá cổ phiếu.</w:t>
      </w:r>
    </w:p>
    <w:p>
      <w:pPr>
        <w:spacing w:after="80"/>
      </w:pPr>
      <w:r>
        <w:rPr>
          <w:b/>
          <w:i w:val="0"/>
        </w:rPr>
        <w:t>Bảng 6-4</w:t>
      </w:r>
      <w:r>
        <w:rPr>
          <w:b w:val="0"/>
          <w:i w:val="0"/>
        </w:rPr>
        <w:t xml:space="preserve"> Kết quả năm 1996 của AOL được báo cáo và điều chỉnh</w:t>
      </w:r>
    </w:p>
    <w:p>
      <w:pPr>
        <w:jc w:val="center"/>
      </w:pPr>
      <w:r>
        <w:drawing>
          <wp:inline xmlns:a="http://schemas.openxmlformats.org/drawingml/2006/main" xmlns:pic="http://schemas.openxmlformats.org/drawingml/2006/picture">
            <wp:extent cx="5486400" cy="760602"/>
            <wp:docPr id="14" name="Picture 14"/>
            <wp:cNvGraphicFramePr>
              <a:graphicFrameLocks noChangeAspect="1"/>
            </wp:cNvGraphicFramePr>
            <a:graphic>
              <a:graphicData uri="http://schemas.openxmlformats.org/drawingml/2006/picture">
                <pic:pic>
                  <pic:nvPicPr>
                    <pic:cNvPr id="0" name="00055.jpeg"/>
                    <pic:cNvPicPr/>
                  </pic:nvPicPr>
                  <pic:blipFill>
                    <a:blip r:embed="rId22"/>
                    <a:stretch>
                      <a:fillRect/>
                    </a:stretch>
                  </pic:blipFill>
                  <pic:spPr>
                    <a:xfrm>
                      <a:off x="0" y="0"/>
                      <a:ext cx="5486400" cy="760602"/>
                    </a:xfrm>
                    <a:prstGeom prst="rect"/>
                  </pic:spPr>
                </pic:pic>
              </a:graphicData>
            </a:graphic>
          </wp:inline>
        </w:drawing>
      </w:r>
    </w:p>
    <w:p>
      <w:pPr>
        <w:pStyle w:val="Heading5"/>
      </w:pPr>
      <w:r>
        <w:rPr>
          <w:rFonts w:ascii="Calibri" w:hAnsi="Calibri"/>
          <w:b/>
          <w:i/>
          <w:sz w:val="22"/>
        </w:rPr>
        <w:t>Đặc biệt cảnh giác với việc thổi phồng thu nhập lớn từ việc kéo dài thời gian khấu hao</w:t>
      </w:r>
    </w:p>
    <w:p>
      <w:pPr>
        <w:spacing w:after="80"/>
      </w:pPr>
      <w:r>
        <w:rPr>
          <w:b w:val="0"/>
          <w:i w:val="0"/>
        </w:rPr>
        <w:t xml:space="preserve">Một công ty chọn thời gian khấu hao hoặc phân bổ quá dài thường được coi là phạm tội sử dụng kế toán tích cực. Tuy nhiên, một hành vi phạm tội nghiêm trọng hơn là việc một công ty </w:t>
      </w:r>
      <w:r>
        <w:rPr>
          <w:b w:val="0"/>
          <w:i/>
        </w:rPr>
        <w:t>chuyển sang thời gian dài hơn</w:t>
      </w:r>
      <w:r>
        <w:rPr>
          <w:b w:val="0"/>
          <w:i w:val="0"/>
        </w:rPr>
        <w:t>. Điều này thường gợi ý rằng hoạt động kinh doanh của công ty có thể đang gặp khó khăn và rằng công ty cảm thấy buộc phải thay đổi các giả định kế toán để ngụy trang sự suy thoái. Bất kể ban lãnh đạo cố gắng biện minh cho những thay đổi như vậy như thế nào, các nhà đầu tư nên cảnh giác.</w:t>
      </w:r>
    </w:p>
    <w:p>
      <w:pPr>
        <w:spacing w:after="80"/>
      </w:pPr>
      <w:r>
        <w:rPr>
          <w:b w:val="0"/>
          <w:i w:val="0"/>
        </w:rPr>
        <w:t>Hãy xem xét cách Intel sửa đổi lịch khấu hao cho thiết bị sản xuất vào năm 2015. Dựa trên một cuộc đánh giá nội bộ, ban lãnh đạo xác định rằng thời gian hữu dụng giả định nên được kéo dài từ bốn lên năm năm. Chỉ riêng sự thay đổi này đã làm giảm chi phí khấu hao của công ty khoảng 1,5 tỷ đô la vào năm 2016, với khoảng một nửa lợi ích thuộc về biên lợi nhuận gộp, vốn đã chịu áp lực khi cạnh tranh trong ngành gia tăng.</w:t>
      </w:r>
    </w:p>
    <w:p>
      <w:pPr>
        <w:spacing w:after="80"/>
      </w:pPr>
      <w:r>
        <w:rPr>
          <w:b w:val="0"/>
          <w:i w:val="0"/>
        </w:rPr>
        <w:t>Mặc dù Intel có thể có lý do chính đáng để đưa ra ước tính mới (ban lãnh đạo viện dẫn vòng đời sản phẩm dài hơn và việc tái sử dụng máy móc nhiều hơn), quyết định thực hiện thay đổi vào một thời điểm cụ thể thường báo hiệu một điểm yếu tiềm ẩn trong hoạt động kinh doanh hoặc sự lo lắng của ban lãnh đạo về tương lai. Những công ty khỏe mạnh và tự tin ít có khả năng mày mò với những loại giả định kế toán này, vốn chỉ mang lại lợi ích bề ngoài.</w:t>
      </w:r>
    </w:p>
    <w:p>
      <w:pPr>
        <w:pStyle w:val="Heading5"/>
      </w:pPr>
      <w:r>
        <w:rPr>
          <w:rFonts w:ascii="Calibri" w:hAnsi="Calibri"/>
          <w:b/>
          <w:i/>
          <w:sz w:val="22"/>
        </w:rPr>
        <w:t>Hãy cảnh giác với việc phân bổ chi phí hàng tồn kho chậm</w:t>
      </w:r>
    </w:p>
    <w:p>
      <w:pPr>
        <w:spacing w:after="80"/>
      </w:pPr>
      <w:r>
        <w:rPr>
          <w:b w:val="0"/>
          <w:i w:val="0"/>
        </w:rPr>
        <w:t>Trong hầu hết các ngành, quá trình chuyển hàng tồn kho thành chi phí khá đơn giản: khi một giao dịch bán diễn ra, hàng tồn kho được chuyển thành chi phí gọi là "giá vốn hàng bán" (COGS). Tuy nhiên, trong một số doanh nghiệp nhất định, việc xác định khi nào và bằng cách nào hàng tồn kho chuyển thành chi phí có thể phức tạp hơn.</w:t>
      </w:r>
    </w:p>
    <w:p>
      <w:pPr>
        <w:spacing w:after="80"/>
      </w:pPr>
      <w:r>
        <w:rPr>
          <w:b w:val="0"/>
          <w:i w:val="0"/>
        </w:rPr>
        <w:t>Trong ngành hàng không vũ trụ, chẳng hạn, chi phí phát triển ban đầu của một mẫu máy bay chiến đấu phản lực mới, vốn có thể khá lớn, thoạt tiên có thể được ghi vào Bảng cân đối kế toán (Balance Sheet) như hàng tồn kho (inventory) và sau đó được phân bổ dần (amortized) một khi khách hàng bắt đầu nhận hàng máy bay.</w:t>
      </w:r>
    </w:p>
    <w:p>
      <w:pPr>
        <w:spacing w:after="80"/>
      </w:pPr>
      <w:r>
        <w:rPr>
          <w:b/>
          <w:i/>
        </w:rPr>
        <w:t>Một ví dụ kinh điển: Chương trình TriStar L-1011 đầy rủi ro của Lockheed</w:t>
      </w:r>
      <w:r>
        <w:rPr>
          <w:b w:val="0"/>
          <w:i w:val="0"/>
        </w:rPr>
        <w:t xml:space="preserve"> Lockheed (sau này sáp nhập với Martin Marietta để trở thành Lockheed Martin) là một trong những ví dụ điển hình nhất về những khó khăn trong việc xác định cách phân bổ chi phí phát triển máy bay mới sao cho hợp lý nhất. Khác với một nhà bán lẻ truyền thống, chẳng hạn, vốn phân bổ chi phí hàng tồn kho vào giá vốn hàng bán (COGS) một cách nhanh chóng khi sản phẩm được bán, các nhà sản xuất máy bay lại đưa chi phí phát triển vào hàng tồn kho trên Bảng cân đối kế toán trong nhiều năm, vì việc phát triển và sản xuất là một quá trình kéo dài nhiều năm.</w:t>
      </w:r>
    </w:p>
    <w:p>
      <w:pPr>
        <w:spacing w:after="80"/>
      </w:pPr>
      <w:r>
        <w:rPr>
          <w:b w:val="0"/>
          <w:i w:val="0"/>
        </w:rPr>
        <w:t xml:space="preserve">Trong suốt thập niên 1970 và đầu thập niên 1980, Lockheed đã đổ hàng tỷ đô la vào việc phát triển một mẫu máy bay mới có tên TriStar L-1011. Phương pháp kế toán được dùng cho máy bay này được gọi là "phương pháp chương trình" (program method). Khi mỗi chiếc máy bay trong chương trình được bán (tổng số ước tính ban đầu là 300 chiếc), Lockheed sẽ gán một mức chi phí trung bình giả định, bất kể chi phí sản xuất thực tế là bao nhiêu. Vì vậy, bất kỳ chi phí thực tế nào </w:t>
      </w:r>
      <w:r>
        <w:rPr>
          <w:b w:val="0"/>
          <w:i/>
        </w:rPr>
        <w:t>lớn hơn chi phí được gán</w:t>
      </w:r>
      <w:r>
        <w:rPr>
          <w:b w:val="0"/>
          <w:i w:val="0"/>
        </w:rPr>
        <w:t xml:space="preserve"> (dựa trên ước tính) sẽ được vốn hóa (capitalized) cho đến khi đường cong chi phí sản xuất hạ xuống. Vì Lockheed kỳ vọng rằng chi phí sản xuất những chiếc máy bay sau này sẽ thấp hơn mức trung bình, nên phần chi phí vượt trội đã được vốn hóa trước đó sẽ được phân bổ vào chi phí của những chiếc máy bay sau này (vốn sinh lời). Về lý thuyết, điều này nghe có vẻ ổn—tất nhiên, trừ khi chi phí gia tăng trên mỗi chiếc máy bay luôn vượt quá doanh thu gia tăng. Đáng tiếc cho Lockheed, đó thực sự chính là trường hợp xảy ra.</w:t>
      </w:r>
    </w:p>
    <w:p>
      <w:pPr>
        <w:spacing w:after="80"/>
      </w:pPr>
      <w:r>
        <w:rPr>
          <w:b w:val="0"/>
          <w:i w:val="0"/>
        </w:rPr>
        <w:t>Đến cuối năm 1975, Lockheed đã tích lũy khoảng 500 triệu đô la chi phí trong tài khoản tài sản "đường cong chi phí sản xuất" nằm trong hàng tồn kho, và chương trình TriStar đầy rủi ro vẫn không có dấu hiệu sinh lời. Thực tế, mọi thứ còn tiếp tục tồi tệ hơn, khi lỗ lũy kế giai đoạn 1975–1981 lên tới 974 triệu đô la. (Xem Bảng 6-5.) Điềm chẳng lành đã hiện rõ, và Lockheed bắt đầu xóa sổ một phần trong khoản "cục nợ" 500 triệu đô la đó. Nhưng thay vì xóa sổ toàn bộ số tiền khi các khoản lỗ gần như chắc chắn xảy ra, công ty lại dùng "kế hoạch trả góp", với tốc độ 50 triệu đô la mỗi năm (dù công ty vẫn tiếp tục ghi nhận những khoản lỗ khổng lồ từ chương trình TriStar).</w:t>
      </w:r>
    </w:p>
    <w:p>
      <w:pPr>
        <w:spacing w:after="80"/>
      </w:pPr>
      <w:r>
        <w:rPr>
          <w:b/>
          <w:i w:val="0"/>
        </w:rPr>
        <w:t>Bảng 6-5</w:t>
      </w:r>
      <w:r>
        <w:rPr>
          <w:b w:val="0"/>
          <w:i w:val="0"/>
        </w:rPr>
        <w:t xml:space="preserve"> Lockheed: Các khoản lỗ hàng năm từ chương trình TriStar L1011</w:t>
      </w:r>
    </w:p>
    <w:p>
      <w:pPr>
        <w:jc w:val="center"/>
      </w:pPr>
      <w:r>
        <w:drawing>
          <wp:inline xmlns:a="http://schemas.openxmlformats.org/drawingml/2006/main" xmlns:pic="http://schemas.openxmlformats.org/drawingml/2006/picture">
            <wp:extent cx="5486400" cy="514525"/>
            <wp:docPr id="15" name="Picture 15"/>
            <wp:cNvGraphicFramePr>
              <a:graphicFrameLocks noChangeAspect="1"/>
            </wp:cNvGraphicFramePr>
            <a:graphic>
              <a:graphicData uri="http://schemas.openxmlformats.org/drawingml/2006/picture">
                <pic:pic>
                  <pic:nvPicPr>
                    <pic:cNvPr id="0" name="00007.jpeg"/>
                    <pic:cNvPicPr/>
                  </pic:nvPicPr>
                  <pic:blipFill>
                    <a:blip r:embed="rId23"/>
                    <a:stretch>
                      <a:fillRect/>
                    </a:stretch>
                  </pic:blipFill>
                  <pic:spPr>
                    <a:xfrm>
                      <a:off x="0" y="0"/>
                      <a:ext cx="5486400" cy="514525"/>
                    </a:xfrm>
                    <a:prstGeom prst="rect"/>
                  </pic:spPr>
                </pic:pic>
              </a:graphicData>
            </a:graphic>
          </wp:inline>
        </w:drawing>
      </w:r>
    </w:p>
    <w:p>
      <w:pPr>
        <w:spacing w:after="80"/>
      </w:pPr>
      <w:r>
        <w:rPr>
          <w:b w:val="0"/>
          <w:i w:val="0"/>
        </w:rPr>
        <w:t>Kế toán theo chương trình không chỉ là một nét kỳ quặc trong quá khứ; nó vẫn tồn tại cho đến ngày nay tại các công ty hàng không lớn nhất. Cũng giống như Lockheed đã làm vào thập niên 1970 với chương trình TriStar L-1011, Boeing sử dụng kế toán theo chương trình cho chiếc 787 Dreamliner tối tân của mình. Boeing bắt đầu phát triển Dreamliner vào năm 2003, nhưng phải đến năm 2011 họ mới bắt đầu giao máy bay cho khách hàng. Đã có rất nhiều vấn đề về sản xuất và phát triển trên chặng đường, gây rối loạn tiến độ giao hàng của công ty và thú vị hơn là các ước tính kế toán theo chương trình. Chẳng hạn, vào năm 2009, sau nhiều chuyến bay thử thất bại, Boeing đã xóa sổ gần 2,5 tỷ đô la chi phí hàng tồn kho theo kế toán chương trình mà họ không còn kỳ vọng thu hồi được. Boeing cuối cùng đã giải quyết được các vấn đề phát triển lớn của mình, và sản xuất tăng tốc vào đầu thập niên 2010, dẫn đến một lượng lớn hàng tồn kho theo kế toán chương trình. Đến tháng 12 năm 2015, Boeing đã tích lũy tới 28,5 tỷ đô la chi phí sản xuất này trên Bảng cân đối kế toán để ghi nhận thành giá vốn doanh thu trong những năm tiếp theo.</w:t>
      </w:r>
    </w:p>
    <w:p>
      <w:pPr>
        <w:pStyle w:val="Heading4"/>
      </w:pPr>
      <w:r>
        <w:rPr>
          <w:rFonts w:ascii="Calibri" w:hAnsi="Calibri"/>
          <w:b/>
          <w:i w:val="0"/>
          <w:sz w:val="23"/>
        </w:rPr>
        <w:t>3. Không ghi giảm các tài sản bị suy giảm giá trị</w:t>
      </w:r>
    </w:p>
    <w:p>
      <w:pPr>
        <w:spacing w:after="80"/>
      </w:pPr>
      <w:r>
        <w:rPr>
          <w:b w:val="0"/>
          <w:i w:val="0"/>
        </w:rPr>
        <w:t>Đến đây, chúng ta đã cảnh báo về hai hành vi lạm dụng trong "vũ điệu kế toán hai bước" của mình. Phần đầu tiên đã bàn về việc chỉ thực hiện một bước khi lẽ ra cần hai bước (tức là vốn hóa một cách không đúng đắn một khoản chi phí lẽ ra phải được ghi nhận là chi phí). Phần thứ hai đã bàn về việc thực hiện bước thứ hai quá chậm chạp (tức là phân bổ tài sản trong vòng đời dài hơn nhiều so với mức phù hợp). Trong phần này, chúng ta cảnh báo về hành vi lạm dụng thứ ba: đóng băng vũ điệu giữa Bước 1 và Bước 2—nghĩa là không ghi nhận chi phí cho những khoản đã được vốn hóa đúng đắn nhưng bị giảm giá trị trước khi lợi ích kỳ vọng được nhận về.</w:t>
      </w:r>
    </w:p>
    <w:p>
      <w:pPr>
        <w:pStyle w:val="Heading5"/>
      </w:pPr>
      <w:r>
        <w:rPr>
          <w:rFonts w:ascii="Calibri" w:hAnsi="Calibri"/>
          <w:b/>
          <w:i/>
          <w:sz w:val="22"/>
        </w:rPr>
        <w:t>Không xóa sổ tài sản cố định bị suy giảm giá trị</w:t>
      </w:r>
    </w:p>
    <w:p>
      <w:pPr>
        <w:spacing w:after="80"/>
      </w:pPr>
      <w:r>
        <w:rPr>
          <w:b w:val="0"/>
          <w:i w:val="0"/>
        </w:rPr>
        <w:t>Việc các công ty chỉ đơn thuần khấu hao tài sản cố định theo một lịch trình cứng nhắc và cho rằng không có gì có thể xảy ra để thay đổi kế hoạch đó là chưa đủ. Ban lãnh đạo phải liên tục xem xét những tài sản này để phát hiện khả năng suy giảm giá trị và ghi nhận chi phí bất cứ khi nào lợi ích tương lai giả định xuống dưới giá trị sổ sách. Để minh họa, hãy xét một thiết bị mà ban lãnh đạo ban đầu giả định sẽ dùng được 10 năm nhưng lại hỏng vĩnh viễn vào năm thứ 5. Một khi thiết bị ngừng hoạt động, lịch trình khấu hao ban đầu nên bị bỏ đi, và số dư tài sản còn lại phải được chuyển ngay sang phần Chi phí. Nếu thay vào đó công ty chọn tiếp tục khấu hao tài sản theo kế hoạch 10 năm ban đầu, thì công ty đã không ghi giảm một khoản chi phí được vốn hóa phù hợp mà sau đó đã bị suy giảm giá trị. Không có gì ngạc nhiên khi các công ty công bố những khoản chi phí tái cơ cấu lớn (Chiêu trò làm đẹp sổ sách số 7) thường đang cố gắng "dọn dẹp nhà cửa" sau khi đã không xóa sổ tài sản bị suy giảm giá trị một cách phù hợp trong các kỳ trước đó.</w:t>
      </w:r>
    </w:p>
    <w:p>
      <w:pPr>
        <w:pStyle w:val="Heading5"/>
      </w:pPr>
      <w:r>
        <w:rPr>
          <w:rFonts w:ascii="Calibri" w:hAnsi="Calibri"/>
          <w:b/>
          <w:i/>
          <w:sz w:val="22"/>
        </w:rPr>
        <w:t>Không xóa sổ hàng tồn kho lỗi thời</w:t>
      </w:r>
    </w:p>
    <w:p>
      <w:pPr>
        <w:spacing w:after="80"/>
      </w:pPr>
      <w:r>
        <w:rPr>
          <w:b w:val="0"/>
          <w:i w:val="0"/>
        </w:rPr>
        <w:t>Các công ty đương nhiên tích lũy hàng tồn kho để chuẩn bị bán sản phẩm cho khách hàng. Tuy nhiên, đôi khi nhu cầu đối với một sản phẩm không đạt được như kỳ vọng của công ty. Kết quả là công ty có thể phải hạ giá để bán được lượng hàng tồn kho khó tiêu thụ hơn. Hoặc công ty có thể phải xóa sổ hoàn toàn lượng hàng tồn kho đó. Ban lãnh đạo phải thường xuyên ước tính lượng hàng tồn kho "dư thừa và lỗi thời" của mình và giảm số dư hàng tồn kho tương ứng bằng cách ghi nhận một khoản chi phí (thường được gọi là "chi phí hàng tồn kho lỗi thời"). Tuy nhiên, khác với việc khấu hao tài sản cố định như thiết bị, không có tỷ lệ định trước nào được thiết lập để giảm trừ hàng tồn kho. Do đó, những điều chỉnh này chịu mức độ tùy nghi của ban lãnh đạo cao hơn và có khả năng bị thao túng.</w:t>
      </w:r>
    </w:p>
    <w:p>
      <w:pPr>
        <w:spacing w:after="80"/>
      </w:pPr>
      <w:r>
        <w:rPr>
          <w:b w:val="0"/>
          <w:i w:val="0"/>
        </w:rPr>
        <w:t>Ban lãnh đạo có thể thổi phồng lợi nhuận bằng cách không ghi nhận khoản chi phí cần thiết cho hàng tồn kho dư thừa và lỗi thời. Tuy nhiên, sự thiếu sót này sẽ quay lại cắn công ty, vì lợi nhuận sẽ bị chèn ép vào thời điểm hàng tồn kho được bán với giá chiết khấu sâu (hoặc bị ném vào đống rác). Nhà đầu tư nên theo dõi chi phí hàng tồn kho lỗi thời của công ty (và khoản dự phòng hàng tồn kho liên quan) để đảm bảo rằng công ty không thổi phồng lợi nhuận bằng cách thay đổi các ước tính. Bất kể ban lãnh đạo đưa ra lý do biện minh gì cho việc ghi nhận chi phí thấp hơn, tác động vẫn là một sự thúc đẩy lợi nhuận nhân tạo.</w:t>
      </w:r>
    </w:p>
    <w:p>
      <w:pPr>
        <w:spacing w:after="80"/>
      </w:pPr>
      <w:r>
        <w:rPr>
          <w:b w:val="0"/>
          <w:i w:val="0"/>
        </w:rPr>
        <w:t>Vitesse Semiconductor đã tiện thể quyết định không ghi nhận chi phí hàng tồn kho lỗi thời nào trong năm 2003, sau khi đã ghi nhận các khoản chi phí 30,5 triệu đô la trong năm 2002 và 46,5 triệu đô la trong năm 2001. Không nghi ngờ gì việc Vitesse quyết định không ghi nhận chi phí lỗi thời nào trong năm 2003 đã giúp lợi nhuận gộp của họ tăng gấp đôi (lên 83,2 triệu đô la từ 41,6 triệu đô la năm trước) chỉ với mức tăng doanh số 3 phần trăm. Chúng ta sẽ quay lại kiểm tra Vitesse ở phần sau của chương này để xem mọi việc diễn ra thế nào với công ty này.</w:t>
      </w:r>
    </w:p>
    <w:p>
      <w:pPr>
        <w:spacing w:after="80"/>
      </w:pPr>
      <w:r>
        <w:rPr>
          <w:b/>
          <w:i/>
        </w:rPr>
        <w:t>Cảnh giác với sự gia tăng hàng tồn kho bất ngờ</w:t>
      </w:r>
      <w:r>
        <w:rPr>
          <w:b w:val="0"/>
          <w:i w:val="0"/>
        </w:rPr>
        <w:t xml:space="preserve"> Nhà đầu tư nên theo dõi mức hàng tồn kho của công ty bằng cách tính số ngày bán hàng tồn kho (days' sales of inventory - DSI). Cũng giống như số ngày thu tiền bình quân (days' sales outstanding - DSO), được giới thiệu ở Chương 3, chuẩn hóa các khoản phải thu khi so với doanh thu trong một kỳ, DSI chuẩn hóa số dư hàng tồn kho so với lượng hàng tồn kho đã bán (tức là giá vốn hàng bán) trong một kỳ. Phép tính này giúp nhà đầu tư xác định liệu sự gia tăng về mức tuyệt đối của hàng tồn kho có tương xứng với mức tăng trưởng chung của hoạt động kinh doanh hay không, hay liệu đó có thể là dấu hiệu báo trước áp lực lên biên lợi nhuận.</w:t>
      </w:r>
    </w:p>
    <w:p>
      <w:pPr>
        <w:spacing w:after="80"/>
      </w:pPr>
      <w:r>
        <w:rPr>
          <w:b w:val="0"/>
          <w:i w:val="0"/>
        </w:rPr>
        <w:t>Đôi khi một công ty sẽ tích trữ hàng tồn kho để bước vào giai đoạn được kỳ vọng có nhu cầu tăng cao và doanh số tăng trưởng nhanh. Dù đây có thể là một chiến lược kinh doanh hoàn toàn chính đáng, các công ty vẫn dùng nó như một lý do phổ biến để biện minh cho sự gia tăng hàng tồn kho không chính đáng. Khi được đưa ra lý lẽ này như một giải thích cho việc hàng tồn kho tăng, nhà đầu tư nên xác định liệu chiến lược đó đã được lên kế hoạch trước khi hàng tồn kho tăng hay liệu chiến lược đó được nghĩ ra sau đó như một phản ứng phòng thủ trước sự gia tăng hàng tồn kho. Nhà đầu tư nên hoài nghi nếu trước đó chưa từng có đề cập nào về chiến lược tăng trưởng này.</w:t>
      </w:r>
    </w:p>
    <w:p>
      <w:pPr>
        <w:spacing w:after="80"/>
      </w:pPr>
      <w:r>
        <w:rPr>
          <w:b w:val="0"/>
          <w:i w:val="0"/>
        </w:rPr>
        <w:t>Một thước đo bổ sung có thể được dùng để kiểm tra liệu việc tích tụ hàng tồn kho có thể được biện minh bởi nhu cầu sắp tới hay không: chỉ cần so sánh mức tăng của hàng tồn kho tuyệt đối với mức tăng doanh thu kỳ vọng của công ty. Nếu hàng tồn kho tăng vượt xa mức tăng doanh số kỳ vọng, thì khối hàng tồn kho phình to đó có lẽ là không chính đáng và là mối lo cho nhà đầu tư.</w:t>
      </w:r>
    </w:p>
    <w:p>
      <w:pPr>
        <w:pStyle w:val="Heading4"/>
      </w:pPr>
      <w:r>
        <w:rPr>
          <w:rFonts w:ascii="Calibri" w:hAnsi="Calibri"/>
          <w:b/>
          <w:i w:val="0"/>
          <w:sz w:val="23"/>
        </w:rPr>
        <w:t>4. Không ghi nhận chi phí cho các khoản phải thu khó đòi và các khoản đầu tư bị giảm giá</w:t>
      </w:r>
    </w:p>
    <w:p>
      <w:pPr>
        <w:spacing w:after="80"/>
      </w:pPr>
      <w:r>
        <w:rPr>
          <w:b w:val="0"/>
          <w:i w:val="0"/>
        </w:rPr>
        <w:t>Hãy nhớ lại hai nhóm tài sản lớn đã bàn ở phần trước trong chương này: tài sản được tạo ra từ các chi phí mà ban lãnh đạo kỳ vọng sẽ mang lại lợi ích trong tương lai (ví dụ: hàng tồn kho, thiết bị và bảo hiểm trả trước) và tài sản được tạo ra từ doanh số hoặc các khoản đầu tư sẽ được đổi thành một tài sản như tiền mặt (ví dụ: các khoản phải thu và các khoản đầu tư). Ba mục đầu tiên của chương này đã trình bày những trò chơi được thực hiện với dòng chảy của nhóm tài sản thứ nhất vào Báo cáo thu nhập, hay như chúng tôi đã trình bày, là thao túng vũ điệu kế toán hai bước. Trong mục kết luận này của chương, chúng ta tập trung vào những trò chơi được thực hiện với nhóm tài sản còn lại. Cụ thể, chúng tôi cho thấy cách các công ty có thể thổi phồng lợi nhuận bằng việc không chuyển những tài sản này thành chi phí khi đã xảy ra một sự sụt giảm giá trị rõ ràng.</w:t>
      </w:r>
    </w:p>
    <w:p>
      <w:pPr>
        <w:spacing w:after="80"/>
      </w:pPr>
      <w:r>
        <w:rPr>
          <w:b w:val="0"/>
          <w:i w:val="0"/>
        </w:rPr>
        <w:t>Một số công ty may mắn có những khách hàng luôn thanh toán đầy đủ hóa đơn và chỉ nắm giữ những khoản đầu tư không bao giờ giảm giá trị. Những công ty như vậy thực sự rất hiếm. Hầu hết các công ty đều sẽ có một số lượng khách hàng quỵt nợ nhất định và đôi khi có một khoản đầu tư "cục gạch" trong danh mục của mình. Chà, ngay cả Warren Buffett cũng thỉnh thoảng thất bại.</w:t>
      </w:r>
    </w:p>
    <w:p>
      <w:pPr>
        <w:spacing w:after="80"/>
      </w:pPr>
      <w:r>
        <w:rPr>
          <w:b w:val="0"/>
          <w:i w:val="0"/>
        </w:rPr>
        <w:t>Khi điều này xảy ra, các công ty không thể chỉ nhắm mắt lại và cầu nguyện rằng tất cả các khoản phải thu của mình cuối cùng sẽ được thu hồi. Các quy tắc kế toán yêu cầu một số tài sản nhất định phải được ghi giảm thường xuyên xuống giá trị thuần có thể thực hiện được (net realizable value) (thuật ngữ của kế toán viên để chỉ số tiền thực tế mà bạn kỳ vọng sẽ được thanh toán). Các khoản phải thu nên được ghi giảm mỗi kỳ bằng cách ghi nhận một chi phí ước tính cho các khoản nợ khó đòi có khả năng xảy ra. Tương tự, các tổ chức cho vay nên ghi nhận một chi phí (hay khoản lỗ cho vay) mỗi quý để tính đến những người đi vay quỵt nợ được dự đoán trước. Ngoài ra, các khoản đầu tư bị sụt giảm giá trị vĩnh viễn phải được ghi giảm bằng cách ghi nhận một chi phí suy giảm giá trị (impairment expense). Việc không thực hiện bất kỳ khoản ghi giảm nào trong số này sẽ dẫn đến lợi nhuận bị phóng đại.</w:t>
      </w:r>
    </w:p>
    <w:p>
      <w:pPr>
        <w:pStyle w:val="Heading5"/>
      </w:pPr>
      <w:r>
        <w:rPr>
          <w:rFonts w:ascii="Calibri" w:hAnsi="Calibri"/>
          <w:b/>
          <w:i/>
          <w:sz w:val="22"/>
        </w:rPr>
        <w:t>Không trích lập dự phòng đầy đủ cho các khoản phải thu khách hàng khó đòi</w:t>
      </w:r>
    </w:p>
    <w:p>
      <w:pPr>
        <w:spacing w:after="80"/>
      </w:pPr>
      <w:r>
        <w:rPr>
          <w:b w:val="0"/>
          <w:i w:val="0"/>
        </w:rPr>
        <w:t>Các công ty phải thường xuyên điều chỉnh số dư các khoản phải thu của mình để phản ánh các khoản khách hàng vỡ nợ được dự kiến. Điều này đòi hỏi phải ghi nhận một chi phí trên Báo cáo thu nhập ("chi phí nợ khó đòi") và một khoản giảm các khoản phải thu trên Bảng cân đối kế toán ("dự phòng cho các khoản phải thu khó đòi", khoản này bù trừ vào tổng các khoản phải thu gộp). Việc không ghi nhận đủ chi phí nợ khó đòi, hoặc hoàn nhập một cách không thích hợp các chi phí nợ khó đòi trong quá khứ, sẽ tạo ra lợi nhuận nhân tạo.</w:t>
      </w:r>
    </w:p>
    <w:p>
      <w:pPr>
        <w:spacing w:after="80"/>
      </w:pPr>
      <w:r>
        <w:rPr>
          <w:b/>
          <w:i/>
        </w:rPr>
        <w:t>Hãy để ý đến sự sụt giảm của chi phí nợ khó đòi</w:t>
      </w:r>
      <w:r>
        <w:rPr>
          <w:b w:val="0"/>
          <w:i w:val="0"/>
        </w:rPr>
        <w:t xml:space="preserve"> Những người bạn của chúng ta tại Vitesse Semiconductor hẳn đã tiện thể quên mất ý nghĩa của việc trích trước chi phí. Trong mục trước, chúng ta đã thấy rằng Vitesse không trích trước bất kỳ chi phí lỗi thời hàng tồn kho nào trong năm 2003 sau khi đã ghi nhận khoản chi phí 30,5 triệu đô la vào năm trước. Công ty cũng quyết định chỉ ghi nhận 1,9 triệu đô la chi phí nợ khó đòi sau khi đã phát sinh 14,3 triệu đô la vào năm trước. Cộng thêm một khoản giảm bổ sung trong chi phí cho các khoản hàng bán bị trả lại được ước tính, Vitesse chỉ trích trước 2,2 triệu đô la chi phí ước tính trong năm 2003 so với 49,9 triệu đô la chi phí như vậy trong năm 2002. Nếu Vitesse trích trước những chi phí này theo cùng tỷ lệ phần trăm doanh thu như năm trước, thì thu nhập hoạt động của nó sẽ thấp hơn khoảng 50 triệu đô la. Tất cả những thủ thuật này tại một công ty chỉ có 162 triệu đô la doanh thu hằng năm đã tạo ra một sự bóp méo khổng lồ cho nhà đầu tư. Vì vậy, không có gì ngạc nhiên khi một cuộc điều tra của hội đồng quản trị vào năm 2006 đã phát hiện ra một danh sách dài các vấn đề kế toán, nhiều vấn đề trong đó liên quan đến việc hạch toán không đúng đắn đối với doanh thu và các khoản phải thu.</w:t>
      </w:r>
    </w:p>
    <w:p>
      <w:pPr>
        <w:spacing w:after="80"/>
      </w:pPr>
      <w:r>
        <w:rPr>
          <w:b w:val="0"/>
          <w:i w:val="0"/>
        </w:rPr>
        <w:t>MẸO</w:t>
      </w:r>
    </w:p>
    <w:p>
      <w:pPr>
        <w:spacing w:after="80"/>
      </w:pPr>
      <w:r>
        <w:rPr>
          <w:b w:val="0"/>
          <w:i w:val="0"/>
        </w:rPr>
        <w:t>Khi tất cả các khoản trích lập dự phòng đều đang đi sai hướng (tức là giảm xuống), hãy chạy lên núi trốn đi!</w:t>
      </w:r>
    </w:p>
    <w:p>
      <w:pPr>
        <w:spacing w:after="80"/>
      </w:pPr>
      <w:r>
        <w:rPr>
          <w:b/>
          <w:i/>
        </w:rPr>
        <w:t>Hãy để ý đến sự sụt giảm của dự phòng cho các khoản phải thu khó đòi</w:t>
      </w:r>
      <w:r>
        <w:rPr>
          <w:b w:val="0"/>
          <w:i w:val="0"/>
        </w:rPr>
        <w:t xml:space="preserve"> Trong điều kiện kinh doanh bình thường, dự phòng cho các khoản phải thu khó đòi (ADA) của một công ty sẽ tăng trưởng với tốc độ tương tự như các khoản phải thu gộp. Sự sụt giảm mạnh của khoản dự phòng đi kèm với sự gia tăng của các khoản phải thu thường báo hiệu rằng một công ty đã không ghi nhận đủ chi phí nợ khó đòi và do đó đã phóng đại lợi nhuận.</w:t>
      </w:r>
    </w:p>
    <w:p>
      <w:pPr>
        <w:spacing w:after="80"/>
      </w:pPr>
      <w:r>
        <w:rPr>
          <w:b w:val="0"/>
          <w:i w:val="0"/>
        </w:rPr>
        <w:t xml:space="preserve">Sự sụt giảm như vậy đã xảy ra tại nhà xuất bản Scholastic Corporation. Số dư các khoản phải thu của nó đã tăng 5 phần trăm trong năm tài chính 2002, vậy mà ADA lại </w:t>
      </w:r>
      <w:r>
        <w:rPr>
          <w:b w:val="0"/>
          <w:i/>
        </w:rPr>
        <w:t>giảm</w:t>
      </w:r>
      <w:r>
        <w:rPr>
          <w:b w:val="0"/>
          <w:i w:val="0"/>
        </w:rPr>
        <w:t xml:space="preserve"> 11 phần trăm. Theo tỷ lệ phần trăm (tức là ADA tính theo tỷ lệ phần trăm của các khoản phải thu gộp), ADA đã giảm xuống còn 20,4 phần trăm của các khoản phải thu trong năm 2002 từ mức 24,1 phần trăm trong năm 2001. Nếu Scholastic giữ tài khoản dự phòng ở mức 24,1 phần trăm, thì thu nhập hoạt động năm 2002 sẽ thấp hơn 11,3 triệu đô la. Giống như Vitesse, Scholastic cũng đang giảm một số khoản dự phòng khác, bao gồm dự phòng lỗi thời hàng tồn kho, dự phòng tạm ứng tiền bản quyền, và một khoản dự phòng liên quan đến một thương vụ mua lại gần đây.</w:t>
      </w:r>
    </w:p>
    <w:p>
      <w:pPr>
        <w:pStyle w:val="Heading5"/>
      </w:pPr>
      <w:r>
        <w:rPr>
          <w:rFonts w:ascii="Calibri" w:hAnsi="Calibri"/>
          <w:b/>
          <w:i/>
          <w:sz w:val="22"/>
        </w:rPr>
        <w:t>Việc các tổ chức cho vay không trích lập dự phòng đầy đủ cho các khoản lỗ tín dụng</w:t>
      </w:r>
    </w:p>
    <w:p>
      <w:pPr>
        <w:spacing w:after="80"/>
      </w:pPr>
      <w:r>
        <w:rPr>
          <w:b w:val="0"/>
          <w:i w:val="0"/>
        </w:rPr>
        <w:t>Các tổ chức tài chính và những tổ chức cho vay khác phải liên tục ước tính phần các khoản cho vay mà họ thực hiện mà họ kỳ vọng sẽ không bao giờ thu hồi được (gọi là "lỗ tín dụng" hay "lỗ cho vay"). Cơ chế của việc trích trước này về cơ bản phản chiếu những gì được sử dụng khi trích lập dự phòng cho các khoản phải thu khó đòi. Tổ chức cho vay ghi nhận một chi phí trên Báo cáo thu nhập (gọi là "dự phòng cho các khoản lỗ tín dụng" hay "chi phí lỗ cho vay") và một khoản giảm trong tổng các khoản cho vay phải thu trên Bảng cân đối kế toán (gọi là "dự phòng cho các khoản lỗ cho vay" hay "quỹ dự phòng lỗ cho vay"), được thể hiện như một khoản bù trừ vào tài sản cho vay gộp.</w:t>
      </w:r>
    </w:p>
    <w:p>
      <w:pPr>
        <w:spacing w:after="80"/>
      </w:pPr>
      <w:r>
        <w:rPr>
          <w:b w:val="0"/>
          <w:i w:val="0"/>
        </w:rPr>
        <w:t>Lý tưởng nhất, tổng số tiền trong quỹ dự phòng lỗ cho vay phải đủ để trang trải tất cả các khoản cho vay mà ngân hàng tin rằng hiện đang hoặc có khả năng bị vỡ nợ dựa trên các điều kiện tại ngày lập báo cáo tài chính. Các khoản bổ sung vào dự phòng được tính vào thu nhập mỗi năm phải đủ để duy trì các khoản dự phòng ở mức thích hợp. Tuy nhiên, khi ban lãnh đạo không trích lập đủ số tiền cho các khoản lỗ, lợi nhuận sẽ bị phóng đại. Sự phóng đại này cuối cùng sẽ đuổi kịp công ty khi các khoản cho vay trở thành nợ xấu, vì khi đó công ty sẽ buộc phải xóa sổ các khoản cho vay xấu.</w:t>
      </w:r>
    </w:p>
    <w:p>
      <w:pPr>
        <w:spacing w:after="80"/>
      </w:pPr>
      <w:r>
        <w:rPr>
          <w:b/>
          <w:i/>
        </w:rPr>
        <w:t>Hãy để ý đến sự sụt giảm của quỹ dự phòng lỗ cho vay</w:t>
      </w:r>
      <w:r>
        <w:rPr>
          <w:b w:val="0"/>
          <w:i w:val="0"/>
        </w:rPr>
        <w:t xml:space="preserve"> Bước vào cuộc sụp đổ bất động sản đau đớn của cuộc khủng hoảng tài chính năm 2008, nhiều tổ chức cho vay đã không thiết lập đủ dự phòng cho các khoản cho vay xấu và do đó đã che giấu các khoản lỗ của mình khỏi nhà đầu tư. Những tổ chức cho vay đối với các khách hàng rủi ro nhất, cái gọi là thị trường dưới chuẩn (subprime), đặc biệt bị phơi nhiễm. Những người đi vay dưới chuẩn thường nhận được các khoản cho vay lớn mặc dù có lịch sử tín dụng kém, không có tài liệu chứng minh thu nhập, và có nhiều nợ. Thị trường dưới chuẩn cuối cùng đã sụp đổ khi nhiều người đi vay xấu này vỡ nợ trong các khoản thanh toán của họ.</w:t>
      </w:r>
    </w:p>
    <w:p>
      <w:pPr>
        <w:spacing w:after="80"/>
      </w:pPr>
      <w:r>
        <w:rPr>
          <w:b w:val="0"/>
          <w:i w:val="0"/>
        </w:rPr>
        <w:t>Khi các tổ chức cho vay bắt đầu nhận thấy số vụ vỡ nợ và nợ quá hạn của người đi vay gia tăng, lẽ ra họ phải tăng dự phòng tổn thất tương ứng. Tuy nhiên, các công ty này lại ngần ngại ghi nhận các khoản chi phí cần thiết để tăng dự phòng (hoặc thậm chí chỉ để duy trì ở mức cũ), bởi vì làm vậy đồng nghĩa với việc phải báo cáo lợi nhuận thấp hơn trong giai đoạn mà mọi dấu hiệu đều cho thấy là một thị trường tăng giá sôi động.</w:t>
      </w:r>
    </w:p>
    <w:p>
      <w:pPr>
        <w:spacing w:after="80"/>
      </w:pPr>
      <w:r>
        <w:rPr>
          <w:b w:val="0"/>
          <w:i w:val="0"/>
        </w:rPr>
        <w:t xml:space="preserve">New Century Financial (công ty cho vay thế chấp dưới chuẩn đầu tiên sụp đổ trong cuộc khủng hoảng tài chính) đã hoàn toàn đi ngược lại logic vào cuối năm 2006 khi </w:t>
      </w:r>
      <w:r>
        <w:rPr>
          <w:b w:val="0"/>
          <w:i/>
        </w:rPr>
        <w:t>giảm</w:t>
      </w:r>
      <w:r>
        <w:rPr>
          <w:b w:val="0"/>
          <w:i w:val="0"/>
        </w:rPr>
        <w:t xml:space="preserve"> dự phòng tổn thất cho vay trong bối cảnh nợ quá hạn gia tăng và các khoản vay không sinh lãi (nợ xấu) ngày càng nhiều. Trong quý tháng 9 năm 2006, New Century gây sốc khi hạ dự phòng tổn thất cho vay từ 210 triệu đô la (29,5 phần trăm nợ xấu) xuống còn 191 triệu đô la (23,4 phần trăm). Ban lãnh đạo dường như hiểu rằng hành động này là không thỏa đáng, vì công ty đã làm mờ cách trình bày khoản dự phòng tổn thất cho vay trong Báo cáo Thu nhập (Earnings Release) để khiến nó trông như thể dự phòng đã tăng lên. (Chúng ta sẽ khám phá kiểu thao túng sáng tạo các chỉ số quan trọng như vậy trong Phần Bốn, "Những chiêu trò với chỉ số then chốt.") Nếu công ty giữ dự phòng tổn thất cho vay ở mức phần trăm tương tự so với các khoản vay không sinh lãi như quý trước, thì thu nhập trên mỗi cổ phiếu trong tháng 9 năm 2006 sẽ bị cắt giảm tới </w:t>
      </w:r>
      <w:r>
        <w:rPr>
          <w:b w:val="0"/>
          <w:i/>
        </w:rPr>
        <w:t>58 phần trăm</w:t>
      </w:r>
      <w:r>
        <w:rPr>
          <w:b w:val="0"/>
          <w:i w:val="0"/>
        </w:rPr>
        <w:t>—xuống còn 0,47 đô la từ mức 1,12 đô la được báo cáo.</w:t>
      </w:r>
    </w:p>
    <w:p>
      <w:pPr>
        <w:spacing w:after="80"/>
      </w:pPr>
      <w:r>
        <w:rPr>
          <w:b w:val="0"/>
          <w:i w:val="0"/>
        </w:rPr>
        <w:t>Các nhà đầu tư theo dõi dự phòng tổn thất cho vay của New Century đã được cảnh báo thỏa đáng về sự sụp đổ sắp xảy ra của công ty. Đầu tháng 2 năm 2007, một ngày trước khi công bố kết quả quý bốn theo kế hoạch, công ty tuyên bố phải điều chỉnh lại báo cáo thu nhập cho ba quý đầu năm 2006. Cổ phiếu lao dốc không phanh, và hai tháng sau New Century nộp đơn xin phá sản. Các vụ kiện tụng nối tiếp nhau, và SEC đã buộc tội ban lãnh đạo cấp cao về hành vi gian lận chứng khoán vì đã đánh lừa nhà đầu tư trong lúc doanh nghiệp đang sụp đổ.</w:t>
      </w:r>
    </w:p>
    <w:p>
      <w:pPr>
        <w:spacing w:after="80"/>
      </w:pPr>
      <w:r>
        <w:rPr>
          <w:b w:val="0"/>
          <w:i w:val="0"/>
        </w:rPr>
        <w:t>CỜ ĐỎ!</w:t>
      </w:r>
    </w:p>
    <w:p>
      <w:pPr>
        <w:spacing w:after="80"/>
      </w:pPr>
      <w:r>
        <w:rPr>
          <w:b w:val="0"/>
          <w:i w:val="0"/>
        </w:rPr>
        <w:t>Dự phòng tổn thất cho vay giảm tương đối so với các khoản vay xấu (không sinh lãi hoặc không có khả năng thanh toán).</w:t>
      </w:r>
    </w:p>
    <w:p>
      <w:pPr>
        <w:spacing w:after="80"/>
      </w:pPr>
      <w:r>
        <w:rPr>
          <w:b/>
          <w:i/>
        </w:rPr>
        <w:t>Hãy Đặc Biệt Thận Trọng Khi Công Ty Cho Chính Khách Hàng Của Mình Vay Tiền</w:t>
      </w:r>
      <w:r>
        <w:rPr>
          <w:b w:val="0"/>
          <w:i w:val="0"/>
        </w:rPr>
        <w:t xml:space="preserve"> Đôi khi các công ty sẽ cho khách hàng của mình vay tiền trực tiếp thông qua các chương trình tài trợ khách hàng nội bộ. Những thỏa thuận này cần được soi xét kỹ lưỡng hơn để đảm bảo rằng công ty không đang thổi phồng doanh số bằng cách cho vay đối với những khách hàng không có khả năng trả nợ. Chẳng hạn, một công ty đang chật vật, khao khát tăng trưởng doanh số, có thể quyết định nới lỏng các điều khoản cho vay và để chuyện nợ xấu tính sau.</w:t>
      </w:r>
    </w:p>
    <w:p>
      <w:pPr>
        <w:spacing w:after="80"/>
      </w:pPr>
      <w:r>
        <w:rPr>
          <w:b w:val="0"/>
          <w:i w:val="0"/>
        </w:rPr>
        <w:t>Hãy xem trường hợp của Signet Jewelers, chủ sở hữu một loạt nhà bán lẻ trang sức bao gồm Kay, Zales, Jared và H. Samuel. Trong năm tài chính 2015, 61 phần trăm doanh số trong phân khúc sterling của công ty được thực hiện thông qua chương trình tài trợ khách hàng nội bộ của Signet. Đây là mức tăng đáng kể so với 58 phần trăm tỷ lệ tham gia tín dụng một năm trước đó và so với mức từ thấp đến trung bình 50 phần trăm suốt thập kỷ trước. Việc gia tăng cho khách hàng vay tiền đã giúp công ty đạt được các mục tiêu tăng trưởng doanh số cùng cửa hàng (same-store sales) mà họ hằng ao ước, nhưng đáng tiếc là sự tăng trưởng đó chỉ tồn tại trong chốc lát. Trong năm tài chính 2017, tăng trưởng tỷ lệ tham gia tín dụng chậm lại, và Signet báo cáo tăng trưởng doanh số cùng cửa hàng âm lần đầu tiên kể từ sau cuộc khủng hoảng tài chính.</w:t>
      </w:r>
    </w:p>
    <w:p>
      <w:pPr>
        <w:pStyle w:val="Heading5"/>
      </w:pPr>
      <w:r>
        <w:rPr>
          <w:rFonts w:ascii="Calibri" w:hAnsi="Calibri"/>
          <w:b/>
          <w:i/>
          <w:sz w:val="22"/>
        </w:rPr>
        <w:t>Không Ghi Giảm Các Khoản Đầu Tư Bị Tổn Thất Giá Trị</w:t>
      </w:r>
    </w:p>
    <w:p>
      <w:pPr>
        <w:spacing w:after="80"/>
      </w:pPr>
      <w:r>
        <w:rPr>
          <w:b w:val="0"/>
          <w:i w:val="0"/>
        </w:rPr>
        <w:t>Các công ty cũng phải rà soát danh mục đầu tư của mình để tìm ra những khoản đầu tư "hàng lỗi". Nếu một khoản đầu tư vào cổ phiếu, trái phiếu hoặc chứng khoán khác bị giảm giá trị vĩnh viễn, công ty phải ghi nhận một khoản chi phí tổn thất giá trị (impairment expense). Nguyên tắc này đặc biệt liên quan đến một số ngành nhất định, như bảo hiểm và ngân hàng, nơi các khoản đầu tư chiếm một phần đáng kể trong tài sản của họ.</w:t>
      </w:r>
    </w:p>
    <w:p>
      <w:pPr>
        <w:spacing w:after="80"/>
      </w:pPr>
      <w:r>
        <w:rPr>
          <w:b w:val="0"/>
          <w:i w:val="0"/>
        </w:rPr>
        <w:t>Nhà đầu tư nên để mắt đến những công ty không chịu ghi nhận tổn thất giá trị trong các đợt suy thoái thị trường, như đã xảy ra khi gần như mọi loại tài sản đều sụp đổ trong cuộc khủng hoảng tài chính toàn cầu năm 2008 và kéo theo tổn thất trên khắp các danh mục đầu tư của doanh nghiệp.</w:t>
      </w:r>
    </w:p>
    <w:p>
      <w:pPr>
        <w:spacing w:after="80"/>
      </w:pPr>
      <w:r>
        <w:rPr>
          <w:b w:val="0"/>
          <w:i w:val="0"/>
        </w:rPr>
        <w:t>Như bạn có thể hình dung, nhiều công ty đã phủ nhận sự sụt giảm nghiêm trọng về giá trị danh mục đầu tư và cho rằng không cần thiết phải ghi nhận tổn thất giá trị. Ban đầu, nhiều tổ chức tài chính hầu như không ghi nhận khoản chi phí nào cho những sự sụt giảm này. Tuy nhiên, khi đà suy thoái càng sâu, các công ty càng khó phớt lờ thực tế và biện minh cho việc giữ những tài sản này trên Bảng cân đối kế toán (Balance Sheet) ở mức giá bị thổi phồng. Đến lúc đó, nhà đầu tư mới chứng kiến những khoản ghi giảm khổng lồ khi các công ty trong danh mục cuối cùng cũng phải "uống thuốc" mà trước đó họ đã né tránh.</w:t>
      </w:r>
    </w:p>
    <w:p>
      <w:pPr>
        <w:spacing w:after="80"/>
      </w:pPr>
      <w:r>
        <w:rPr>
          <w:b/>
          <w:i/>
        </w:rPr>
        <w:t>Coi Chừng Những Chiêu Trò Khiến Tổn Thất Từ Tài Sản Bị Tổn Thất Giá Trị Biến Mất</w:t>
      </w:r>
      <w:r>
        <w:rPr>
          <w:b w:val="0"/>
          <w:i w:val="0"/>
        </w:rPr>
        <w:t xml:space="preserve"> Vụ gian lận kế toán khổng lồ tại hãng máy ảnh Nhật Bản Olympus khởi đầu khá lành tính, khi công ty thực hiện những khoản đầu tư rủi ro vào thập niên 1980 và đầu thập niên 1990. Ban đầu, những khoản đầu tư này được trình bày đúng đắn trên Bảng cân đối kế toán theo nguyên giá. Tuy nhiên, khi các khoản đầu tư giảm giá trị, Olympus đã không ghi nhận tổn thất giá trị một cách thỏa đáng. Cuối cùng ban lãnh đạo quyết định che giấu những khoản lỗ này, sử dụng nhiều thủ đoạn gian lận khác nhau, được gọi là các thủ đoạn </w:t>
      </w:r>
      <w:r>
        <w:rPr>
          <w:b w:val="0"/>
          <w:i/>
        </w:rPr>
        <w:t>tobashi</w:t>
      </w:r>
      <w:r>
        <w:rPr>
          <w:b w:val="0"/>
          <w:i w:val="0"/>
        </w:rPr>
        <w:t xml:space="preserve">, để khiến các khoản lỗ biến mất. </w:t>
      </w:r>
      <w:r>
        <w:rPr>
          <w:b w:val="0"/>
          <w:i/>
        </w:rPr>
        <w:t>Tobashi</w:t>
      </w:r>
      <w:r>
        <w:rPr>
          <w:b w:val="0"/>
          <w:i w:val="0"/>
        </w:rPr>
        <w:t xml:space="preserve"> trong tiếng Nhật nghĩa là "bay đi." Nó mô tả một thủ thuật trong đó công ty bán hoặc bằng cách nào đó đưa các khoản đầu tư thua lỗ ra khỏi sổ sách của mình và chuyển chúng sang một công ty khác để che giấu tổn thất khỏi nhà đầu tư. Theo nghĩa đó, các khoản lỗ được làm cho biến mất, hay "bay đi."</w:t>
      </w:r>
    </w:p>
    <w:p>
      <w:pPr>
        <w:spacing w:after="80"/>
      </w:pPr>
      <w:r>
        <w:rPr>
          <w:b w:val="0"/>
          <w:i w:val="0"/>
        </w:rPr>
        <w:t>Trong Phần Năm, "Những chiêu trò kế toán mua bán sáp nhập," chúng tôi trình bày chi tiết về vụ gian lận của Olympus, phác họa những kỹ thuật cụ thể mà công ty đã sử dụng để che giấu gần 2 tỷ đô la tổn thất bằng cách lấy các thương vụ mua bán và thoái vốn làm vỏ bọc.</w:t>
      </w:r>
    </w:p>
    <w:p>
      <w:pPr>
        <w:pStyle w:val="Heading3"/>
      </w:pPr>
      <w:r>
        <w:rPr>
          <w:rFonts w:ascii="Calibri" w:hAnsi="Calibri"/>
          <w:b/>
          <w:i w:val="0"/>
          <w:sz w:val="26"/>
        </w:rPr>
        <w:t>Nhìn Về Phía Trước</w:t>
      </w:r>
    </w:p>
    <w:p>
      <w:pPr>
        <w:spacing w:after="80"/>
      </w:pPr>
      <w:r>
        <w:rPr>
          <w:b w:val="0"/>
          <w:i w:val="0"/>
        </w:rPr>
        <w:t>Khác với chương này, Chương 7 bàn về những khoản chi phí sử dụng quy trình một bước. Dù về mặt khái niệm, mọi khoản chi phí phát sinh đều mang lại lợi ích kinh tế nào đó, nhưng những khoản chỉ có lợi ích ngắn hạn (như tiền thuê nhà) không bao giờ xuất hiện trên Bảng cân đối kế toán mà được ghi ngay thành chi phí. Chiêu trò số 5 trình bày những kỹ thuật mà ban lãnh đạo dùng để che giấu những khoản chi phí đó khỏi nhà đầu tư.</w:t>
      </w:r>
    </w:p>
    <w:p>
      <w:pPr>
        <w:pStyle w:val="Heading2"/>
      </w:pPr>
      <w:r>
        <w:rPr>
          <w:rFonts w:ascii="Calibri" w:hAnsi="Calibri"/>
          <w:b/>
          <w:i w:val="0"/>
          <w:sz w:val="32"/>
        </w:rPr>
        <w:t>7</w:t>
      </w:r>
    </w:p>
    <w:p>
      <w:pPr>
        <w:pStyle w:val="Heading2"/>
      </w:pPr>
      <w:r>
        <w:rPr>
          <w:rFonts w:ascii="Calibri" w:hAnsi="Calibri"/>
          <w:b/>
          <w:i w:val="0"/>
          <w:sz w:val="32"/>
        </w:rPr>
        <w:t>Thủ thuật thao túng lợi nhuận số 5: Sử dụng các kỹ thuật khác để che giấu chi phí hoặc lỗ</w:t>
      </w:r>
    </w:p>
    <w:p>
      <w:pPr>
        <w:spacing w:after="80"/>
      </w:pPr>
      <w:r>
        <w:rPr>
          <w:b w:val="0"/>
          <w:i w:val="0"/>
        </w:rPr>
        <w:t>Không báo cáo tất cả chi phí của bạn khi khai thuế với Internal Revenue Service sẽ là dại dột và vô nghĩa vì bạn chỉ chuốc lấy một hóa đơn thuế cao hơn mà thôi. Không báo cáo tất cả chi phí khi lập báo cáo tài chính, tuy cũng dại dột, lại sẽ hữu ích nếu bạn đang bày một màn lừa để khiến cổ đông tin rằng lợi nhuận mạnh hơn thực tế. Chương 6 đã phác họa cách ban lãnh đạo có thể cố che giấu chi phí trên Bảng cân đối kế toán (Balance Sheet), giả vờ rằng chúng thực ra là tài sản. Chương này trình bày một thủ thuật khó phát hiện hơn đối với nhà đầu tư: khi ban lãnh đạo hạ thấp chi phí bằng cách không ghi nhận một khoản chi phí có thật hoặc bằng cách ghi nhận một khoản chi phí thấp một cách không thích đáng. Thật đáng kinh ngạc khi người ta lại thử trò này ngay từ đầu; điều còn đáng kinh ngạc hơn là họ thường thoát được mà không bị phát hiện!</w:t>
      </w:r>
    </w:p>
    <w:p>
      <w:pPr>
        <w:spacing w:after="80"/>
      </w:pPr>
      <w:r>
        <w:rPr>
          <w:b w:val="0"/>
          <w:i w:val="0"/>
        </w:rPr>
        <w:t>Trong chương trước, chúng ta đã thảo luận cách một số chi phí mang lại lợi ích dài hạn ban đầu được ghi nhận là tài sản trên Bảng cân đối kế toán, trong khi những chi phí khác chỉ mang lại lợi ích ngắn hạn thì được ghi nhận chi phí ngay lập tức. Chúng ta đã chỉ ra rằng việc theo dõi xu hướng của tài sản, chi phí và các chính sách vốn hóa là một cách hữu ích để phát hiện những công ty đang thổi phồng lợi nhuận bằng cách giữ chi phí trên Bảng cân đối kế toán một cách không đúng đắn. Ngược lại, những chi phí chỉ mang lại lợi ích ngắn hạn thì không bao giờ xuất hiện trên Bảng cân đối kế toán cả vì chúng được ghi nhận chi phí ngay lập tức. Chương này tập trung vào những thủ thuật liên quan đến các lợi ích ngắn hạn mà ban lãnh đạo đơn giản là quyết định giấu nhà đầu tư.</w:t>
      </w:r>
    </w:p>
    <w:p>
      <w:pPr>
        <w:pStyle w:val="Heading3"/>
      </w:pPr>
      <w:r>
        <w:rPr>
          <w:rFonts w:ascii="Calibri" w:hAnsi="Calibri"/>
          <w:b/>
          <w:i w:val="0"/>
          <w:sz w:val="26"/>
        </w:rPr>
        <w:t>Sử dụng các kỹ thuật khác để che giấu chi phí hoặc lỗ</w:t>
      </w:r>
    </w:p>
    <w:p>
      <w:pPr>
        <w:spacing w:after="80"/>
      </w:pPr>
      <w:r>
        <w:rPr>
          <w:b w:val="0"/>
          <w:i w:val="0"/>
        </w:rPr>
        <w:t>1. Không ghi nhận một khoản chi phí với đúng số tiền từ một giao dịch hiện tại</w:t>
      </w:r>
    </w:p>
    <w:p>
      <w:pPr>
        <w:spacing w:after="80"/>
      </w:pPr>
      <w:r>
        <w:rPr>
          <w:b w:val="0"/>
          <w:i w:val="0"/>
        </w:rPr>
        <w:t>2. Ghi nhận chi phí thấp một cách không thích đáng bằng cách dùng các giả định kế toán mang tính tấn công</w:t>
      </w:r>
    </w:p>
    <w:p>
      <w:pPr>
        <w:spacing w:after="80"/>
      </w:pPr>
      <w:r>
        <w:rPr>
          <w:b w:val="0"/>
          <w:i w:val="0"/>
        </w:rPr>
        <w:t>3. Giảm chi phí bằng cách giải phóng các khoản dự phòng từ những khoản trích lập trước đó</w:t>
      </w:r>
    </w:p>
    <w:p>
      <w:pPr>
        <w:pStyle w:val="Heading4"/>
      </w:pPr>
      <w:r>
        <w:rPr>
          <w:rFonts w:ascii="Calibri" w:hAnsi="Calibri"/>
          <w:b/>
          <w:i w:val="0"/>
          <w:sz w:val="23"/>
        </w:rPr>
        <w:t>1. Không ghi nhận một khoản chi phí với đúng số tiền từ một giao dịch hiện tại</w:t>
      </w:r>
    </w:p>
    <w:p>
      <w:pPr>
        <w:spacing w:after="80"/>
      </w:pPr>
      <w:r>
        <w:rPr>
          <w:b w:val="0"/>
          <w:i w:val="0"/>
        </w:rPr>
        <w:t>Kỹ thuật đầu tiên này nhằm hạ thấp tổng chi phí của kỳ bằng cách không ghi nhận một nghĩa vụ thực tế làm phát sinh chi phí (như tiền thuê).</w:t>
      </w:r>
    </w:p>
    <w:p>
      <w:pPr>
        <w:pStyle w:val="Heading5"/>
      </w:pPr>
      <w:r>
        <w:rPr>
          <w:rFonts w:ascii="Calibri" w:hAnsi="Calibri"/>
          <w:b/>
          <w:i/>
          <w:sz w:val="22"/>
        </w:rPr>
        <w:t>Không ghi nhận toàn bộ một giao dịch liên quan đến một hóa đơn nhận được muộn trong quý</w:t>
      </w:r>
    </w:p>
    <w:p>
      <w:pPr>
        <w:spacing w:after="80"/>
      </w:pPr>
      <w:r>
        <w:rPr>
          <w:b w:val="0"/>
          <w:i w:val="0"/>
        </w:rPr>
        <w:t>Một trong những cách đơn giản nhất để che giấu một khoản chi phí là giả vờ rằng bạn chưa từng thấy hóa đơn từ nhà cung cấp cho đến sau khi quý đã kết thúc. Ví dụ, việc không hạch toán một hóa đơn tiền điện nhận được vào cuối tháng 3 cho dịch vụ của tháng đó sẽ dẫn đến việc báo cáo thiếu chi phí (và khoản phải trả người bán liên quan) và do đó sẽ thổi phồng thu nhập.</w:t>
      </w:r>
    </w:p>
    <w:p>
      <w:pPr>
        <w:spacing w:after="80"/>
      </w:pPr>
      <w:r>
        <w:rPr>
          <w:b w:val="0"/>
          <w:i w:val="0"/>
        </w:rPr>
        <w:t>Một ví dụ điển hình về việc không ghi nhận chi phí cuối kỳ có thể thấy tại Symbol Technologies. Symbol đã trả tiền thưởng cho nhân viên trong quý tháng 3 năm 2000 nhưng không ghi nhận nghĩa vụ liên quan phải trả 3.5 triệu đô-la tiền bảo hiểm theo Đạo luật Đóng góp Bảo hiểm Liên bang (FICA). Thay vào đó, công ty (một cách không thích đáng) quyết định ghi nhận chi phí này vào một kỳ sau, khi tiền mặt được chi trả. Bằng việc không trích trước đúng đắn khoản chi phí FICA vào tháng 3, Symbol đã thổi phồng thu nhập ròng hàng quý của mình thêm 7.5 phần trăm.</w:t>
      </w:r>
    </w:p>
    <w:p>
      <w:pPr>
        <w:pStyle w:val="Heading5"/>
      </w:pPr>
      <w:r>
        <w:rPr>
          <w:rFonts w:ascii="Calibri" w:hAnsi="Calibri"/>
          <w:b/>
          <w:i/>
          <w:sz w:val="22"/>
        </w:rPr>
        <w:t>Nhận được chút trợ giúp từ bạn bè</w:t>
      </w:r>
    </w:p>
    <w:p>
      <w:pPr>
        <w:spacing w:after="80"/>
      </w:pPr>
      <w:r>
        <w:rPr>
          <w:b w:val="0"/>
          <w:i w:val="0"/>
        </w:rPr>
        <w:t>Đôi khi ban lãnh đạo khôn khéo có thể tranh thủ sự giúp đỡ từ các bên khác, như nhà cung cấp, để khiến chi phí được báo cáo trông nhỏ hơn. Mưu mẹo nhằm giảm chi phí một cách giả tạo và thổi phồng lợi nhuận này liên quan đến việc nhận các khoản hoàn tiền (rebate) giả mạo từ nhà cung cấp. Đương nhiên, thủ thuật này cần sự hỗ trợ của nhà cung cấp. Đây là cách nó hoạt động.</w:t>
      </w:r>
    </w:p>
    <w:p>
      <w:pPr>
        <w:spacing w:after="80"/>
      </w:pPr>
      <w:r>
        <w:rPr>
          <w:b w:val="0"/>
          <w:i w:val="0"/>
        </w:rPr>
        <w:t>Nói với một nhà cung cấp rằng bạn sẽ đồng ý mua 9 triệu đô-la sản phẩm văn phòng trong năm tới và rằng bạn sẽ trả một mức giá bị thổi phồng là 10 triệu đô-la. Đổi lại đơn hàng lớn này, bạn yêu cầu nhà cung cấp trả cho bạn một khoản "hoàn tiền" trả trước 1 triệu đô-la khi ký kết thỏa thuận. Sau đó bạn ghi nhận khoản hoàn tiền này một cách không thích đáng như một khoản giảm trừ ngay lập tức vào chi phí văn phòng của mình. Bằng cách dùng thủ thuật này, bạn đã thúc đẩy lợi nhuận thêm khoản thu 1 triệu đô-la, khoản lẽ ra phải được ghi nhận như một khoản giảm trừ vào mức giá bị thổi phồng của các giao dịch mua sản phẩm văn phòng trong tương lai.</w:t>
      </w:r>
    </w:p>
    <w:p>
      <w:pPr>
        <w:spacing w:after="80"/>
      </w:pPr>
      <w:r>
        <w:rPr>
          <w:b w:val="0"/>
          <w:i w:val="0"/>
        </w:rPr>
        <w:t>Hãy xem xét các giao dịch của Sunrise Medical với một nhà cung cấp, trong đó công ty đã dàn xếp một thỏa thuận để nhận khoản hoàn tiền 1 triệu đô-la cho các giao dịch mua đã được thực hiện trong năm. Vậy nhà cung cấp được gì? À, Sunrise đã đồng ý tăng giá cho các giao dịch mua trong năm tới để bù đắp khoản hoàn tiền. Một "thư phụ lục" (side letter) đã được lập để niêm phong màn lừa này. Sunrise đã ghi nhận khoản hoàn tiền như một khoản giảm chi phí, mà không tiết lộ cho nhà đầu tư hay kiểm toán viên rằng nhà cung cấp đã gắn khoản hoàn tiền với việc tăng giá cho các giao dịch mua trong tương lai.</w:t>
      </w:r>
    </w:p>
    <w:p>
      <w:pPr>
        <w:spacing w:after="80"/>
      </w:pPr>
      <w:r>
        <w:rPr>
          <w:b w:val="0"/>
          <w:i w:val="0"/>
        </w:rPr>
        <w:t>MẸO</w:t>
      </w:r>
    </w:p>
    <w:p>
      <w:pPr>
        <w:spacing w:after="80"/>
      </w:pPr>
      <w:r>
        <w:rPr>
          <w:b w:val="0"/>
          <w:i w:val="0"/>
        </w:rPr>
        <w:t>Luôn nhìn nhận các khoản tiền mặt thu vào từ nhà cung cấp với sự nghi ngờ. Tiền mặt thông thường chảy ra cho nhà cung cấp, chứ không chảy vào từ nhà cung cấp, nên những dòng tiền mặt chảy vào bất thường từ nhà cung cấp có thể là dấu hiệu của một thủ thuật kế toán.</w:t>
      </w:r>
    </w:p>
    <w:p>
      <w:pPr>
        <w:spacing w:after="80"/>
      </w:pPr>
      <w:r>
        <w:rPr>
          <w:b/>
          <w:i/>
        </w:rPr>
        <w:t>Cảnh giác với các khoản tín dụng hoặc chiết khấu từ nhà cung cấp lớn bất thường</w:t>
      </w:r>
      <w:r>
        <w:rPr>
          <w:b w:val="0"/>
          <w:i w:val="0"/>
        </w:rPr>
        <w:t xml:space="preserve"> Syntax-Brillian đã đưa khái niệm chiết khấu từ nhà cung cấp lên một tầm cao hoàn toàn khác. Công ty nhận được nhiều khoản "tín dụng" khác nhau từ nhà cung cấp chính của mình (Kolin), mà như chúng ta đã thảo luận ở chương trước, cũng là một cổ đông lớn của công ty. Syntax-Brillian ghi nhận các khoản tín dụng từ nhà cung cấp này như một khoản giảm trừ vào giá vốn hàng bán, điều này đương nhiên mang lại lợi ích cho lợi nhuận. Tuy nhiên, vấn đề là những khoản tín dụng này không hề bình thường. Quy mô của những khoản tín dụng này thực sự gây sốc; nó chiếm nhiều hơn toàn bộ lợi nhuận gộp của Syntax-Brillian trong suốt lịch sử ngắn ngủi của công ty với tư cách là một công ty đại chúng.</w:t>
      </w:r>
    </w:p>
    <w:p>
      <w:pPr>
        <w:spacing w:after="80"/>
      </w:pPr>
      <w:r>
        <w:rPr>
          <w:b w:val="0"/>
          <w:i w:val="0"/>
        </w:rPr>
        <w:t>Cụ thể, từ tháng 12 năm 2005 đến tháng 6 năm 2007, công ty báo cáo lợi nhuận gộp là 142,7 triệu đô la, trong đó bao gồm các khoản tín dụng từ Kolin với tổng trị giá đáng kinh ngạc lên tới 214,7 triệu đô la. Hơn nữa, công ty chưa bao giờ nhận được tiền mặt cho những khoản tín dụng này; chúng chỉ là các bút toán sổ sách. Kết quả là, Syntax-Brillian cho thấy khả năng sinh lời khá tốt, nhưng lại cho thấy dòng tiền từ hoạt động kinh doanh âm nghiêm trọng. Ngay cả những nhà đầu tư mới vào nghề cũng có thể nhận ra thủ đoạn này. Một kiểm tra nhanh về chất lượng lợi nhuận sẽ tiết lộ sự chênh lệch lớn giữa dòng tiền và thu nhập ròng. Hơn nữa, những nhà đầu tư cẩn thận có thể đã tìm thấy trong phần thuyết minh chú thích những khoản tín dụng từ nhà cung cấp lớn bất thường và các giao dịch bên liên quan đáng kể.</w:t>
      </w:r>
    </w:p>
    <w:p>
      <w:pPr>
        <w:spacing w:after="80"/>
      </w:pPr>
      <w:r>
        <w:rPr>
          <w:b/>
          <w:i/>
        </w:rPr>
        <w:t>Hãy cảnh giác với các công ty không trích lập chi phí cho các khoản dự phòng tổn thất</w:t>
      </w:r>
      <w:r>
        <w:rPr>
          <w:b w:val="0"/>
          <w:i w:val="0"/>
        </w:rPr>
        <w:t xml:space="preserve"> Đôi khi, ban lãnh đạo có thể được yêu cầu lập một khoản dự phòng và ghi nhận một khoản chi phí (hoặc tổn thất) cho các tranh chấp chưa được giải quyết. Các quy tắc kế toán yêu cầu rằng tổn thất phải được trích lập cho những khoản dự phòng như vậy (ví dụ: các khoản thanh toán dự kiến liên quan đến tranh tụng hoặc tranh chấp thuế) khi tồn tại hai điều kiện sau: (1) có khả năng xảy ra tổn thất, và (2) số tiền tổn thất có thể được ước tính một cách hợp lý.</w:t>
      </w:r>
    </w:p>
    <w:p>
      <w:pPr>
        <w:spacing w:after="80"/>
      </w:pPr>
      <w:r>
        <w:rPr>
          <w:b/>
          <w:i/>
        </w:rPr>
        <w:t>Hãy nhớ xem xét các cam kết mua hàng ngoài bảng cân đối kế toán</w:t>
      </w:r>
      <w:r>
        <w:rPr>
          <w:b w:val="0"/>
          <w:i w:val="0"/>
        </w:rPr>
        <w:t xml:space="preserve"> Các nghĩa vụ hiện có phát sinh từ các giao dịch trong quá khứ được báo cáo như các khoản nợ phải trả trên Bảng cân đối kế toán. Ngoài ra, như đã thảo luận ở trên, các khoản nợ phải trả cho một số khoản thanh toán tiềm ẩn nhất định đôi khi cũng được trích lập như một khoản nợ phải trả. Tuy nhiên, còn về các nghĩa vụ và các khoản dự phòng </w:t>
      </w:r>
      <w:r>
        <w:rPr>
          <w:b w:val="0"/>
          <w:i/>
        </w:rPr>
        <w:t>trong tương lai</w:t>
      </w:r>
      <w:r>
        <w:rPr>
          <w:b w:val="0"/>
          <w:i w:val="0"/>
        </w:rPr>
        <w:t xml:space="preserve"> mà các công ty có thì sao? Ví dụ, một công ty có thể đã đồng ý mua hàng tồn kho trong hai năm tiếp theo. Hoặc, một công ty có thể đã cam kết tài trợ cho một dự án hoặc một hợp đồng thuê bất động sản dài hạn.</w:t>
      </w:r>
    </w:p>
    <w:p>
      <w:pPr>
        <w:spacing w:after="80"/>
      </w:pPr>
      <w:r>
        <w:rPr>
          <w:b w:val="0"/>
          <w:i w:val="0"/>
        </w:rPr>
        <w:t>Mặc dù những nghĩa vụ mua hàng này thường không thể hủy bỏ, chúng thường bị loại trừ khỏi phần Nợ phải trả của Bảng cân đối kế toán và do đó được coi là các khoản nợ phải trả "ngoài bảng cân đối kế toán". Tuy nhiên, ban lãnh đạo được yêu cầu phải công bố các cam kết quan trọng trong phần Chú thích của Báo cáo tài chính. Mặc dù không được phản ánh trên Bảng cân đối kế toán, những nghĩa vụ này có thể đẩy công ty vào chỗ diệt vong. Những nhà đầu tư không để ý đến chúng có thể gặp nguy hiểm nghiêm trọng.</w:t>
      </w:r>
    </w:p>
    <w:p>
      <w:pPr>
        <w:spacing w:after="80"/>
      </w:pPr>
      <w:r>
        <w:rPr>
          <w:b w:val="0"/>
          <w:i w:val="0"/>
        </w:rPr>
        <w:t>Viên nang kế toán: Các khoản dự phòng tổn thất không được trích lập</w:t>
      </w:r>
    </w:p>
    <w:p>
      <w:pPr>
        <w:spacing w:after="80"/>
      </w:pPr>
      <w:r>
        <w:rPr>
          <w:b w:val="0"/>
          <w:i w:val="0"/>
        </w:rPr>
        <w:t>Một số nghĩa vụ chỉ yêu cầu công bố trong phần chú thích và không có ảnh hưởng đến lợi nhuận được báo cáo. Tuy nhiên, nhà đầu tư nên đặc biệt chú ý đến bất kỳ cam kết và khoản dự phòng nào được thảo luận trong phần Chú thích hoặc phần Thảo luận và Phân tích của Ban lãnh đạo trong báo cáo tài chính. Đôi khi các khoản nợ phải trả chưa được ghi nhận cho các cam kết và khoản dự phòng lại quan trọng hơn các khoản nợ phải trả được báo cáo trên Bảng cân đối kế toán.</w:t>
      </w:r>
    </w:p>
    <w:p>
      <w:pPr>
        <w:pStyle w:val="Heading4"/>
      </w:pPr>
      <w:r>
        <w:rPr>
          <w:rFonts w:ascii="Calibri" w:hAnsi="Calibri"/>
          <w:b/>
          <w:i w:val="0"/>
          <w:sz w:val="23"/>
        </w:rPr>
        <w:t>2. Ghi nhận chi phí thấp một cách không thích hợp bằng cách sử dụng các giả định kế toán tích cực</w:t>
      </w:r>
    </w:p>
    <w:p>
      <w:pPr>
        <w:spacing w:after="80"/>
      </w:pPr>
      <w:r>
        <w:rPr>
          <w:b w:val="0"/>
          <w:i w:val="0"/>
        </w:rPr>
        <w:t>Kỹ thuật này minh họa cách sự linh hoạt của ban lãnh đạo trong việc lựa chọn các chính sách và ước tính kế toán có thể trở thành một công cụ để che giấu chi phí. Các công ty cung cấp lương hưu và các phúc lợi sau khi nghỉ hưu khác cho nhân viên có thể thay đổi các giả định kế toán của họ theo những cách làm giảm chi phí được ghi nhận. Tương tự, các công ty cho thuê thiết bị đưa ra nhiều ước tính khác nhau có ảnh hưởng đến các khoản nợ phải trả và chi phí được báo cáo. Ban lãnh đạo có thể thao túng lợi nhuận (và giảm các khoản nợ phải trả) bằng cách thay đổi các giả định kế toán hoặc giả định tính toán bảo hiểm.</w:t>
      </w:r>
    </w:p>
    <w:p>
      <w:pPr>
        <w:pStyle w:val="Heading5"/>
      </w:pPr>
      <w:r>
        <w:rPr>
          <w:rFonts w:ascii="Calibri" w:hAnsi="Calibri"/>
          <w:b/>
          <w:i/>
          <w:sz w:val="22"/>
        </w:rPr>
        <w:t>Tăng thu nhập bằng cách thay đổi các giả định thuê tài sản</w:t>
      </w:r>
    </w:p>
    <w:p>
      <w:pPr>
        <w:spacing w:after="80"/>
      </w:pPr>
      <w:r>
        <w:rPr>
          <w:b w:val="0"/>
          <w:i w:val="0"/>
        </w:rPr>
        <w:t>Kế toán thuê tài sản mang lại cho ban lãnh đạo một phòng massage khác, nơi họ có thể nhào nặn các ước tính để giúp thổi phồng lợi nhuận. Khi Deere &amp; Company cho khách hàng trong ngành nông nghiệp thuê thiết bị nông nghiệp của mình, công ty nhận được thu nhập cho thuê đã thỏa thuận, và chi phí chính được ghi nhận là khấu hao thiết bị cho thuê. Nghe có vẻ đơn giản, nhưng đây là lúc màn massage bắt đầu. Chi phí khấu hao là một hàm số của giá trị tài sản vào đầu kỳ thuê (giá trị ban đầu) và giá trị dự kiến của tài sản vào cuối kỳ thuê (giá trị còn lại). Chênh lệch giữa hai giá trị này được chia đều trong suốt thời gian cho thuê.</w:t>
      </w:r>
    </w:p>
    <w:p>
      <w:pPr>
        <w:spacing w:after="80"/>
      </w:pPr>
      <w:r>
        <w:rPr>
          <w:b w:val="0"/>
          <w:i w:val="0"/>
        </w:rPr>
        <w:t>Nhưng các trò chơi kế toán có thể được thực hiện bằng cách giảm khoảng cách giữa giá trị ban đầu và giá trị kết thúc (tức là tổng chi phí khấu hao trong tương lai) chỉ đơn giản bằng cách tăng một cách tùy tiện phần được gán cho giá trị còn lại. Nói một cách đơn giản, vì giá trị còn lại đại diện cho phần sẽ không bị khấu hao, nên trò chơi là gán một tỷ lệ phần trăm cao hơn cho giá trị còn lại.</w:t>
      </w:r>
    </w:p>
    <w:p>
      <w:pPr>
        <w:spacing w:after="80"/>
      </w:pPr>
      <w:r>
        <w:rPr>
          <w:b w:val="0"/>
          <w:i w:val="0"/>
        </w:rPr>
        <w:t>Vào năm 2012, Deere ước tính rằng giá trị còn lại của thiết bị cho thuê sẽ chiếm 55 phần trăm giá trị ban đầu, để lại 45 phần trăm chi phí ban đầu sẽ bị khấu hao. Tuy nhiên, trong mỗi năm tiếp theo, ước tính này lại tăng lên, đạt 63 phần trăm vào năm 2015. Bằng cách tăng ước tính, công ty giờ đây sẽ chỉ khấu hao 37 phần trăm (giảm từ 45 phần trăm) giá trị ban đầu. Do sự thay đổi tinh tế này trong ước tính về giá trị còn lại, Deere đã hạ thấp đáng kể chi phí khấu hao của mình và thổi phồng một cách nhân tạo biên lợi nhuận gộp và thu nhập hoạt động của mình.</w:t>
      </w:r>
    </w:p>
    <w:p>
      <w:pPr>
        <w:pStyle w:val="Heading5"/>
      </w:pPr>
      <w:r>
        <w:rPr>
          <w:rFonts w:ascii="Calibri" w:hAnsi="Calibri"/>
          <w:b/>
          <w:i/>
          <w:sz w:val="22"/>
        </w:rPr>
        <w:t>Các khoản dự phòng tự bảo hiểm</w:t>
      </w:r>
    </w:p>
    <w:p>
      <w:pPr>
        <w:spacing w:after="80"/>
      </w:pPr>
      <w:r>
        <w:rPr>
          <w:b w:val="0"/>
          <w:i w:val="0"/>
        </w:rPr>
        <w:t>Một số công ty ngần ngại chi trả phí bảo hiểm doanh nghiệp đắt đỏ (ví dụ như bảo hiểm sức khỏe cho nhân viên hay bảo hiểm thương tật), và họ quyết định thay vào đó là “tự bảo hiểm” (self-insure) một số rủi ro nhất định. Các công ty tự bảo hiểm về cơ bản hoạt động như những công ty bảo hiểm thu nhỏ: họ lập một quỹ mà họ tin là đủ để chi trả các yêu cầu bồi thường bảo hiểm, và họ ghi nhận chi phí mỗi kỳ với số tiền cần thiết.</w:t>
      </w:r>
    </w:p>
    <w:p>
      <w:pPr>
        <w:spacing w:after="80"/>
      </w:pPr>
      <w:r>
        <w:rPr>
          <w:b w:val="0"/>
          <w:i w:val="0"/>
        </w:rPr>
        <w:t>Khoản nợ tự bảo hiểm nên lớn đến mức nào, và mỗi quý nên trích trước bao nhiêu chi phí tự bảo hiểm? Tất nhiên, câu trả lời phụ thuộc vào các ước tính. Chỉ cần tinh chỉnh nhẹ những ước tính đó hoặc thay đổi giả định, ban lãnh đạo có thể có được một cú hích đẹp cho lợi nhuận.</w:t>
      </w:r>
    </w:p>
    <w:p>
      <w:pPr>
        <w:spacing w:after="80"/>
      </w:pPr>
      <w:r>
        <w:rPr>
          <w:b/>
          <w:i/>
        </w:rPr>
        <w:t>Hãy cảnh giác với những thay đổi trong giả định tự bảo hiểm</w:t>
      </w:r>
      <w:r>
        <w:rPr>
          <w:b w:val="0"/>
          <w:i w:val="0"/>
        </w:rPr>
        <w:t xml:space="preserve"> Rent-A-Center Inc., một nhà điều hành chuỗi cửa hàng bán lẻ cho thuê-mua (rent-to-own) lớn, tự bảo hiểm cho các hợp đồng bảo hiểm bồi thường tai nạn lao động, trách nhiệm chung và trách nhiệm xe cộ. Vào tháng 6 năm 2006, Rent-A-Center quyết định thay đổi các giả định tính toán bảo hiểm (actuarial assumptions) được dùng để tính khoản trích trước tự bảo hiểm cho năm đó. Thay vì cách tiếp cận trước đây chỉ dùng giả định tổn thất chung của toàn ngành, Rent-A-Center giờ đây cũng đưa vào các giả định do nội bộ phát triển dựa trên kinh nghiệm tổn thất của chính mình. Bất kể sự thay đổi này có hợp lý hay không, nó đã mang lại cho Rent-A-Center một cú hích lợi nhuận không thường xuyên. Chỉ riêng sự thay đổi này có thể đã đóng góp gần như toàn bộ mức tăng trưởng lợi nhuận của Rent-A-Center trong bốn quý tiếp theo.</w:t>
      </w:r>
    </w:p>
    <w:p>
      <w:pPr>
        <w:pStyle w:val="Heading5"/>
      </w:pPr>
      <w:r>
        <w:rPr>
          <w:rFonts w:ascii="Calibri" w:hAnsi="Calibri"/>
          <w:b/>
          <w:i/>
          <w:sz w:val="22"/>
        </w:rPr>
        <w:t>Tăng thu nhập bằng cách thay đổi giả định về lương hưu</w:t>
      </w:r>
    </w:p>
    <w:p>
      <w:pPr>
        <w:spacing w:after="80"/>
      </w:pPr>
      <w:r>
        <w:rPr>
          <w:b w:val="0"/>
          <w:i w:val="0"/>
        </w:rPr>
        <w:t>Các công ty cung cấp lương hưu cho nhân viên phải ghi nhận một khoản chi phí mỗi quý để hạch toán các chi phí phát sinh thêm theo kế hoạch. Chi phí lương hưu nói chung không được thể hiện rõ ràng trên Báo cáo thu nhập (Income Statement); thay vào đó, nó chỉ được gộp chung với các chi phí lương nhân viên khác (thường là một thành phần của giá vốn hàng bán hoặc chi phí bán hàng, chi phí chung và quản lý). Nhà đầu tư nên xem xét kỹ các giả định kế toán lương hưu trong phần chú thích, vì chúng cho phép ban lãnh đạo có quyền tùy ý đáng kể, có thể được dùng để giảm (hoặc thậm chí loại bỏ) khoản chi phí này.</w:t>
      </w:r>
    </w:p>
    <w:p>
      <w:pPr>
        <w:spacing w:after="80"/>
      </w:pPr>
      <w:r>
        <w:rPr>
          <w:b/>
          <w:i/>
        </w:rPr>
        <w:t>Hãy để ý những thay đổi trong ước tính và giả định về lương hưu</w:t>
      </w:r>
      <w:r>
        <w:rPr>
          <w:b w:val="0"/>
          <w:i w:val="0"/>
        </w:rPr>
        <w:t xml:space="preserve"> Một số giả định tính toán bảo hiểm quan trọng phải được dùng để tính chi phí lương hưu, bao gồm tỷ lệ chiết khấu, tỷ lệ tử vong, tỷ lệ tăng lương và tỷ lệ sinh lời tài sản kỳ vọng, cùng nhiều yếu tố khác. Các công ty thường công bố những thay đổi đối với các giả định này trong phần chú thích. Chỉ cần đọc chú thích về lương hưu để tìm ra những thay đổi. Ví dụ, Navistar International Corp. đã công bố việc tái cơ cấu kế hoạch lương hưu của mình vào năm 2003, trong đó công ty thay đổi giả định về tuổi thọ còn lại của những người tham gia kế hoạch từ 12 năm lên 18 năm. Bằng cách tăng giả định về tuổi thọ còn lại, Navistar đã phân bổ “các khoản lỗ chưa được ghi nhận” (unrecognized losses) trong một khoảng thời gian dài hơn, và qua đó, giảm chi phí lương hưu (đồng thời thổi phồng thu nhập) của mình đi 26 triệu đô la.</w:t>
      </w:r>
    </w:p>
    <w:p>
      <w:pPr>
        <w:spacing w:after="80"/>
      </w:pPr>
      <w:r>
        <w:rPr>
          <w:b/>
          <w:i/>
        </w:rPr>
        <w:t>Hãy để ý những thay đổi trong ngày đo lường</w:t>
      </w:r>
      <w:r>
        <w:rPr>
          <w:b w:val="0"/>
          <w:i w:val="0"/>
        </w:rPr>
        <w:t xml:space="preserve"> Chỉ cần một thay đổi đơn giản về tháng được chỉ định làm ngày đo lường (measurement date) cho kế hoạch lương hưu cũng có thể thổi phồng lợi nhuận. Ví dụ, vào năm 2004, Raytheon Co. đã thay đổi ngày mà công ty đo lường kế hoạch lương hưu của mình từ ngày 31 tháng 10 sang ngày 31 tháng 12. Sự thay đổi đơn giản này đã mang lại một cú hích cho lợi nhuận cuối cùng là 41 triệu đô la (tăng 0,09 đô la thu nhập trên mỗi cổ phiếu), chiếm khoảng 10 phần trăm lợi nhuận của Raytheon trong cả năm.</w:t>
      </w:r>
    </w:p>
    <w:p>
      <w:pPr>
        <w:spacing w:after="80"/>
      </w:pPr>
      <w:r>
        <w:rPr>
          <w:b/>
          <w:i/>
        </w:rPr>
        <w:t>Hãy để ý thu nhập lương hưu quá lớn</w:t>
      </w:r>
      <w:r>
        <w:rPr>
          <w:b w:val="0"/>
          <w:i w:val="0"/>
        </w:rPr>
        <w:t xml:space="preserve"> Đôi khi các công ty lại có những kết quả dường như chẳng hợp lý chút nào—chẳng hạn như </w:t>
      </w:r>
      <w:r>
        <w:rPr>
          <w:b w:val="0"/>
          <w:i/>
        </w:rPr>
        <w:t>chi phí lương hưu âm</w:t>
      </w:r>
      <w:r>
        <w:rPr>
          <w:b w:val="0"/>
          <w:i w:val="0"/>
        </w:rPr>
        <w:t xml:space="preserve">. Hiện tượng này xảy ra khi lợi nhuận kỳ vọng từ việc đầu tư tài sản của kế hoạch lương hưu trở nên lớn hơn chi phí phát sinh thêm hằng năm để vận hành kế hoạch lương hưu, dẫn đến </w:t>
      </w:r>
      <w:r>
        <w:rPr>
          <w:b w:val="0"/>
          <w:i/>
        </w:rPr>
        <w:t>thu nhập lương hưu</w:t>
      </w:r>
      <w:r>
        <w:rPr>
          <w:b w:val="0"/>
          <w:i w:val="0"/>
        </w:rPr>
        <w:t>. Hoàn cảnh nào dẫn đến kết quả này? Lợi nhuận quá lớn đối với một công ty có tài sản kế hoạch rất lớn có thể tạo ra một khoản thu nhập lương hưu đáng kể. Thông thường, những tình huống này xảy ra ở các công ty có kế hoạch lương hưu lâu đời lớn và ít (hoặc không có) nhân viên mới tham gia kế hoạch.</w:t>
      </w:r>
    </w:p>
    <w:p>
      <w:pPr>
        <w:spacing w:after="80"/>
      </w:pPr>
      <w:r>
        <w:rPr>
          <w:b w:val="0"/>
          <w:i w:val="0"/>
        </w:rPr>
        <w:t xml:space="preserve">Chẳng hạn, Lucent đã ghi nhận hơn 1,1 tỷ đô la thu nhập lương hưu trong năm 2004, chiếm gần như toàn bộ (91 phần trăm) thu nhập hoạt động của mình. Hơn nữa, từ năm 2002 đến 2004, </w:t>
      </w:r>
      <w:r>
        <w:rPr>
          <w:b w:val="0"/>
          <w:i/>
        </w:rPr>
        <w:t>thu nhập lương hưu</w:t>
      </w:r>
      <w:r>
        <w:rPr>
          <w:b w:val="0"/>
          <w:i w:val="0"/>
        </w:rPr>
        <w:t xml:space="preserve"> của Lucent tổng cộng lên tới 2,8 tỷ đô la trong khi công ty báo cáo khoản lỗ hoạt động lũy kế là 6,0 tỷ đô la. Giống như hầu hết các công ty, Lucent chọn không tách riêng chi phí (hoặc thu nhập) lương hưu trên Báo cáo thu nhập của mình. Kết quả là, những nhà đầu tư không đọc chú thích về lương hưu sẽ bỏ lỡ thông tin cực kỳ quan trọng này.</w:t>
      </w:r>
    </w:p>
    <w:p>
      <w:pPr>
        <w:pStyle w:val="Heading4"/>
      </w:pPr>
      <w:r>
        <w:rPr>
          <w:rFonts w:ascii="Calibri" w:hAnsi="Calibri"/>
          <w:b/>
          <w:i w:val="0"/>
          <w:sz w:val="23"/>
        </w:rPr>
        <w:t>3. Giảm chi phí bằng cách giải phóng các khoản dự phòng từ những khoản phí trước đó</w:t>
      </w:r>
    </w:p>
    <w:p>
      <w:pPr>
        <w:spacing w:after="80"/>
      </w:pPr>
      <w:r>
        <w:rPr>
          <w:b w:val="0"/>
          <w:i w:val="0"/>
        </w:rPr>
        <w:t>Một lợi ích của việc trích lập một khoản phí đặc biệt là thổi phồng thu nhập hoạt động của kỳ tương lai vì các chi phí tương lai đã được xóa sổ thông qua khoản phí đó. (Vấn đề này được đề cập trong Chương 9, “Thủ thuật thao túng lợi nhuận số 7: Chuyển chi phí tương lai về kỳ hiện tại.”) Lợi ích thứ hai của việc trích lập một khoản phí đặc biệt là khoản nợ được tạo ra cùng với khoản phí đó trở thành một khoản dự phòng có thể dễ dàng được giải phóng vào lợi nhuận trong một kỳ sau đó.</w:t>
      </w:r>
    </w:p>
    <w:p>
      <w:pPr>
        <w:spacing w:after="80"/>
      </w:pPr>
      <w:r>
        <w:rPr>
          <w:b w:val="0"/>
          <w:i w:val="0"/>
        </w:rPr>
        <w:t>Các khoản dự phòng có đủ hình dạng và kích cỡ khác nhau và có thể được tìm thấy khắp Bảng cân đối kế toán (Balance Sheet). Trong Chương 6, chúng tôi đã nêu bật các khoản dự phòng được ghi nhận trên Bảng cân đối kế toán như những khoản bù trừ cho tài sản, bao gồm khoản dự phòng nợ khó đòi, khoản dự phòng tổn thất cho vay và khoản dự phòng hàng tồn kho lỗi thời. Trong mục này, chúng ta thảo luận về các khoản dự phòng được ghi nhận như nợ phải trả vì chúng đại diện cho nghĩa vụ đối với một bên khác. Trong khi kế toán dồn tích yêu cầu các công ty lập một khoản dự phòng cho các chi phí đã phát sinh nhưng chưa chi ra (chẳng hạn như bảo hành), những khoản dự phòng này có thể dễ dàng bị lạm dụng để thao túng lợi nhuận.</w:t>
      </w:r>
    </w:p>
    <w:p>
      <w:pPr>
        <w:spacing w:after="80"/>
      </w:pPr>
      <w:r>
        <w:rPr>
          <w:b w:val="0"/>
          <w:i w:val="0"/>
        </w:rPr>
        <w:t>Viên nang kế toán: Thổi phồng nợ phải trả hôm nay có thể thổi phồng lợi nhuận ngày mai</w:t>
      </w:r>
    </w:p>
    <w:p>
      <w:pPr>
        <w:spacing w:after="80"/>
      </w:pPr>
      <w:r>
        <w:rPr>
          <w:b w:val="0"/>
          <w:i w:val="0"/>
        </w:rPr>
        <w:t>Nợ phải trả, cũng như thu nhập, thường có số dư bên có (credit balance). Điều này khá quan trọng và có thể có giá trị đối với một ban lãnh đạo đang muốn thổi phồng lợi nhuận của kỳ tương lai. Thủ thuật này thực sự khá đơn giản: tạo ra một khoản nợ phải trả giả với số dư bên có mong muốn, rồi bất cứ khi nào cần, thực hiện một bút toán kế toán chuyển số dư bên có từ khoản nợ phải trả sang một tài khoản chi phí—giảm chi phí và thổi phồng lợi nhuận.</w:t>
      </w:r>
    </w:p>
    <w:p>
      <w:pPr>
        <w:pStyle w:val="Heading5"/>
      </w:pPr>
      <w:r>
        <w:rPr>
          <w:rFonts w:ascii="Calibri" w:hAnsi="Calibri"/>
          <w:b/>
          <w:i/>
          <w:sz w:val="22"/>
        </w:rPr>
        <w:t>WorldCom giải phóng các khoản dự phòng để giảm chi phí đường truyền của mình</w:t>
      </w:r>
    </w:p>
    <w:p>
      <w:pPr>
        <w:spacing w:after="80"/>
      </w:pPr>
      <w:r>
        <w:rPr>
          <w:b w:val="0"/>
          <w:i w:val="0"/>
        </w:rPr>
        <w:t>Trong chương trước, chúng ta đã thảo luận về việc WorldCom thổi phồng lợi nhuận của mình vào đầu những năm 2000 bằng cách tích cực vốn hóa chi phí đường truyền (line costs) thay vì ghi nhận chúng như một khoản chi phí. Chà, đó không phải là trò duy nhất mà ban lãnh đạo chơi với chi phí đường truyền. Công ty còn đảo ngược nhiều tài khoản dự phòng chung chung khác nhau và ghi nhận phần bù trừ như một khoản giảm chi phí đường truyền.</w:t>
      </w:r>
    </w:p>
    <w:p>
      <w:pPr>
        <w:spacing w:after="80"/>
      </w:pPr>
      <w:r>
        <w:rPr>
          <w:b/>
          <w:i/>
        </w:rPr>
        <w:t>Để ý đến việc lợi nhuận bị đẩy lên khi công ty không đạt mục tiêu thưởng</w:t>
      </w:r>
      <w:r>
        <w:rPr>
          <w:b w:val="0"/>
          <w:i w:val="0"/>
        </w:rPr>
        <w:t xml:space="preserve"> Hãy xem cách công ty đồ thể thao Under Armour có trụ sở tại Baltimore cố che giấu mức độ suy giảm kinh doanh thực sự của mình vào năm 2016. Dù doanh số hàng năm đã tăng ấn tượng 22 phần trăm so với năm trước, con số này vẫn không đạt mục tiêu tăng trưởng 24 phần trăm mà nhà đầu tư kỳ vọng, và có lẽ quan trọng hơn, biên lợi nhuận gộp giảm hơn 150 điểm cơ bản.</w:t>
      </w:r>
    </w:p>
    <w:p>
      <w:pPr>
        <w:spacing w:after="80"/>
      </w:pPr>
      <w:r>
        <w:rPr>
          <w:b w:val="0"/>
          <w:i w:val="0"/>
        </w:rPr>
        <w:t xml:space="preserve">Tuy nhiên, sự thất vọng này lại mang đến một chút tia hy vọng cho lợi nhuận được báo cáo trong quý thứ tư. Công ty đã trích trước tiền thưởng cuối năm trong cả chín tháng đầu năm; thế nhưng đến quý thứ tư, ban lãnh đạo nhận ra rằng công ty sẽ không đạt các mục tiêu hiệu suất chính, và tiền thưởng sẽ không được chi trả. Vậy nên để điều chỉnh sổ sách và loại bỏ những khoản chi phí đã ghi nhận trước đó, trong quý thứ tư ban lãnh đạo đã đảo ngược toàn bộ chi phí thưởng trước đây. Điều này đồng nghĩa với việc ghi nhận 48 triệu đô la chi phí bán hàng, chi phí chung và chi phí quản lý (SG&amp;A) </w:t>
      </w:r>
      <w:r>
        <w:rPr>
          <w:b w:val="0"/>
          <w:i/>
        </w:rPr>
        <w:t>âm</w:t>
      </w:r>
      <w:r>
        <w:rPr>
          <w:b w:val="0"/>
          <w:i w:val="0"/>
        </w:rPr>
        <w:t>, giúp đẩy thu nhập trên mỗi cổ phiếu được báo cáo tăng thêm 0,07 đô la. Việc đảo ngược này không được công bố rõ ràng, khiến người ta có cảm giác như chi phí SG&amp;A thấp hơn trong quý thứ tư là kết quả của việc quản lý chi phí hiệu quả, trong khi thực tế, nó chỉ đơn thuần là do một điều chỉnh kế toán một lần.</w:t>
      </w:r>
    </w:p>
    <w:p>
      <w:pPr>
        <w:spacing w:after="80"/>
      </w:pPr>
      <w:r>
        <w:rPr>
          <w:b/>
          <w:i/>
        </w:rPr>
        <w:t>Để ý đến việc giải phóng các khoản dự phòng tái cấu trúc vào thu nhập</w:t>
      </w:r>
      <w:r>
        <w:rPr>
          <w:b w:val="0"/>
          <w:i w:val="0"/>
        </w:rPr>
        <w:t xml:space="preserve"> Sunbeam Corporation là bậc thầy của chiêu trò này. Khi “Chainsaw Al” Dunlap được đưa về làm CEO, ông ta bắt tay vào một kế hoạch tái cấu trúc quy mô lớn. Theo đó, công ty ghi nhận các khoản chi phí tái cấu trúc khổng lồ, từ đó tạo ra các khoản dự phòng để dùng cho những chi tiêu trong tương lai liên quan đến kế hoạch tái cấu trúc. Tuy nhiên, theo SEC, Sunbeam đã ghi nhận nhiều khoản dự phòng tái cấu trúc không đúng quy định và các khoản dự phòng “hũ bánh quy” (cookie jar) khác như một phần của kế hoạch này. Những khoản dự phòng không đúng quy định này sau đó được giải phóng vào thu nhập, thổi phồng biên lợi nhuận và tạo ra ảo giác về một cuộc tái cấu trúc thành công.</w:t>
      </w:r>
    </w:p>
    <w:p>
      <w:pPr>
        <w:spacing w:after="80"/>
      </w:pPr>
      <w:r>
        <w:rPr>
          <w:b w:val="0"/>
          <w:i w:val="0"/>
        </w:rPr>
        <w:t>Viên nang kế toán: Giải phóng một khoản dự phòng tái cấu trúc</w:t>
      </w:r>
    </w:p>
    <w:p>
      <w:pPr>
        <w:spacing w:after="80"/>
      </w:pPr>
      <w:r>
        <w:rPr>
          <w:b w:val="0"/>
          <w:i w:val="0"/>
        </w:rPr>
        <w:t>Giả sử công ty thông báo sa thải 1.000 người với gói trợ cấp thôi việc tổng cộng 10 triệu đô la.</w:t>
      </w:r>
    </w:p>
    <w:p>
      <w:pPr>
        <w:jc w:val="center"/>
      </w:pPr>
      <w:r>
        <w:drawing>
          <wp:inline xmlns:a="http://schemas.openxmlformats.org/drawingml/2006/main" xmlns:pic="http://schemas.openxmlformats.org/drawingml/2006/picture">
            <wp:extent cx="5486400" cy="649022"/>
            <wp:docPr id="16" name="Picture 16"/>
            <wp:cNvGraphicFramePr>
              <a:graphicFrameLocks noChangeAspect="1"/>
            </wp:cNvGraphicFramePr>
            <a:graphic>
              <a:graphicData uri="http://schemas.openxmlformats.org/drawingml/2006/picture">
                <pic:pic>
                  <pic:nvPicPr>
                    <pic:cNvPr id="0" name="00026.jpeg"/>
                    <pic:cNvPicPr/>
                  </pic:nvPicPr>
                  <pic:blipFill>
                    <a:blip r:embed="rId24"/>
                    <a:stretch>
                      <a:fillRect/>
                    </a:stretch>
                  </pic:blipFill>
                  <pic:spPr>
                    <a:xfrm>
                      <a:off x="0" y="0"/>
                      <a:ext cx="5486400" cy="649022"/>
                    </a:xfrm>
                    <a:prstGeom prst="rect"/>
                  </pic:spPr>
                </pic:pic>
              </a:graphicData>
            </a:graphic>
          </wp:inline>
        </w:drawing>
      </w:r>
    </w:p>
    <w:p>
      <w:pPr>
        <w:spacing w:after="80"/>
      </w:pPr>
      <w:r>
        <w:rPr>
          <w:b w:val="0"/>
          <w:i w:val="0"/>
        </w:rPr>
        <w:t>Sáu tháng sau, việc sa thải đã hoàn tất, nhưng chỉ có 700 nhân viên mất việc. Công ty loại bỏ khoản nợ phải trả còn lại và đẩy thu nhập lên bằng cách giảm một khoản chi phí:</w:t>
      </w:r>
    </w:p>
    <w:p>
      <w:pPr>
        <w:jc w:val="center"/>
      </w:pPr>
      <w:r>
        <w:drawing>
          <wp:inline xmlns:a="http://schemas.openxmlformats.org/drawingml/2006/main" xmlns:pic="http://schemas.openxmlformats.org/drawingml/2006/picture">
            <wp:extent cx="5486400" cy="663677"/>
            <wp:docPr id="17" name="Picture 17"/>
            <wp:cNvGraphicFramePr>
              <a:graphicFrameLocks noChangeAspect="1"/>
            </wp:cNvGraphicFramePr>
            <a:graphic>
              <a:graphicData uri="http://schemas.openxmlformats.org/drawingml/2006/picture">
                <pic:pic>
                  <pic:nvPicPr>
                    <pic:cNvPr id="0" name="00059.jpeg"/>
                    <pic:cNvPicPr/>
                  </pic:nvPicPr>
                  <pic:blipFill>
                    <a:blip r:embed="rId25"/>
                    <a:stretch>
                      <a:fillRect/>
                    </a:stretch>
                  </pic:blipFill>
                  <pic:spPr>
                    <a:xfrm>
                      <a:off x="0" y="0"/>
                      <a:ext cx="5486400" cy="663677"/>
                    </a:xfrm>
                    <a:prstGeom prst="rect"/>
                  </pic:spPr>
                </pic:pic>
              </a:graphicData>
            </a:graphic>
          </wp:inline>
        </w:drawing>
      </w:r>
    </w:p>
    <w:p>
      <w:pPr>
        <w:spacing w:after="80"/>
      </w:pPr>
      <w:r>
        <w:rPr>
          <w:b w:val="0"/>
          <w:i w:val="0"/>
        </w:rPr>
        <w:t>Như vậy, bằng cách thổi phồng chi phí tái cấu trúc ước tính, công ty này đã tạo ra 3 triệu đô la lợi nhuận từ hư không khi khoản dự phòng (và chi phí) không cần thiết bị loại bỏ. Các công ty có thể thoải mái tùy ý trong việc lập các khoản dự phòng tái cấu trúc (hoặc dự phòng khác) lớn rồi sau đó thổi phồng lợi nhuận khi kết thúc các tài khoản chi phí không cần thiết này.</w:t>
      </w:r>
    </w:p>
    <w:p>
      <w:pPr>
        <w:spacing w:after="80"/>
      </w:pPr>
      <w:r>
        <w:rPr>
          <w:b w:val="0"/>
          <w:i w:val="0"/>
        </w:rPr>
        <w:t>MẸO</w:t>
      </w:r>
    </w:p>
    <w:p>
      <w:pPr>
        <w:spacing w:after="80"/>
      </w:pPr>
      <w:r>
        <w:rPr>
          <w:b w:val="0"/>
          <w:i w:val="0"/>
        </w:rPr>
        <w:t>Nhiều khoản dự phòng nợ phải trả này (đặc biệt là những khoản chung chung) thường được nhóm vào một tài khoản nợ phải trả “mềm” đôi khi được gọi là “nợ phải trả ngắn hạn khác” hoặc “chi phí phải trả”. Nhà đầu tư nên theo dõi sát các tài khoản nợ phải trả mềm và đánh dấu bất kỳ sự sụt giảm mạnh nào so với doanh thu. Thường thì các công ty thảo luận về những khoản nợ phải trả mềm này trong một chú thích. Hãy chắc chắn tìm được chúng và theo dõi từng khoản dự phòng riêng lẻ nữa.</w:t>
      </w:r>
    </w:p>
    <w:p>
      <w:pPr>
        <w:pStyle w:val="Heading5"/>
      </w:pPr>
      <w:r>
        <w:rPr>
          <w:rFonts w:ascii="Calibri" w:hAnsi="Calibri"/>
          <w:b/>
          <w:i/>
          <w:sz w:val="22"/>
        </w:rPr>
        <w:t>Nhận được nhiều sự giúp đỡ từ bạn bè—Marvell khéo léo giảm chi phí của mình</w:t>
      </w:r>
    </w:p>
    <w:p>
      <w:pPr>
        <w:spacing w:after="80"/>
      </w:pPr>
      <w:r>
        <w:rPr>
          <w:b w:val="0"/>
          <w:i w:val="0"/>
        </w:rPr>
        <w:t>Còn nhớ phần thảo luận trước đây của chúng ta về giao dịch hai phần kỳ quặc giữa Intel và Marvell không? Intel đã bán một mảng kinh doanh cho Marvell vào năm 2006 với mức giá dường như là chiết khấu, đồng thời Marvell đồng ý trả giá cao hơn giá niêm yết cho một lượng sản phẩm nhất định sẽ được mua từ Intel sau này. (Xem chú thích của Marvell hiển thị bên dưới.) Như đã giải thích trong Chương 5, Intel dường như đã cấu trúc giao dịch này theo cách làm giảm thấp lợi nhuận từ việc bán tài sản một lần và thổi phồng dòng doanh thu có giá trị hơn (bằng cách tính giá cao hơn cho việc bán sản phẩm).</w:t>
      </w:r>
    </w:p>
    <w:p>
      <w:pPr>
        <w:spacing w:after="80"/>
      </w:pPr>
      <w:r>
        <w:rPr>
          <w:b w:val="0"/>
          <w:i w:val="0"/>
        </w:rPr>
        <w:t>THẢO LUẬN TRONG MẪU 10-Q CỦA MARVELL VỀ GIAO DỊCH VỚI INTEL</w:t>
      </w:r>
    </w:p>
    <w:p>
      <w:pPr>
        <w:spacing w:after="80"/>
      </w:pPr>
      <w:r>
        <w:rPr>
          <w:b w:val="0"/>
          <w:i w:val="0"/>
        </w:rPr>
        <w:t xml:space="preserve">Cùng với việc mua lại mảng kinh doanh ICAP, Công ty đã ký kết một thỏa thuận cung ứng với Intel. Thỏa thuận cung ứng buộc Công ty phải mua một số sản phẩm hoàn chỉnh và wafer đã phân loại nhất định với mức giá đã thỏa thuận từ Intel trong một khoảng thời gian đã thỏa thuận. Khoảng thời gian đã thỏa thuận có thể khác nhau giữa sản phẩm hoàn chỉnh và wafer đã phân loại. </w:t>
      </w:r>
      <w:r>
        <w:rPr>
          <w:b w:val="0"/>
          <w:i/>
        </w:rPr>
        <w:t>Giá mà Intel tính cho Công ty cao hơn mức giá tương đương sẵn có cho Công ty trên thị trường trong hầu hết mọi trường hợp.</w:t>
      </w:r>
      <w:r>
        <w:rPr>
          <w:b w:val="0"/>
          <w:i w:val="0"/>
        </w:rPr>
        <w:t xml:space="preserve"> Theo phương pháp kế toán mua lại, Công ty </w:t>
      </w:r>
      <w:r>
        <w:rPr>
          <w:b w:val="0"/>
          <w:i/>
        </w:rPr>
        <w:t>đã ghi nhận một khoản nợ phải trả tại thời điểm ký hợp đồng thể hiện phần chênh lệch giữa giá của Intel</w:t>
      </w:r>
      <w:r>
        <w:rPr>
          <w:b w:val="0"/>
          <w:i w:val="0"/>
        </w:rPr>
        <w:t xml:space="preserve"> và mức giá thị trường tương đương cho những sản phẩm mà Công ty có nghĩa vụ theo hợp đồng. [Chữ in nghiêng được thêm vào để nhấn mạnh]</w:t>
      </w:r>
    </w:p>
    <w:p>
      <w:pPr>
        <w:spacing w:after="80"/>
      </w:pPr>
      <w:r>
        <w:rPr>
          <w:b w:val="0"/>
          <w:i w:val="0"/>
        </w:rPr>
        <w:t>Giờ hãy nhìn vào chính giao dịch hai chiều này, nhưng từ góc nhìn của Marvell. Về cơ bản Marvell trả cho Intel ít tiền hơn trả trước để mua mảng kinh doanh, và đổi lại, Marvell đồng ý mua hàng tồn kho từ Intel với giá bị thổi phồng. Nghe thì có vẻ như giao dịch này sẽ khiến lợi nhuận của Marvell thấp hơn trong các kỳ tương lai, vì công ty đang trả quá cao cho hàng tồn kho, nhưng thực tế không phải vậy. Có vẻ như Marvell đã hạch toán toàn bộ khoản trả quá cao bằng cách ghi nhận một khoản nợ phải trả (hoặc dự phòng) trên Bảng cân đối kế toán của mình, khoản này sẽ được rút dần theo thời gian như một khoản giảm trừ giá vốn hàng bán (để bù trừ cho mức giá bị thổi phồng). Marvell không cần ghi nhận chi phí để tạo ra khoản dự phòng này, vì nó đã được lập sẵn trong phương pháp kế toán mua lại để mua lại công ty. Như vậy, Marvell đã tạo ra một khoản dự phòng hũ bánh quy mà không cần ghi nhận chi phí, và công ty dùng khoản dự phòng này để bù trừ các khoản trả quá cao tùy theo ý mình. Thật vậy, giao dịch này mang lại cho Marvell nhiều quyền tùy ý hơn đối với lợi nhuận của mình mỗi quý.</w:t>
      </w:r>
    </w:p>
    <w:p>
      <w:pPr>
        <w:spacing w:after="80"/>
      </w:pPr>
      <w:r>
        <w:rPr>
          <w:b w:val="0"/>
          <w:i w:val="0"/>
        </w:rPr>
        <w:t>Đôi khi ban lãnh đạo không ghi nhận các khoản trích trước chi phí cần thiết cho những chi phí dự kiến. Những khoản trích trước này thường là ước tính của công ty về các khoản nợ phải trả thường ngày phát sinh trong hoạt động kinh doanh bình thường, chẳng hạn như bảo hành của nhà sản xuất. Thường thì những chi phí này được ước tính và ghi nhận vào cuối quý. Trong chương trước, chúng ta đã giới thiệu khái niệm trích trước chi phí (dự phòng) và làm nổi bật các khoản dự phòng được ghi nhận như những khoản giảm trừ tài sản, chẳng hạn như dự phòng nợ khó đòi và dự phòng hàng tồn kho lỗi thời. Trong phần này, chúng ta thảo luận về các khoản dự phòng cho những nghĩa vụ ước tính được thể hiện như nợ phải trả.</w:t>
      </w:r>
    </w:p>
    <w:p>
      <w:pPr>
        <w:spacing w:after="80"/>
      </w:pPr>
      <w:r>
        <w:rPr>
          <w:b w:val="0"/>
          <w:i w:val="0"/>
        </w:rPr>
        <w:t>Việc không ghi nhận chi phí một cách thích hợp cho những khoản này, hoặc đảo ngược các chi phí trong quá khứ, sẽ thổi phồng lợi nhuận. Vì những chi phí này dựa trên giả định của ban lãnh đạo và các ước tính mang tính tùy ý, nên tất cả những gì ban lãnh đạo cần làm để tạo thêm lợi nhuận (và đạt mục tiêu của Phố Wall) là tinh chỉnh những giả định này. Để minh họa, hãy xem những chiêu trò mà Dell Computer đã dùng từ năm 2003 đến đầu năm tài chính 2007. Những phát hiện được công bố từ một cuộc điều tra đặc biệt do ủy ban kiểm toán của Dell tiến hành năm 2007 (như trình bày bên dưới) cung cấp một số chi tiết tuyệt vời, hấp dẫn về những trò chơi với các khoản dự phòng của Dell (đừng bỏ qua phần này nhé; trong đây có những thứ thật đáng kinh ngạc).</w:t>
      </w:r>
    </w:p>
    <w:p>
      <w:pPr>
        <w:spacing w:after="80"/>
      </w:pPr>
      <w:r>
        <w:rPr>
          <w:b w:val="0"/>
          <w:i w:val="0"/>
        </w:rPr>
        <w:t>DELL THẢO LUẬN VỀ CÁC PHÁT HIỆN ĐIỀU TRA CỦA ỦY BAN KIỂM TOÁN TRONG BẢN 8-K THÁNG 8 NĂM 2007</w:t>
      </w:r>
    </w:p>
    <w:p>
      <w:pPr>
        <w:spacing w:after="80"/>
      </w:pPr>
      <w:r>
        <w:rPr>
          <w:b w:val="0"/>
          <w:i w:val="0"/>
        </w:rPr>
        <w:t>Cuộc điều tra đã làm dấy lên những câu hỏi liên quan đến nhiều vấn đề kế toán, phần lớn xoay quanh các điều chỉnh đối với nhiều tài khoản dự phòng và nợ phải trả tích lũy khác nhau, đồng thời tìm thấy bằng chứng cho thấy một số điều chỉnh nhất định dường như được thực hiện với mục tiêu đạt được các chỉ tiêu tài chính. Theo cuộc điều tra, những hoạt động này thường diễn ra vào những ngày ngay sau khi kết thúc một quý, khi sổ sách kế toán đang được khóa và kết quả của quý đang được tổng hợp. Cuộc điều tra tìm thấy bằng chứng rằng trong khoảng thời gian đó, số dư tài khoản đã được xem xét, đôi khi theo yêu cầu hoặc với sự biết đến của các lãnh đạo cấp cao, với mục tiêu tìm cách điều chỉnh để có thể đạt được các mục tiêu hoạt động của quý. Cuộc điều tra kết luận rằng một số điều chỉnh này là không phù hợp, bao gồm việc tạo lập và hoàn nhập các khoản tích lũy và dự phòng dường như được thực hiện nhằm mục đích nâng cao các chỉ số hoạt động nội bộ hoặc kết quả báo cáo, cũng như việc chuyển các khoản tích lũy dư thừa từ tài khoản nợ phải trả này sang tài khoản khác và sử dụng số dư dư thừa đó để bù trừ các chi phí không liên quan trong các kỳ sau.</w:t>
      </w:r>
    </w:p>
    <w:p>
      <w:pPr>
        <w:spacing w:after="80"/>
      </w:pPr>
      <w:r>
        <w:rPr>
          <w:b w:val="0"/>
          <w:i w:val="0"/>
        </w:rPr>
        <w:t>Cũng có những trường hợp dự phòng bảo hành vượt quá mức nợ phải trả bảo hành ước tính, theo cách tính của quy trình ước tính nợ phải trả bảo hành, được giữ lại và không được hoàn nhập vào Báo cáo Thu nhập như lẽ ra phải làm. Ngoài ra, một số điều chỉnh nhất định trong quy trình ước tính nợ phải trả bảo hành đã được xác định, trong đó chi phí tương lai dự kiến hoặc tỷ lệ hỏng hóc ước tính không chính xác.</w:t>
      </w:r>
    </w:p>
    <w:p>
      <w:pPr>
        <w:spacing w:after="80"/>
      </w:pPr>
      <w:r>
        <w:rPr>
          <w:b/>
          <w:i/>
        </w:rPr>
        <w:t>Hãy để ý đến sự sụt giảm trong Dự phòng Bảo hành hoặc Chi phí Bảo hành</w:t>
      </w:r>
      <w:r>
        <w:rPr>
          <w:b w:val="0"/>
          <w:i w:val="0"/>
        </w:rPr>
        <w:t xml:space="preserve"> Nhiều công ty đi kèm sản phẩm của họ với các gói bảo hành đắt tiền, bao gồm những vấn đề tiềm ẩn có thể phát sinh nhiều năm sau khi mua. Ví dụ, nếu bạn mua một chiếc laptop từ Dell, nó có thể đi kèm bảo hành hai năm, cam kết rằng Dell sẽ thay thế hoặc sửa chữa tất cả các bộ phận bị lỗi trong khoảng thời gian đó.</w:t>
      </w:r>
    </w:p>
    <w:p>
      <w:pPr>
        <w:spacing w:after="80"/>
      </w:pPr>
      <w:r>
        <w:rPr>
          <w:b w:val="0"/>
          <w:i w:val="0"/>
        </w:rPr>
        <w:t>Dell không thể chỉ ngồi chờ xem cuối cùng mình sẽ chi bao nhiêu cho chi phí bảo hành chiếc máy tính của bạn rồi mới ghi nhận khoản chi phí đó. Các quy tắc kế toán yêu cầu Dell phải ghi nhận một khoản chi phí cho chi phí bảo hành tương lai dự kiến vào thời điểm sản phẩm được bán. Đương nhiên, ban lãnh đạo có thể sử dụng rất nhiều quyền tùy ý trong việc xác định số tiền ghi nhận là chi phí bảo hành mỗi kỳ. Nếu họ chọn quá ít, lợi nhuận sẽ bị thổi phồng; nếu họ chọn quá nhiều, lợi nhuận sẽ bị báo thấp (và có thể được để dành cho ngày mưa).</w:t>
      </w:r>
    </w:p>
    <w:p>
      <w:pPr>
        <w:spacing w:after="80"/>
      </w:pPr>
      <w:r>
        <w:rPr>
          <w:b w:val="0"/>
          <w:i w:val="0"/>
        </w:rPr>
        <w:t>Thật vậy, một phần trong việc điều chỉnh lại báo cáo của Dell liên quan đến việc hạch toán không phù hợp đối với nợ phải trả bảo hành. Một lần nữa, phần thảo luận của ủy ban kiểm toán về các phát hiện của mình lại khá hé lộ và đã làm rất xuất sắc việc giải thích cơ chế đến mức chúng tôi nghĩ rằng cứ để chính ủy ban trực tiếp giảng giải cho bạn.</w:t>
      </w:r>
    </w:p>
    <w:p>
      <w:pPr>
        <w:pStyle w:val="Heading3"/>
      </w:pPr>
      <w:r>
        <w:rPr>
          <w:rFonts w:ascii="Calibri" w:hAnsi="Calibri"/>
          <w:b/>
          <w:i w:val="0"/>
          <w:sz w:val="26"/>
        </w:rPr>
        <w:t>Nhìn về phía trước</w:t>
      </w:r>
    </w:p>
    <w:p>
      <w:pPr>
        <w:spacing w:after="80"/>
      </w:pPr>
      <w:r>
        <w:rPr>
          <w:b w:val="0"/>
          <w:i w:val="0"/>
        </w:rPr>
        <w:t xml:space="preserve">Chương này hoàn tất phần trình bày của chúng ta về cách ban lãnh đạo có thể thổi phồng lợi nhuận </w:t>
      </w:r>
      <w:r>
        <w:rPr>
          <w:b w:val="0"/>
          <w:i/>
        </w:rPr>
        <w:t>kỳ hiện tại</w:t>
      </w:r>
      <w:r>
        <w:rPr>
          <w:b w:val="0"/>
          <w:i w:val="0"/>
        </w:rPr>
        <w:t xml:space="preserve"> một cách không phù hợp. Ban lãnh đạo có thể dùng hai phương tiện khác nhau để làm điều này: (1) ghi nhận quá nhiều doanh thu hoặc lợi nhuận một lần, hoặc (2) ghi nhận quá ít chi phí.</w:t>
      </w:r>
    </w:p>
    <w:p>
      <w:pPr>
        <w:spacing w:after="80"/>
      </w:pPr>
      <w:r>
        <w:rPr>
          <w:b w:val="0"/>
          <w:i w:val="0"/>
        </w:rPr>
        <w:t>Trong một số tình huống nhất định, ban lãnh đạo có thể chọn chiến lược ngược lại hoàn toàn—làm giảm lợi nhuận kỳ hiện tại và chuyển chúng sang một kỳ sau. Chương 8 mô tả các phương pháp mà ban lãnh đạo sử dụng để chuyển doanh thu sang các kỳ sau một cách không phù hợp, và Chương 9 trình bày các phương pháp được dùng để chuyển chi phí về kỳ hiện tại một cách không phù hợp. Kết quả của việc sử dụng những thủ thuật này khiến nhà đầu tư tin vào sự tăng trưởng lợi nhuận các kỳ tương lai “mạnh mẽ một cách đánh lừa” do ban lãnh đạo dàn dựng. Hãy đọc tiếp và học cách để không bị lừa bởi những chiêu trò này.</w:t>
      </w:r>
    </w:p>
    <w:p>
      <w:pPr>
        <w:pStyle w:val="Heading2"/>
      </w:pPr>
      <w:r>
        <w:rPr>
          <w:rFonts w:ascii="Calibri" w:hAnsi="Calibri"/>
          <w:b/>
          <w:i w:val="0"/>
          <w:sz w:val="32"/>
        </w:rPr>
        <w:t>8</w:t>
      </w:r>
    </w:p>
    <w:p>
      <w:pPr>
        <w:pStyle w:val="Heading2"/>
      </w:pPr>
      <w:r>
        <w:rPr>
          <w:rFonts w:ascii="Calibri" w:hAnsi="Calibri"/>
          <w:b/>
          <w:i w:val="0"/>
          <w:sz w:val="32"/>
        </w:rPr>
        <w:t>Thủ đoạn Thao túng Lợi nhuận Số 6: Chuyển Thu nhập Hiện tại sang một Kỳ Sau</w:t>
      </w:r>
    </w:p>
    <w:p>
      <w:pPr>
        <w:spacing w:after="80"/>
      </w:pPr>
      <w:r>
        <w:rPr>
          <w:b w:val="0"/>
          <w:i w:val="0"/>
        </w:rPr>
        <w:t xml:space="preserve">Đây là một câu đố. Tại sao ban lãnh đạo của một công ty đại chúng lại có bao giờ đánh lừa nhà đầu tư bằng cách báo cáo </w:t>
      </w:r>
      <w:r>
        <w:rPr>
          <w:b w:val="0"/>
          <w:i/>
        </w:rPr>
        <w:t>lợi nhuận nhỏ hơn</w:t>
      </w:r>
      <w:r>
        <w:rPr>
          <w:b w:val="0"/>
          <w:i w:val="0"/>
        </w:rPr>
        <w:t>? Bạn có thể đang nghĩ rằng mục tiêu sẽ là cắt giảm thuế. Đó sẽ là câu trả lời đúng đối với các công ty tư nhân, những công ty quan tâm hơn đến việc trả thiếu cho cơ quan thuế. Tuy nhiên, các công ty đại chúng chắc chắn cũng quan tâm đến việc giảm thuế, nhưng họ thường dành nhiều sự chú ý hơn cho việc gây ấn tượng với nhà đầu tư bằng sự tăng trưởng lợi nhuận mượt mà và có thể dự đoán được.</w:t>
      </w:r>
    </w:p>
    <w:p>
      <w:pPr>
        <w:spacing w:after="80"/>
      </w:pPr>
      <w:r>
        <w:rPr>
          <w:b w:val="0"/>
          <w:i w:val="0"/>
        </w:rPr>
        <w:t>Như bạn có thể nhớ từ Chương 3, “Thủ đoạn Thao túng Lợi nhuận Số 1: Ghi nhận Doanh thu Quá Sớm,” ban lãnh đạo đã sử dụng các kỹ thuật trong chương đó vì họ tin rằng kết quả kỳ hiện tại quan trọng hơn kết quả kỳ tương lai, và do đó họ quyết định đẩy nhanh doanh thu từ một kỳ sau về kỳ hiện tại. Bây giờ hãy xoay bức tranh đó 180 độ và thử hình dung những thời điểm nhất định khi ban lãnh đạo có thể muốn làm giảm kết quả kỳ hiện tại để có lợi cho một kỳ sau.</w:t>
      </w:r>
    </w:p>
    <w:p>
      <w:pPr>
        <w:spacing w:after="80"/>
      </w:pPr>
      <w:r>
        <w:rPr>
          <w:b w:val="0"/>
          <w:i w:val="0"/>
        </w:rPr>
        <w:t>Hãy xem xét một công ty đang tăng trưởng cực kỳ mạnh mẽ và không chắc chắn về những gì ngày mai sẽ mang lại, hoặc một công ty đã hưởng lợi từ một khoản lãi bất ngờ lớn hoặc một hợp đồng mới khổng lồ. Nhà đầu tư chắc chắn sẽ thích nhìn thấy những con số hấp dẫn đó, nhưng họ cũng sẽ đương nhiên kỳ vọng ban lãnh đạo sẽ lặp lại hoặc thậm chí vượt qua chúng vào ngày mai. Việc đáp ứng những kỳ vọng đã được nâng cao này của nhà đầu tư có thể rất khó khăn, khiến ban lãnh đạo cảm thấy buộc phải sử dụng các kỹ thuật được thảo luận trong chương này.</w:t>
      </w:r>
    </w:p>
    <w:p>
      <w:pPr>
        <w:pStyle w:val="Heading3"/>
      </w:pPr>
      <w:r>
        <w:rPr>
          <w:rFonts w:ascii="Calibri" w:hAnsi="Calibri"/>
          <w:b/>
          <w:i w:val="0"/>
          <w:sz w:val="26"/>
        </w:rPr>
        <w:t>Các Kỹ thuật để Chuyển Thu nhập Hiện tại sang một Kỳ Sau</w:t>
      </w:r>
    </w:p>
    <w:p>
      <w:pPr>
        <w:spacing w:after="80"/>
      </w:pPr>
      <w:r>
        <w:rPr>
          <w:b w:val="0"/>
          <w:i w:val="0"/>
        </w:rPr>
        <w:t>1. Tạo lập các khoản dự phòng và hoàn nhập chúng vào thu nhập trong một kỳ sau</w:t>
      </w:r>
    </w:p>
    <w:p>
      <w:pPr>
        <w:spacing w:after="80"/>
      </w:pPr>
      <w:r>
        <w:rPr>
          <w:b w:val="0"/>
          <w:i w:val="0"/>
        </w:rPr>
        <w:t>2. Làm mượt thu nhập bằng cách hạch toán sai các công cụ phái sinh</w:t>
      </w:r>
    </w:p>
    <w:p>
      <w:pPr>
        <w:spacing w:after="80"/>
      </w:pPr>
      <w:r>
        <w:rPr>
          <w:b w:val="0"/>
          <w:i w:val="0"/>
        </w:rPr>
        <w:t>3. Tạo các khoản dự phòng gắn với một thương vụ mua lại rồi giải phóng chúng vào thu nhập ở kỳ sau</w:t>
      </w:r>
    </w:p>
    <w:p>
      <w:pPr>
        <w:spacing w:after="80"/>
      </w:pPr>
      <w:r>
        <w:rPr>
          <w:b w:val="0"/>
          <w:i w:val="0"/>
        </w:rPr>
        <w:t>4. Ghi nhận doanh số của kỳ hiện tại vào một kỳ sau</w:t>
      </w:r>
    </w:p>
    <w:p>
      <w:pPr>
        <w:pStyle w:val="Heading4"/>
      </w:pPr>
      <w:r>
        <w:rPr>
          <w:rFonts w:ascii="Calibri" w:hAnsi="Calibri"/>
          <w:b/>
          <w:i w:val="0"/>
          <w:sz w:val="23"/>
        </w:rPr>
        <w:t>1. Tạo các khoản dự phòng rồi giải phóng chúng vào thu nhập ở kỳ sau</w:t>
      </w:r>
    </w:p>
    <w:p>
      <w:pPr>
        <w:spacing w:after="80"/>
      </w:pPr>
      <w:r>
        <w:rPr>
          <w:b w:val="0"/>
          <w:i w:val="0"/>
        </w:rPr>
        <w:t>Khi kinh doanh bùng nổ và lợi nhuận vượt xa ước tính của Wall Street, các công ty có thể bị cám dỗ không báo cáo hết doanh thu của mình, mà thay vào đó để dành lại một phần cho ngày mưa gió. Hãy xét tình huống ban lãnh đạo không ghi nhận một phần doanh thu lẽ ra đã kiếm được trong kỳ hiện tại, mà thay vào đó cất giữ nó trên Bảng cân đối kế toán cho đến khi cần dùng ở kỳ sau. Việc này rất dễ làm, và các kiểm toán viên thậm chí có thể không thắc mắc gì, vì họ có thể coi đó là "thận trọng hơn". Tất cả chỉ cần một bút toán để tăng một tài khoản nợ phải trả trên Bảng cân đối kế toán gọi là "doanh thu hoãn lại" (deferred revenue) (hay "doanh thu chưa thực hiện" - unearned revenue) trong kỳ hiện tại; rồi khi cần dùng khoản doanh thu hoãn lại đó ở kỳ sau (để đẩy lợi nhuận lên), lại thực hiện một bút toán khác để chuyển nó thành doanh thu thực tế. (Các bút toán kế toán được minh họa trong Hộp Kế toán đi kèm.)</w:t>
      </w:r>
    </w:p>
    <w:p>
      <w:pPr>
        <w:spacing w:after="80"/>
      </w:pPr>
      <w:r>
        <w:rPr>
          <w:b w:val="0"/>
          <w:i w:val="0"/>
        </w:rPr>
        <w:t>Hộp Kế toán: Tạo doanh thu hoãn lại (hay chưa thực hiện)</w:t>
      </w:r>
    </w:p>
    <w:p>
      <w:pPr>
        <w:spacing w:after="80"/>
      </w:pPr>
      <w:r>
        <w:rPr>
          <w:b w:val="0"/>
          <w:i w:val="0"/>
        </w:rPr>
        <w:t>Giả sử một công ty thực hiện một giao dịch bán hàng thu tiền mặt trị giá $900. Bút toán nhật ký đúng sẽ là:</w:t>
      </w:r>
    </w:p>
    <w:p>
      <w:pPr>
        <w:jc w:val="center"/>
      </w:pPr>
      <w:r>
        <w:drawing>
          <wp:inline xmlns:a="http://schemas.openxmlformats.org/drawingml/2006/main" xmlns:pic="http://schemas.openxmlformats.org/drawingml/2006/picture">
            <wp:extent cx="5486400" cy="678826"/>
            <wp:docPr id="18" name="Picture 18"/>
            <wp:cNvGraphicFramePr>
              <a:graphicFrameLocks noChangeAspect="1"/>
            </wp:cNvGraphicFramePr>
            <a:graphic>
              <a:graphicData uri="http://schemas.openxmlformats.org/drawingml/2006/picture">
                <pic:pic>
                  <pic:nvPicPr>
                    <pic:cNvPr id="0" name="00003.jpeg"/>
                    <pic:cNvPicPr/>
                  </pic:nvPicPr>
                  <pic:blipFill>
                    <a:blip r:embed="rId26"/>
                    <a:stretch>
                      <a:fillRect/>
                    </a:stretch>
                  </pic:blipFill>
                  <pic:spPr>
                    <a:xfrm>
                      <a:off x="0" y="0"/>
                      <a:ext cx="5486400" cy="678826"/>
                    </a:xfrm>
                    <a:prstGeom prst="rect"/>
                  </pic:spPr>
                </pic:pic>
              </a:graphicData>
            </a:graphic>
          </wp:inline>
        </w:drawing>
      </w:r>
    </w:p>
    <w:p>
      <w:pPr>
        <w:spacing w:after="80"/>
      </w:pPr>
      <w:r>
        <w:rPr>
          <w:b w:val="0"/>
          <w:i w:val="0"/>
        </w:rPr>
        <w:t>Thay vào đó, nếu ban lãnh đạo quyết định chỉ ghi nhận $600 của giao dịch bán hàng trong năm nay và để dành phần còn lại cho năm sau, họ sẽ ghi:</w:t>
      </w:r>
    </w:p>
    <w:p>
      <w:pPr>
        <w:jc w:val="center"/>
      </w:pPr>
      <w:r>
        <w:drawing>
          <wp:inline xmlns:a="http://schemas.openxmlformats.org/drawingml/2006/main" xmlns:pic="http://schemas.openxmlformats.org/drawingml/2006/picture">
            <wp:extent cx="5486400" cy="1108364"/>
            <wp:docPr id="19" name="Picture 19"/>
            <wp:cNvGraphicFramePr>
              <a:graphicFrameLocks noChangeAspect="1"/>
            </wp:cNvGraphicFramePr>
            <a:graphic>
              <a:graphicData uri="http://schemas.openxmlformats.org/drawingml/2006/picture">
                <pic:pic>
                  <pic:nvPicPr>
                    <pic:cNvPr id="0" name="00045.jpeg"/>
                    <pic:cNvPicPr/>
                  </pic:nvPicPr>
                  <pic:blipFill>
                    <a:blip r:embed="rId27"/>
                    <a:stretch>
                      <a:fillRect/>
                    </a:stretch>
                  </pic:blipFill>
                  <pic:spPr>
                    <a:xfrm>
                      <a:off x="0" y="0"/>
                      <a:ext cx="5486400" cy="1108364"/>
                    </a:xfrm>
                    <a:prstGeom prst="rect"/>
                  </pic:spPr>
                </pic:pic>
              </a:graphicData>
            </a:graphic>
          </wp:inline>
        </w:drawing>
      </w:r>
    </w:p>
    <w:p>
      <w:pPr>
        <w:spacing w:after="80"/>
      </w:pPr>
      <w:r>
        <w:rPr>
          <w:b w:val="0"/>
          <w:i w:val="0"/>
        </w:rPr>
        <w:t>Rồi năm sau, ban lãnh đạo chỉ việc giải phóng khoản doanh thu hoãn lại "bị dồn nén" đó vào doanh thu bán hàng.</w:t>
      </w:r>
    </w:p>
    <w:p>
      <w:pPr>
        <w:jc w:val="center"/>
      </w:pPr>
      <w:r>
        <w:drawing>
          <wp:inline xmlns:a="http://schemas.openxmlformats.org/drawingml/2006/main" xmlns:pic="http://schemas.openxmlformats.org/drawingml/2006/picture">
            <wp:extent cx="5486400" cy="674255"/>
            <wp:docPr id="20" name="Picture 20"/>
            <wp:cNvGraphicFramePr>
              <a:graphicFrameLocks noChangeAspect="1"/>
            </wp:cNvGraphicFramePr>
            <a:graphic>
              <a:graphicData uri="http://schemas.openxmlformats.org/drawingml/2006/picture">
                <pic:pic>
                  <pic:nvPicPr>
                    <pic:cNvPr id="0" name="00020.jpeg"/>
                    <pic:cNvPicPr/>
                  </pic:nvPicPr>
                  <pic:blipFill>
                    <a:blip r:embed="rId28"/>
                    <a:stretch>
                      <a:fillRect/>
                    </a:stretch>
                  </pic:blipFill>
                  <pic:spPr>
                    <a:xfrm>
                      <a:off x="0" y="0"/>
                      <a:ext cx="5486400" cy="674255"/>
                    </a:xfrm>
                    <a:prstGeom prst="rect"/>
                  </pic:spPr>
                </pic:pic>
              </a:graphicData>
            </a:graphic>
          </wp:inline>
        </w:drawing>
      </w:r>
    </w:p>
    <w:p>
      <w:pPr>
        <w:pStyle w:val="Heading5"/>
      </w:pPr>
      <w:r>
        <w:rPr>
          <w:rFonts w:ascii="Calibri" w:hAnsi="Calibri"/>
          <w:b/>
          <w:i/>
          <w:sz w:val="22"/>
        </w:rPr>
        <w:t>Để dành cho một "ngày mưa gió"</w:t>
      </w:r>
    </w:p>
    <w:p>
      <w:pPr>
        <w:spacing w:after="80"/>
      </w:pPr>
      <w:r>
        <w:rPr>
          <w:b w:val="0"/>
          <w:i w:val="0"/>
        </w:rPr>
        <w:t>Vào cuối thập niên 1990, gã khổng lồ phần mềm Microsoft phải đối mặt với sự soi xét gắt gao về các hành vi được cho là chống cạnh tranh, từ cả Bộ Tư pháp Hoa Kỳ lẫn cơ quan đối tác Liên minh Châu Âu giám sát quy định chống độc quyền. Có thể đoán rằng điều cuối cùng Microsoft muốn phô ra là doanh thu và lợi nhuận tăng vọt, vì điều đó sẽ trở thành mồi ngon cho các nhà quản lý. Chắc chắn công ty sẽ rất cám dỗ muốn trì hoãn ghi nhận một phần doanh thu nhất định bằng cách hoãn lại sang kỳ sau và cất giữ nó trên Bảng cân đối kế toán dưới dạng doanh thu chưa thực hiện.</w:t>
      </w:r>
    </w:p>
    <w:p>
      <w:pPr>
        <w:spacing w:after="80"/>
      </w:pPr>
      <w:r>
        <w:rPr>
          <w:b w:val="0"/>
          <w:i w:val="0"/>
        </w:rPr>
        <w:t>Như thể hiện trong Bảng 8-1, tài khoản doanh thu chưa thực hiện của Microsoft tăng thêm hàng trăm triệu đô-la mỗi quý từ tháng 3 năm 1998 đến tháng 3 năm 1999. Thật vậy, khoản dự phòng này đã tăng hơn gấp đôi trong giai đoạn này, từ $2.0 tỷ vào đầu năm 1998 lên $4.2 tỷ vào tháng 3 năm 1999. Rồi đột nhiên đà tăng chững lại trong quý tháng 6 năm 1999, khi công ty chỉ bổ sung lượng doanh thu chưa thực hiện đúng bằng lượng nó đang sử dụng.</w:t>
      </w:r>
    </w:p>
    <w:p>
      <w:pPr>
        <w:spacing w:after="80"/>
      </w:pPr>
      <w:r>
        <w:rPr>
          <w:b/>
          <w:i w:val="0"/>
        </w:rPr>
        <w:t>Bảng 8-1</w:t>
      </w:r>
      <w:r>
        <w:rPr>
          <w:b w:val="0"/>
          <w:i w:val="0"/>
        </w:rPr>
        <w:t xml:space="preserve"> Doanh thu chưa thực hiện của Microsoft, Xu hướng theo quý</w:t>
      </w:r>
    </w:p>
    <w:p>
      <w:pPr>
        <w:jc w:val="center"/>
      </w:pPr>
      <w:r>
        <w:drawing>
          <wp:inline xmlns:a="http://schemas.openxmlformats.org/drawingml/2006/main" xmlns:pic="http://schemas.openxmlformats.org/drawingml/2006/picture">
            <wp:extent cx="5486400" cy="3254928"/>
            <wp:docPr id="21" name="Picture 21"/>
            <wp:cNvGraphicFramePr>
              <a:graphicFrameLocks noChangeAspect="1"/>
            </wp:cNvGraphicFramePr>
            <a:graphic>
              <a:graphicData uri="http://schemas.openxmlformats.org/drawingml/2006/picture">
                <pic:pic>
                  <pic:nvPicPr>
                    <pic:cNvPr id="0" name="00043.jpeg"/>
                    <pic:cNvPicPr/>
                  </pic:nvPicPr>
                  <pic:blipFill>
                    <a:blip r:embed="rId29"/>
                    <a:stretch>
                      <a:fillRect/>
                    </a:stretch>
                  </pic:blipFill>
                  <pic:spPr>
                    <a:xfrm>
                      <a:off x="0" y="0"/>
                      <a:ext cx="5486400" cy="3254928"/>
                    </a:xfrm>
                    <a:prstGeom prst="rect"/>
                  </pic:spPr>
                </pic:pic>
              </a:graphicData>
            </a:graphic>
          </wp:inline>
        </w:drawing>
      </w:r>
    </w:p>
    <w:p>
      <w:pPr>
        <w:spacing w:after="80"/>
      </w:pPr>
      <w:r>
        <w:rPr>
          <w:b w:val="0"/>
          <w:i w:val="0"/>
        </w:rPr>
        <w:t>Trong khi có thể có nhiều yếu tố góp phần vào việc tích lũy lớn rồi đột ngột sụt giảm doanh thu chưa thực hiện này, một giả thuyết vào thời điểm đó cho rằng Microsoft đang xây dựng các khoản dự phòng để để dành cho ngày mưa gió. Khi doanh thu giảm 6.6 phần trăm so với quý trước trong quý tháng 9 năm 1999, các nhà đầu tư đặt câu hỏi liệu ngày mưa gió đó đã đến chưa. Một yếu tố khác góp phần vào sự sụt giảm doanh thu hoãn lại là thay đổi chính sách ghi nhận doanh thu vào tháng 6 năm 1999 khiến Microsoft ghi nhận nhiều doanh thu hơn ngay từ đầu đối với một số giao dịch bán phần mềm nhất định. Khi áp dụng quy tắc mới (SOP 98–9), Microsoft quyết định điều chỉnh các ước tính của mình để tăng lượng doanh thu ghi nhận khi xuất hàng phần mềm và giảm lượng mà họ coi là chưa thực hiện. (Xem công bố của Microsoft.) Bất kể tính chính đáng của thay đổi chính sách này, tác động của nó là giải phóng một phần doanh thu hoãn lại bị dồn nén của Microsoft.</w:t>
      </w:r>
    </w:p>
    <w:p>
      <w:pPr>
        <w:pStyle w:val="Heading5"/>
      </w:pPr>
      <w:r>
        <w:rPr>
          <w:rFonts w:ascii="Calibri" w:hAnsi="Calibri"/>
          <w:b/>
          <w:i/>
          <w:sz w:val="22"/>
        </w:rPr>
        <w:t>Kéo dài các khoản lợi nhuận bất ngờ qua nhiều năm</w:t>
      </w:r>
    </w:p>
    <w:p>
      <w:pPr>
        <w:spacing w:after="80"/>
      </w:pPr>
      <w:r>
        <w:rPr>
          <w:b w:val="0"/>
          <w:i w:val="0"/>
        </w:rPr>
        <w:t>Trên thực tế, ít công ty có được kiểu tăng trưởng bền vững vững chắc đến mức có thể tự tin để dành hàng tỷ đô-la doanh thu đã kiếm được cho một kỳ sau mà vẫn đạt được các mục tiêu của Wall Street. Tuy nhiên, phổ biến hơn, các công ty dùng Chiêu trò EM số 6 khi họ là người nhận được một khoản lợi nhuận bất ngờ.</w:t>
      </w:r>
    </w:p>
    <w:p>
      <w:pPr>
        <w:spacing w:after="80"/>
      </w:pPr>
      <w:r>
        <w:rPr>
          <w:b w:val="0"/>
          <w:i w:val="0"/>
        </w:rPr>
        <w:t>TRÍCH ĐOẠN TỪ CÔNG BỐ GHI NHẬN DOANH THU CỦA MICROSOFT, 10-K NĂM 1999</w:t>
      </w:r>
    </w:p>
    <w:p>
      <w:pPr>
        <w:spacing w:after="80"/>
      </w:pPr>
      <w:r>
        <w:rPr>
          <w:b w:val="0"/>
          <w:i w:val="0"/>
        </w:rPr>
        <w:t xml:space="preserve">Khi áp dụng SOP 98-9 trong quý IV của năm tài chính 1999, Công ty buộc phải thay đổi phương pháp phân bổ giá trị hợp lý cho các yếu tố chưa bàn giao. Tỷ lệ phần trăm của các yếu tố chưa bàn giao so với tổng thỏa thuận đã giảm, làm giảm số doanh thu Windows và Office được coi là chưa kiếm được và tăng số doanh thu được ghi nhận khi giao hàng. </w:t>
      </w:r>
      <w:r>
        <w:rPr>
          <w:b w:val="0"/>
          <w:i/>
        </w:rPr>
        <w:t>Tỷ lệ phần trăm doanh thu được ghi nhận theo tỷ lệ đều đặn đã giảm từ khoảng 20% đến 35% xuống còn khoảng 15% đến 25% đối với hệ điều hành máy tính để bàn Windows. Đối với các ứng dụng máy tính để bàn, tỷ lệ phần trăm giảm từ khoảng 20% xuống còn khoảng 10% đến 20%.</w:t>
      </w:r>
      <w:r>
        <w:rPr>
          <w:b w:val="0"/>
          <w:i w:val="0"/>
        </w:rPr>
        <w:t xml:space="preserve"> Các khoảng này phụ thuộc vào các điều khoản và điều kiện của giấy phép và giá của các yếu tố. Tác động đến năm tài chính 1999 là làm tăng doanh thu được báo cáo thêm 170 triệu đô la. [Phần in nghiêng được thêm vào để nhấn mạnh]</w:t>
      </w:r>
    </w:p>
    <w:p>
      <w:pPr>
        <w:spacing w:after="80"/>
      </w:pPr>
      <w:r>
        <w:rPr>
          <w:b/>
          <w:i/>
        </w:rPr>
        <w:t>Chuyển Các Khoản Lợi Nhuận Giao Dịch Khổng Lồ Sang Tương Lai</w:t>
      </w:r>
      <w:r>
        <w:rPr>
          <w:b w:val="0"/>
          <w:i w:val="0"/>
        </w:rPr>
        <w:t xml:space="preserve"> Việc Enron thao túng tai tiếng các thị trường năng lượng California trong giai đoạn 2000–2001 đã mang lại cho công ty những khoản lợi nhuận bất ngờ khổng lồ trong bộ phận giao dịch của mình. Lợi nhuận lớn đến mức ban lãnh đạo quyết định để dành một phần cho các quý tương lai, mà theo SEC, việc này được thực hiện để "che giấu mức độ và tính biến động của các khoản lợi nhuận giao dịch bất ngờ của mình." So với phần còn lại của những trò gian lận của Enron, kế hoạch này khá đơn giản: chỉ cần hoãn lại một phần lợi nhuận giao dịch bằng cách lưu trữ nó trong một khoản dự phòng trên Bảng Cân Đối Kế Toán. Những khoản dự phòng này tỏ ra rất hữu ích và giúp Enron tránh báo cáo các khoản lỗ lớn trong những giai đoạn khó khăn hơn. Đến đầu năm 2001, các tài khoản dự phòng không được tiết lộ của Enron đã phình to lên hơn 1 tỷ đô la. Công ty sau đó đã giải phóng không đúng cách hàng trăm triệu đô la từ các khoản dự phòng này để đảm bảo đáp ứng được kỳ vọng của Phố Wall. Trớ trêu thay, sẽ không còn quý tương lai nào để giải phóng các khoản dự phòng chưa dùng đến, vì Enron đã sụp đổ vào tháng 10 năm 2001 và có lẽ cần phải thể hiện tất cả doanh thu mà nó đã giữ lại cho "ngày mưa." Ngày mưa đó chắc chắn đã đến vào tháng 10 năm 2001—một </w:t>
      </w:r>
      <w:r>
        <w:rPr>
          <w:b w:val="0"/>
          <w:i/>
        </w:rPr>
        <w:t>cơn bão cấp 5 đối với các nhà đầu tư!</w:t>
      </w:r>
    </w:p>
    <w:p>
      <w:pPr>
        <w:spacing w:after="80"/>
      </w:pPr>
      <w:r>
        <w:rPr>
          <w:b/>
          <w:i/>
        </w:rPr>
        <w:t>Sử Dụng Các Khoản Dự Phòng Để Làm Phẳng Thu Nhập Là Một Hành Vi Vi Phạm Nghiêm Trọng</w:t>
      </w:r>
      <w:r>
        <w:rPr>
          <w:b w:val="0"/>
          <w:i w:val="0"/>
        </w:rPr>
        <w:t xml:space="preserve"> Làm phẳng thu nhập không phải là một chiến lược hiếm gặp đối với ban lãnh đạo, vì Phố Wall thưởng cho sự tăng trưởng lợi nhuận vững chắc và có thể dự đoán được. Tuy nhiên, việc sử dụng các khoản dự phòng để chuyển thu nhập sang một giai đoạn sau có thể là một thủ đoạn thao túng thu nhập nghiêm trọng không kém gì việc ghi nhận doanh thu quá sớm (Thủ Đoạn Thao Túng Thu Nhập Số 1). Trong cả hai trường hợp, kết quả đều là các báo cáo tài chính gây hiểu lầm. Khi doanh thu được ghi nhận quá sớm, thu nhập tương lai được ghi nhận vào giai đoạn hiện tại; ngược lại, với việc làm phẳng thu nhập, thu nhập hiện tại được chuyển sang một giai đoạn tương lai.</w:t>
      </w:r>
    </w:p>
    <w:p>
      <w:pPr>
        <w:pStyle w:val="Heading4"/>
      </w:pPr>
      <w:r>
        <w:rPr>
          <w:rFonts w:ascii="Calibri" w:hAnsi="Calibri"/>
          <w:b/>
          <w:i w:val="0"/>
          <w:sz w:val="23"/>
        </w:rPr>
        <w:t>2. Làm Phẳng Thu Nhập Bằng Cách Hạch Toán Sai Các Công Cụ Phái Sinh</w:t>
      </w:r>
    </w:p>
    <w:p>
      <w:pPr>
        <w:spacing w:after="80"/>
      </w:pPr>
      <w:r>
        <w:rPr>
          <w:b w:val="0"/>
          <w:i w:val="0"/>
        </w:rPr>
        <w:t>Các công ty có hoạt động kinh doanh lành mạnh có thể thực hiện những thủ đoạn làm phẳng thu nhập để tạo ra ảo giác về những kết quả tốt đẹp, ổn định và có thể dự đoán được. Hãy xem xét gã khổng lồ cho vay thế chấp Federal Home Loan Mortgage Corporation (Freddie Mac, hay Freddie) và mong muốn thể hiện lợi nhuận rất mượt mà của mình bất chấp một giai đoạn biến động lãi suất mạnh mẽ. Những nỗ lực làm phẳng lợi nhuận của Freddie đã đi đến cực đoan và dẫn đến một vụ gian lận trị giá 5 tỷ đô la.</w:t>
      </w:r>
    </w:p>
    <w:p>
      <w:pPr>
        <w:pStyle w:val="Heading5"/>
      </w:pPr>
      <w:r>
        <w:rPr>
          <w:rFonts w:ascii="Calibri" w:hAnsi="Calibri"/>
          <w:b/>
          <w:i/>
          <w:sz w:val="22"/>
        </w:rPr>
        <w:t>Thị Trường Lãi Suất Biến Động Khiến "Steady Freddie" Trở Nên Khó Dự Đoán Hơn Nhiều</w:t>
      </w:r>
    </w:p>
    <w:p>
      <w:pPr>
        <w:spacing w:after="80"/>
      </w:pPr>
      <w:r>
        <w:rPr>
          <w:b w:val="0"/>
          <w:i w:val="0"/>
        </w:rPr>
        <w:t>Việc thao túng lợi nhuận của Freddie phần lớn liên quan đến việc hạch toán không đúng các công cụ phái sinh, chi phí khởi tạo khoản vay và các khoản dự phòng tổn thất. Khi các con số đã được điều chỉnh được công bố, chúng ta biết được một điều thú vị về vụ bê bối này: công ty cuối cùng lại báo cáo thấp hơn lợi nhuận của mình. Từ năm 2000 đến 2002, Freddie Mac đã báo cáo thấp hơn thu nhập ròng gần 4,5 tỷ đô la. Như thể hiện trong Bảng 8-2, các kỹ thuật làm phẳng của Freddie cho phép nó báo cáo mức tăng trưởng lợi nhuận là 63 và 39 phần trăm trong năm 2001 và 2002, tương ứng, trong khi mức tăng trưởng lợi nhuận thực tế biến động hơn nhiều là âm 14 phần trăm trong năm 2001 và dương 220 phần trăm trong năm 2002.</w:t>
      </w:r>
    </w:p>
    <w:p>
      <w:pPr>
        <w:spacing w:after="80"/>
      </w:pPr>
      <w:r>
        <w:rPr>
          <w:b/>
          <w:i w:val="0"/>
        </w:rPr>
        <w:t>Bảng 8-2</w:t>
      </w:r>
      <w:r>
        <w:rPr>
          <w:b w:val="0"/>
          <w:i w:val="0"/>
        </w:rPr>
        <w:t xml:space="preserve"> Các Điều Chỉnh Lại Của Freddie Mac Do Sai Sót</w:t>
      </w:r>
    </w:p>
    <w:p>
      <w:pPr>
        <w:jc w:val="center"/>
      </w:pPr>
      <w:r>
        <w:drawing>
          <wp:inline xmlns:a="http://schemas.openxmlformats.org/drawingml/2006/main" xmlns:pic="http://schemas.openxmlformats.org/drawingml/2006/picture">
            <wp:extent cx="5486400" cy="1504426"/>
            <wp:docPr id="22" name="Picture 22"/>
            <wp:cNvGraphicFramePr>
              <a:graphicFrameLocks noChangeAspect="1"/>
            </wp:cNvGraphicFramePr>
            <a:graphic>
              <a:graphicData uri="http://schemas.openxmlformats.org/drawingml/2006/picture">
                <pic:pic>
                  <pic:nvPicPr>
                    <pic:cNvPr id="0" name="00013.jpeg"/>
                    <pic:cNvPicPr/>
                  </pic:nvPicPr>
                  <pic:blipFill>
                    <a:blip r:embed="rId30"/>
                    <a:stretch>
                      <a:fillRect/>
                    </a:stretch>
                  </pic:blipFill>
                  <pic:spPr>
                    <a:xfrm>
                      <a:off x="0" y="0"/>
                      <a:ext cx="5486400" cy="1504426"/>
                    </a:xfrm>
                    <a:prstGeom prst="rect"/>
                  </pic:spPr>
                </pic:pic>
              </a:graphicData>
            </a:graphic>
          </wp:inline>
        </w:drawing>
      </w:r>
    </w:p>
    <w:p>
      <w:pPr>
        <w:spacing w:after="80"/>
      </w:pPr>
      <w:r>
        <w:rPr>
          <w:b w:val="0"/>
          <w:i w:val="0"/>
        </w:rPr>
        <w:t>Điều gì có thể đã khiến Freddie dấn thân vào con đường này? Chà, Phố Wall đã quen với việc mong đợi lợi nhuận ổn định và có thể dự đoán được từ công ty. Một thách thức nảy sinh vào năm 2000 với việc thực hiện một quy tắc kế toán mới (SFAS 133) đã tạo ra sự biến động to lớn trong các hoạt động đầu tư của công ty liên quan đến các công cụ phái sinh. Ban lãnh đạo nhanh chóng nhận ra rằng sự thay đổi trong kế toán sẽ tạo ra những khoản lợi nhuận bất ngờ khổng lồ cho công ty. Ước tính ban đầu về khoản lợi nhuận là hàng trăm triệu, nhưng chúng nhanh chóng phình to lên hàng tỷ. Đối với hầu hết chúng ta, hàng tỷ đô la lợi nhuận bất ngờ sẽ là tin tuyệt vời. Tuy nhiên, đối với Freddie Mac, đây lại là một vấn đề. Giá cổ phiếu vững như bàn thạch của công ty phần lớn được xây dựng dựa trên khả năng tạo ra lợi nhuận ổn định và có thể dự đoán được. Nó chắc chắn đã xứng đáng với biệt danh "Steady Freddie." Vì vậy, luôn ý thức về danh tiếng làm hài lòng Phố Wall của mình, Freddie đã lên kế hoạch giữ lại một phần lớn khoản lợi nhuận bất ngờ và giải phóng từng phần khi cần để làm phẳng lợi nhuận.</w:t>
      </w:r>
    </w:p>
    <w:p>
      <w:pPr>
        <w:spacing w:after="80"/>
      </w:pPr>
      <w:r>
        <w:rPr>
          <w:b w:val="0"/>
          <w:i w:val="0"/>
        </w:rPr>
        <w:t>Không giống như các vụ gian lận tại Enron và WorldCom, trọng tâm trong vụ gian lận của Freddie không phải là che giấu một hoạt động kinh doanh đang suy thoái, mà là duy trì hình ảnh của mình như một cỗ máy tạo ra lợi nhuận có thể dự đoán được. Nói cách khác, mục tiêu cuối cùng không phải là tạo ra lợi nhuận mà là làm phẳng lợi nhuận. Cả hai loại thủ đoạn này đều rõ ràng vi phạm các quy tắc kế toán và xuyên tạc thực tế kinh tế đối với các nhà đầu tư. Sự khác biệt lớn nhất giữa các công ty tạo ra lợi nhuận từ hư không và những công ty làm phẳng lợi nhuận là nhóm sau có khả năng bao gồm các công ty lành mạnh chỉ đơn thuần cố gắng thể hiện một dòng lợi nhuận có thể dự đoán được hơn.</w:t>
      </w:r>
    </w:p>
    <w:p>
      <w:pPr>
        <w:spacing w:after="80"/>
      </w:pPr>
      <w:r>
        <w:rPr>
          <w:b/>
          <w:i/>
        </w:rPr>
        <w:t>General Electric Lạm Dụng Kế Toán Phái Sinh Để Duy Trì Chuỗi Tăng Trưởng Lợi Nhuận Của Mình</w:t>
      </w:r>
      <w:r>
        <w:rPr>
          <w:b w:val="0"/>
          <w:i w:val="0"/>
        </w:rPr>
        <w:t xml:space="preserve"> Giống như nhiều công ty lớn, General Electric (GE) phát hành thương phiếu, một hình thức nợ rất ngắn hạn với lãi suất thay đổi. Để phòng ngừa rủi ro trước sự thay đổi của lãi suất, GE sử dụng các thỏa thuận phái sinh, được gọi là "hoán đổi lãi suất" (được đặt tên như vậy vì GE đang "hoán đổi" nghĩa vụ thanh toán lãi suất thay đổi của mình lấy nghĩa vụ thanh toán cố định). Nếu được thực hiện đúng cách, các hoán đổi lãi suất trên thương phiếu đủ điều kiện là các công cụ phòng ngừa rủi ro hiệu quả theo SFAS 133 (như đã thảo luận trước đó), nghĩa là lợi nhuận sẽ không bị ảnh hưởng bởi sự biến động giá trị của các công cụ phái sinh này.</w:t>
      </w:r>
    </w:p>
    <w:p>
      <w:pPr>
        <w:spacing w:after="80"/>
      </w:pPr>
      <w:r>
        <w:rPr>
          <w:b w:val="0"/>
          <w:i w:val="0"/>
        </w:rPr>
        <w:t>Một vấn đề nảy sinh vào cuối năm 2002 khi GE dường như đã "phòng ngừa rủi ro quá mức," hay tham gia vào nhiều hợp đồng hoán đổi hơn mức cần thiết để phòng ngừa rủi ro lãi suất thương phiếu của mình. Đương nhiên, phần mà GE phòng ngừa rủi ro quá mức nên được coi là không hiệu quả theo SFAS 133, nghĩa là những thay đổi giá trị hàng quý sẽ ảnh hưởng đến lợi nhuận. (Những công cụ phòng ngừa rủi ro này không hiệu quả vì chúng không bù đắp cho bất cứ thứ gì.) GE nhanh chóng nhận ra rằng mình sẽ buộc phải ghi nhận một khoản chi phí trước thuế là 200 triệu đô la do những công cụ phòng ngừa rủi ro không hiệu quả này.</w:t>
      </w:r>
    </w:p>
    <w:p>
      <w:pPr>
        <w:spacing w:after="80"/>
      </w:pPr>
      <w:r>
        <w:rPr>
          <w:b w:val="0"/>
          <w:i w:val="0"/>
        </w:rPr>
        <w:t>Suốt quý tháng 12 năm 2002, GE đã chật vật tìm cách tránh ghi nhận khoản chi phí 200 triệu đô la này. Vào đầu tháng 1 năm 2003, sau khi quý đã kết thúc và chỉ vài ngày trước khi công ty báo cáo lợi nhuận, GE đã tạo ra một phương pháp kế toán hoàn toàn mới cho các công cụ phòng ngừa rủi ro này, mang lại kết quả mong muốn. Các kiểm toán viên đã ký duyệt, và GE giữ vững chuỗi thành tích đáp ứng ước tính của Phố Wall. Một vấn đề không hề nhỏ vẫn còn đó: phương pháp mới lạ này vi phạm GAAP. Vài năm sau, SEC đã vạch trần GE về hành vi gian lận kế toán.</w:t>
      </w:r>
    </w:p>
    <w:p>
      <w:pPr>
        <w:spacing w:after="80"/>
      </w:pPr>
      <w:r>
        <w:rPr>
          <w:b/>
          <w:i/>
        </w:rPr>
        <w:t>Hãy Cảnh Giác Với Các Khoản Lợi Nhuận Lớn Từ Việc Phòng Ngừa Rủi Ro Không Hiệu Quả</w:t>
      </w:r>
      <w:r>
        <w:rPr>
          <w:b w:val="0"/>
          <w:i w:val="0"/>
        </w:rPr>
        <w:t xml:space="preserve"> Các nhà đầu tư nên thận trọng khi một công ty báo cáo các khoản lợi nhuận lớn từ các hoạt động phòng ngừa rủi ro, vì những "công cụ phòng ngừa rủi ro" không hiệu quả này (đôi khi được gọi là "kinh tế") thực sự có thể là những hoạt động giao dịch đầu cơ không đáng tin cậy, có thể dễ dàng tạo ra những khoản lỗ lớn trong các giai đoạn tương lai. Ngoài ra, các nhà đầu tư nên đề phòng những công cụ phòng ngừa rủi ro không hiệu quả tạo ra lợi nhuận lớn hơn nhiều so với khoản lỗ trong tài sản hoặc nghĩa vụ cơ sở. Hãy xem xét Washington Mutual Inc. (WAMU), với lịch sử trình bày các khoản lợi nhuận lớn từ các hoạt động mà nó mô tả là phòng ngừa rủi ro. Vào năm 2004, công ty báo cáo 1,6 tỷ đô la lợi nhuận được phân loại là "phòng ngừa rủi ro kinh tế" so với khoản lỗ 500 triệu đô la từ tài sản MSR (quyền phục vụ thế chấp) không được phòng ngừa rủi ro của mình. Nói cách khác, các hoạt động phòng ngừa rủi ro của WAMU mang lại lợi nhuận gấp ba lần quy mô của khoản lỗ cơ sở. Các nhà đầu tư cũng nên cảnh giác với những "công cụ phòng ngừa rủi ro" di chuyển cùng hướng với tài sản hoặc nghĩa vụ cơ sở, vì điều này có thể báo hiệu rằng ban lãnh đạo đang sử dụng các công cụ phái sinh để đầu cơ, chứ không phải để phòng ngừa rủi ro.</w:t>
      </w:r>
    </w:p>
    <w:p>
      <w:pPr>
        <w:pStyle w:val="Heading4"/>
      </w:pPr>
      <w:r>
        <w:rPr>
          <w:rFonts w:ascii="Calibri" w:hAnsi="Calibri"/>
          <w:b/>
          <w:i w:val="0"/>
          <w:sz w:val="23"/>
        </w:rPr>
        <w:t>3. Tạo Các Khoản Dự Phòng Kết Hợp Với Một Thương Vụ Mua Lại Và Giải Phóng Chúng Vào Thu Nhập Trong Một Giai Đoạn Sau</w:t>
      </w:r>
    </w:p>
    <w:p>
      <w:pPr>
        <w:spacing w:after="80"/>
      </w:pPr>
      <w:r>
        <w:rPr>
          <w:b w:val="0"/>
          <w:i w:val="0"/>
        </w:rPr>
        <w:t>Như chúng tôi đã chỉ ra trước đây, các công ty thích thâu tóm tạo ra một số thách thức lớn nhất cho nhà đầu tư. Thứ nhất, các công ty hợp nhất ngay lập tức trở nên khó phân tích hơn trên cơ sở so sánh đồng nhất. Thứ hai, như chúng ta sẽ khám phá trong Phần 5, "Những chiêu trò kế toán thâu tóm", các quy tắc kế toán thâu tóm tạo ra sự bóp méo trong cách trình bày dòng tiền từ hoạt động kinh doanh. Và cuối cùng, các công ty đang thực hiện thâu tóm có thể bị cám dỗ yêu cầu công ty mục tiêu giữ lại một phần doanh thu đã kiếm được trước khi thương vụ hoàn tất để bên thâu tóm có thể ghi nhận nó vào kỳ sau. Đó là nơi câu chuyện tiếp theo của chúng ta bắt đầu.</w:t>
      </w:r>
    </w:p>
    <w:p>
      <w:pPr>
        <w:pStyle w:val="Heading5"/>
      </w:pPr>
      <w:r>
        <w:rPr>
          <w:rFonts w:ascii="Calibri" w:hAnsi="Calibri"/>
          <w:b/>
          <w:i/>
          <w:sz w:val="22"/>
        </w:rPr>
        <w:t>Giảm thiểu doanh thu trong "giai đoạn chuyển tiếp" thâu tóm</w:t>
      </w:r>
    </w:p>
    <w:p>
      <w:pPr>
        <w:spacing w:after="80"/>
      </w:pPr>
      <w:r>
        <w:rPr>
          <w:b w:val="0"/>
          <w:i w:val="0"/>
        </w:rPr>
        <w:t>Hãy tưởng tượng bạn vừa ký thỏa thuận bán doanh nghiệp của mình, với thương vụ hoàn tất trong hai tháng nữa. Bạn cũng nhận được chỉ thị từ đội ngũ quản lý của công ty thâu tóm yêu cầu không ghi nhận thêm doanh thu nào cho đến khi thâu tóm hoàn tất. Hơi bối rối, bạn tuân thủ và không ghi nhận thêm doanh thu nào. Khi làm vậy, bạn đã trao cho chủ sở hữu mới của mình một món quà hào phóng (và không thích đáng), vì hai tháng doanh thu bạn giữ lại sẽ được công ty thâu tóm tính là doanh thu của họ.</w:t>
      </w:r>
    </w:p>
    <w:p>
      <w:pPr>
        <w:spacing w:after="80"/>
      </w:pPr>
      <w:r>
        <w:rPr>
          <w:b w:val="0"/>
          <w:i w:val="0"/>
        </w:rPr>
        <w:t>Hãy xem xét vụ sáp nhập năm 1997 giữa 3Com với U.S. Robotics. Vì hai công ty có ngày kết thúc năm tài chính khác nhau (3Com là tháng 5 và U.S. Robotics là tháng 9), một "giai đoạn chuyển tiếp" (stub period) hai tháng được tạo ra ngay trước khi thương vụ hoàn tất. Rõ ràng, U.S. Robotics đã giữ lại một lượng doanh thu khổng lồ để nó sẵn có cho 3Com sau khi thương vụ sáp nhập hoàn tất. Có vẻ như trong quý tháng 8 năm 1997 của mình, 3Com đã bao gồm doanh thu mà U.S. Robotics đã không ghi nhận trong giai đoạn chuyển tiếp. Đây là "bằng chứng rõ ràng": U.S. Robotics báo cáo chỉ vỏn vẹn 15,2 triệu đô-la doanh thu cho giai đoạn chuyển tiếp hai tháng (khoảng 7,6 triệu đô-la mỗi tháng), một phần nhỏ xíu so với 690,2 triệu đô-la doanh thu mà công ty đã báo cáo trong quý trước đó (khoảng 230 triệu đô-la mỗi tháng). Thay vì ghi nhận doanh thu trong quá trình kinh doanh bình thường, U.S. Robotics rõ ràng đã giữ lại hơn 600 triệu đô-la (xem Bảng 8-3).</w:t>
      </w:r>
    </w:p>
    <w:p>
      <w:pPr>
        <w:spacing w:after="80"/>
      </w:pPr>
      <w:r>
        <w:rPr>
          <w:b/>
          <w:i w:val="0"/>
        </w:rPr>
        <w:t>Bảng 8-3</w:t>
      </w:r>
      <w:r>
        <w:rPr>
          <w:b w:val="0"/>
          <w:i w:val="0"/>
        </w:rPr>
        <w:t xml:space="preserve"> Doanh thu của U.S. Robotics lao dốc trong giai đoạn chuyển tiếp trước thâu tóm</w:t>
      </w:r>
    </w:p>
    <w:p>
      <w:pPr>
        <w:jc w:val="center"/>
      </w:pPr>
      <w:r>
        <w:drawing>
          <wp:inline xmlns:a="http://schemas.openxmlformats.org/drawingml/2006/main" xmlns:pic="http://schemas.openxmlformats.org/drawingml/2006/picture">
            <wp:extent cx="5486400" cy="699083"/>
            <wp:docPr id="23" name="Picture 23"/>
            <wp:cNvGraphicFramePr>
              <a:graphicFrameLocks noChangeAspect="1"/>
            </wp:cNvGraphicFramePr>
            <a:graphic>
              <a:graphicData uri="http://schemas.openxmlformats.org/drawingml/2006/picture">
                <pic:pic>
                  <pic:nvPicPr>
                    <pic:cNvPr id="0" name="00048.jpeg"/>
                    <pic:cNvPicPr/>
                  </pic:nvPicPr>
                  <pic:blipFill>
                    <a:blip r:embed="rId31"/>
                    <a:stretch>
                      <a:fillRect/>
                    </a:stretch>
                  </pic:blipFill>
                  <pic:spPr>
                    <a:xfrm>
                      <a:off x="0" y="0"/>
                      <a:ext cx="5486400" cy="699083"/>
                    </a:xfrm>
                    <a:prstGeom prst="rect"/>
                  </pic:spPr>
                </pic:pic>
              </a:graphicData>
            </a:graphic>
          </wp:inline>
        </w:drawing>
      </w:r>
    </w:p>
    <w:p>
      <w:pPr>
        <w:spacing w:after="80"/>
      </w:pPr>
      <w:r>
        <w:rPr>
          <w:b/>
          <w:i/>
        </w:rPr>
        <w:t>Hãy cảnh giác với doanh thu thấp hơn ở công ty mục tiêu ngay trước khi thâu tóm hoàn tất</w:t>
      </w:r>
      <w:r>
        <w:rPr>
          <w:b w:val="0"/>
          <w:i w:val="0"/>
        </w:rPr>
        <w:t xml:space="preserve"> Bạn có nhớ cách ban quản lý của CA (Computer Associates) thao túng các con số để giúp ban lãnh đạo cấp cao mang về 1 tỷ đô-la tiền thưởng không? Chúng tôi đã chỉ ra một số trong nhiều thủ thuật mà công ty dùng để đạt được kỳ tích này, bao gồm tháng "35 ngày" và ghi nhận doanh thu ngay lập tức trên các hợp đồng bán trả góp 10 năm. Vâng, giống như 3Com, CA cũng có thể đã hưởng lợi từ doanh thu được giữ lại trước một thương vụ thâu tóm.</w:t>
      </w:r>
    </w:p>
    <w:p>
      <w:pPr>
        <w:spacing w:after="80"/>
      </w:pPr>
      <w:r>
        <w:rPr>
          <w:b w:val="0"/>
          <w:i w:val="0"/>
        </w:rPr>
        <w:t>Ví dụ, hãy xem xét thương vụ CA mua Platinum Technologies năm 1999. Trong quý tháng 3 năm 1999, quý cuối cùng trước khi thương vụ hoàn tất, doanh thu của Platinum lao dốc xuống mức thấp nhất trong bảy quý, giảm hơn 144 triệu đô-la so với quý trước và hơn 23 triệu đô-la so với cùng kỳ năm trước (xem Bảng 8-4). Platinum quy cho sự sụt giảm mạnh này là do sự chậm trễ trong việc chốt hợp đồng khách hàng vì đề xuất thâu tóm của CA. Tuy nhiên, dù lý do thực sự là gì, việc Platinum không chốt được các thương vụ bán này đã mang lại cho chủ sở hữu mới của nó một cú hích doanh thu nhân tạo. Phân tích thêm một bước, ngay cả khi sự sụt giảm doanh thu của Platinum không phải là kết quả của việc giữ lại doanh thu, nhà đầu tư vẫn nên lo ngại rằng CA đang mua một doanh nghiệp có doanh thu đang co lại nhanh chóng.</w:t>
      </w:r>
    </w:p>
    <w:p>
      <w:pPr>
        <w:spacing w:after="80"/>
      </w:pPr>
      <w:r>
        <w:rPr>
          <w:b/>
          <w:i w:val="0"/>
        </w:rPr>
        <w:t>Bảng 8-4</w:t>
      </w:r>
      <w:r>
        <w:rPr>
          <w:b w:val="0"/>
          <w:i w:val="0"/>
        </w:rPr>
        <w:t xml:space="preserve"> Doanh thu của Platinum Technologies giảm ngay trước khi bị Computer Associates thâu tóm</w:t>
      </w:r>
    </w:p>
    <w:p>
      <w:pPr>
        <w:jc w:val="center"/>
      </w:pPr>
      <w:r>
        <w:drawing>
          <wp:inline xmlns:a="http://schemas.openxmlformats.org/drawingml/2006/main" xmlns:pic="http://schemas.openxmlformats.org/drawingml/2006/picture">
            <wp:extent cx="5486400" cy="698371"/>
            <wp:docPr id="24" name="Picture 24"/>
            <wp:cNvGraphicFramePr>
              <a:graphicFrameLocks noChangeAspect="1"/>
            </wp:cNvGraphicFramePr>
            <a:graphic>
              <a:graphicData uri="http://schemas.openxmlformats.org/drawingml/2006/picture">
                <pic:pic>
                  <pic:nvPicPr>
                    <pic:cNvPr id="0" name="00015.jpeg"/>
                    <pic:cNvPicPr/>
                  </pic:nvPicPr>
                  <pic:blipFill>
                    <a:blip r:embed="rId32"/>
                    <a:stretch>
                      <a:fillRect/>
                    </a:stretch>
                  </pic:blipFill>
                  <pic:spPr>
                    <a:xfrm>
                      <a:off x="0" y="0"/>
                      <a:ext cx="5486400" cy="698371"/>
                    </a:xfrm>
                    <a:prstGeom prst="rect"/>
                  </pic:spPr>
                </pic:pic>
              </a:graphicData>
            </a:graphic>
          </wp:inline>
        </w:drawing>
      </w:r>
    </w:p>
    <w:p>
      <w:pPr>
        <w:pStyle w:val="Heading4"/>
      </w:pPr>
      <w:r>
        <w:rPr>
          <w:rFonts w:ascii="Calibri" w:hAnsi="Calibri"/>
          <w:b/>
          <w:i w:val="0"/>
          <w:sz w:val="23"/>
        </w:rPr>
        <w:t>4. Ghi nhận doanh số kỳ hiện tại vào kỳ sau</w:t>
      </w:r>
    </w:p>
    <w:p>
      <w:pPr>
        <w:spacing w:after="80"/>
      </w:pPr>
      <w:r>
        <w:rPr>
          <w:b w:val="0"/>
          <w:i w:val="0"/>
        </w:rPr>
        <w:t>Hãy tưởng tượng vào cuối một kỳ rất mạnh, ban quản lý đã đạt được tất cả các mục tiêu lợi nhuận cần thiết để đạt tiền thưởng tối đa. Doanh số tiếp tục diễn ra sôi nổi, và ban quản lý có một ý tưởng sẽ đảm bảo các khoản thanh toán tiền thưởng cao cho kỳ tiếp theo nữa—ngừng ghi nhận thêm doanh số và chuyển chúng sang quý sau. Việc này dễ làm, khó có khả năng các kiểm toán viên thậm chí biết về thủ thuật này, và khách hàng của bạn chắc chắn sẽ không phản đối vì họ sẽ được xuất hóa đơn muộn hơn họ mong đợi. Tuy nhiên, hành vi này là không trung thực và gây nhầm lẫn cho nhà đầu tư, vì nó thể hiện doanh số cao hơn trong kỳ sau. Quan trọng hơn, tuy nhiên, nó cho thấy ban quản lý đưa ra các quyết định kinh doanh không dựa trên thực tiễn kinh doanh lành mạnh, mà dựa trên việc tô điểm báo cáo tài chính của mình cho nhà đầu tư.</w:t>
      </w:r>
    </w:p>
    <w:p>
      <w:pPr>
        <w:pStyle w:val="Heading3"/>
      </w:pPr>
      <w:r>
        <w:rPr>
          <w:rFonts w:ascii="Calibri" w:hAnsi="Calibri"/>
          <w:b/>
          <w:i w:val="0"/>
          <w:sz w:val="26"/>
        </w:rPr>
        <w:t>Nhìn về phía trước</w:t>
      </w:r>
    </w:p>
    <w:p>
      <w:pPr>
        <w:spacing w:after="80"/>
      </w:pPr>
      <w:r>
        <w:rPr>
          <w:b w:val="0"/>
          <w:i w:val="0"/>
        </w:rPr>
        <w:t>Chương này đã cho thấy ban quản lý có thể làm gì để giữ lại doanh thu hợp pháp nhằm ghi nhận nó vào một kỳ sau và có vẻ như mong muốn hơn. Nếu mục tiêu là làm thiệt kỳ hiện tại và mang lại lợi ích cho thu nhập kỳ tương lai, thì việc đẩy nhanh chi phí sang các kỳ sớm hơn cũng nên đạt được mục đích đó. Chương 9 mô tả các kỹ thuật được dùng để đẩy nhanh chi phí, khiến kỳ hiện tại trông như một thảm họa để cho thấy lợi nhuận đẹp đẽ vào ngày mai.</w:t>
      </w:r>
    </w:p>
    <w:p>
      <w:pPr>
        <w:pStyle w:val="Heading2"/>
      </w:pPr>
      <w:r>
        <w:rPr>
          <w:rFonts w:ascii="Calibri" w:hAnsi="Calibri"/>
          <w:b/>
          <w:i w:val="0"/>
          <w:sz w:val="32"/>
        </w:rPr>
        <w:t>9</w:t>
      </w:r>
    </w:p>
    <w:p>
      <w:pPr>
        <w:pStyle w:val="Heading2"/>
      </w:pPr>
      <w:r>
        <w:rPr>
          <w:rFonts w:ascii="Calibri" w:hAnsi="Calibri"/>
          <w:b/>
          <w:i w:val="0"/>
          <w:sz w:val="32"/>
        </w:rPr>
        <w:t>Chiêu trò thao túng lợi nhuận số 7: Chuyển chi phí tương lai về kỳ hiện tại</w:t>
      </w:r>
    </w:p>
    <w:p>
      <w:pPr>
        <w:spacing w:after="80"/>
      </w:pPr>
      <w:r>
        <w:rPr>
          <w:b w:val="0"/>
          <w:i w:val="0"/>
        </w:rPr>
        <w:t xml:space="preserve">Bạn có nhớ trò chơi trẻ con gọi là "ngày ngược đời" không? Với bọn trẻ chơi trò này, mục tiêu là làm mọi thứ theo cách ngược lại với cách chúng thường làm. Trong chương này, hãy để người lớn chúng ta chơi một chút trò ngược đời với chi phí cho vui. Bạn nhớ rằng toàn bộ mục đích của các Chiêu trò thao túng lợi nhuận số 4 và 5 là hoặc đẩy chi phí sang kỳ sau hoặc đơn giản là làm chúng biến mất vĩnh viễn. Trong kế hoạch </w:t>
      </w:r>
      <w:r>
        <w:rPr>
          <w:b w:val="0"/>
          <w:i/>
        </w:rPr>
        <w:t>ngược đời</w:t>
      </w:r>
      <w:r>
        <w:rPr>
          <w:b w:val="0"/>
          <w:i w:val="0"/>
        </w:rPr>
        <w:t xml:space="preserve">, mục tiêu là tìm cách </w:t>
      </w:r>
      <w:r>
        <w:rPr>
          <w:b w:val="0"/>
          <w:i/>
        </w:rPr>
        <w:t>tăng</w:t>
      </w:r>
      <w:r>
        <w:rPr>
          <w:b w:val="0"/>
          <w:i w:val="0"/>
        </w:rPr>
        <w:t xml:space="preserve"> chi phí kỳ hiện tại.</w:t>
      </w:r>
    </w:p>
    <w:p>
      <w:pPr>
        <w:spacing w:after="80"/>
      </w:pPr>
      <w:r>
        <w:rPr>
          <w:b w:val="0"/>
          <w:i w:val="0"/>
        </w:rPr>
        <w:t>Làm điều này liên quan đến hai nguyên tắc cơ bản: (1) thay vì giữ chi phí trên Bảng cân đối kế toán quá lâu (tức là Chiêu trò EM số 4), hãy tống chúng ngay vào thùng rác chi phí, và (2) thay vì cố che giấu chi phí bằng cách không ghi nhận hóa đơn (tức là Chiêu trò EM số 5), hãy ghi nhận tất cả ngay bây giờ (càng sớm càng tốt) và rồi thêm nữa—ngay cả khi bạn thực sự bịa ra chi phí chỉ để cho vui. Nghe có vẻ điên rồ nhỉ? Hãy chờ xem, và chẳng bao lâu bạn sẽ hiểu đầy đủ cách ban quản lý hưởng lợi từ việc chơi trò này—và các công ty chơi nó thường xuyên hơn bạn tưởng tượng.</w:t>
      </w:r>
    </w:p>
    <w:p>
      <w:pPr>
        <w:pStyle w:val="Heading3"/>
      </w:pPr>
      <w:r>
        <w:rPr>
          <w:rFonts w:ascii="Calibri" w:hAnsi="Calibri"/>
          <w:b/>
          <w:i w:val="0"/>
          <w:sz w:val="26"/>
        </w:rPr>
        <w:t>Các kỹ thuật chuyển chi phí tương lai về kỳ trước</w:t>
      </w:r>
    </w:p>
    <w:p>
      <w:pPr>
        <w:spacing w:after="80"/>
      </w:pPr>
      <w:r>
        <w:rPr>
          <w:b w:val="0"/>
          <w:i w:val="0"/>
        </w:rPr>
        <w:t>1. Xóa sổ tài sản không đúng cách trong kỳ hiện tại để tránh chi phí trong kỳ tương lai</w:t>
      </w:r>
    </w:p>
    <w:p>
      <w:pPr>
        <w:spacing w:after="80"/>
      </w:pPr>
      <w:r>
        <w:rPr>
          <w:b w:val="0"/>
          <w:i w:val="0"/>
        </w:rPr>
        <w:t>2. Ghi nhận chi phí không đúng cách để lập các khoản dự phòng nhằm giảm chi phí tương lai</w:t>
      </w:r>
    </w:p>
    <w:p>
      <w:pPr>
        <w:pStyle w:val="Heading4"/>
      </w:pPr>
      <w:r>
        <w:rPr>
          <w:rFonts w:ascii="Calibri" w:hAnsi="Calibri"/>
          <w:b/>
          <w:i w:val="0"/>
          <w:sz w:val="23"/>
        </w:rPr>
        <w:t>1. Xóa sổ tài sản không đúng cách trong kỳ hiện tại để tránh chi phí trong kỳ tương lai</w:t>
      </w:r>
    </w:p>
    <w:p>
      <w:pPr>
        <w:spacing w:after="80"/>
      </w:pPr>
      <w:r>
        <w:rPr>
          <w:b w:val="0"/>
          <w:i w:val="0"/>
        </w:rPr>
        <w:t xml:space="preserve">Hãy quay lại một chút với điệu nhảy Texas two-step của chúng ta để chuyển tài sản thành chi phí. Khi làm đúng, Bước 1 yêu cầu đưa các chi phí lên Bảng cân đối kế toán (Balance Sheet) dưới dạng tài sản, vì chúng đại diện cho lợi ích dài hạn trong tương lai. Bước 2 liên quan đến việc chuyển những chi phí đó vào thùng rác (được gọi là chi phí) khi lợi ích được nhận. Chương 6, "Thủ thuật thao túng lợi nhuận số 4," đã chỉ ra cách đầu tiên để làm hỏng điệu nhảy hai bước—bằng cách chuyển từ Bước 1 sang Bước 2 quá </w:t>
      </w:r>
      <w:r>
        <w:rPr>
          <w:b w:val="0"/>
          <w:i/>
        </w:rPr>
        <w:t>chậm</w:t>
      </w:r>
      <w:r>
        <w:rPr>
          <w:b w:val="0"/>
          <w:i w:val="0"/>
        </w:rPr>
        <w:t xml:space="preserve">, hoặc có thể là không chuyển chút nào. Chương này chỉ ra một cách không phù hợp khác để nhảy điệu hai bước, ngược lại với điệu nhảy đã thảo luận ở Chương 6—chỉ đơn giản là chuyển chi phí từ Bước 1 sang Bước 2 </w:t>
      </w:r>
      <w:r>
        <w:rPr>
          <w:b w:val="0"/>
          <w:i/>
        </w:rPr>
        <w:t>ngay lập tức</w:t>
      </w:r>
      <w:r>
        <w:rPr>
          <w:b w:val="0"/>
          <w:i w:val="0"/>
        </w:rPr>
        <w:t xml:space="preserve">. Nói cách khác, xóa sổ tài sản bằng cách ghi nhận chi phí </w:t>
      </w:r>
      <w:r>
        <w:rPr>
          <w:b w:val="0"/>
          <w:i/>
        </w:rPr>
        <w:t>sớm hơn</w:t>
      </w:r>
      <w:r>
        <w:rPr>
          <w:b w:val="0"/>
          <w:i w:val="0"/>
        </w:rPr>
        <w:t xml:space="preserve"> nhiều so với mức hợp lý.</w:t>
      </w:r>
    </w:p>
    <w:p>
      <w:pPr>
        <w:spacing w:after="80"/>
      </w:pPr>
      <w:r>
        <w:rPr>
          <w:b/>
          <w:i w:val="0"/>
        </w:rPr>
        <w:t>Các chi phí điển hình theo "Quy trình hai bước"</w:t>
      </w:r>
    </w:p>
    <w:p>
      <w:pPr>
        <w:jc w:val="center"/>
      </w:pPr>
      <w:r>
        <w:drawing>
          <wp:inline xmlns:a="http://schemas.openxmlformats.org/drawingml/2006/main" xmlns:pic="http://schemas.openxmlformats.org/drawingml/2006/picture">
            <wp:extent cx="5486400" cy="1531563"/>
            <wp:docPr id="25" name="Picture 25"/>
            <wp:cNvGraphicFramePr>
              <a:graphicFrameLocks noChangeAspect="1"/>
            </wp:cNvGraphicFramePr>
            <a:graphic>
              <a:graphicData uri="http://schemas.openxmlformats.org/drawingml/2006/picture">
                <pic:pic>
                  <pic:nvPicPr>
                    <pic:cNvPr id="0" name="00060.jpeg"/>
                    <pic:cNvPicPr/>
                  </pic:nvPicPr>
                  <pic:blipFill>
                    <a:blip r:embed="rId33"/>
                    <a:stretch>
                      <a:fillRect/>
                    </a:stretch>
                  </pic:blipFill>
                  <pic:spPr>
                    <a:xfrm>
                      <a:off x="0" y="0"/>
                      <a:ext cx="5486400" cy="1531563"/>
                    </a:xfrm>
                    <a:prstGeom prst="rect"/>
                  </pic:spPr>
                </pic:pic>
              </a:graphicData>
            </a:graphic>
          </wp:inline>
        </w:drawing>
      </w:r>
    </w:p>
    <w:p>
      <w:pPr>
        <w:pStyle w:val="Heading5"/>
      </w:pPr>
      <w:r>
        <w:rPr>
          <w:rFonts w:ascii="Calibri" w:hAnsi="Calibri"/>
          <w:b/>
          <w:i/>
          <w:sz w:val="22"/>
        </w:rPr>
        <w:t>Xóa sổ chi phí tiếp thị hoãn lại không đúng cách</w:t>
      </w:r>
    </w:p>
    <w:p>
      <w:pPr>
        <w:spacing w:after="80"/>
      </w:pPr>
      <w:r>
        <w:rPr>
          <w:b w:val="0"/>
          <w:i w:val="0"/>
        </w:rPr>
        <w:t>Bạn có thể nhớ rằng khi chúng ta đề cập đến AOL ở Chương 6, công ty này đang chật vật để thể hiện lợi nhuận và đã bắt đầu vốn hóa các chi phí tiếp thị và chào mời khách hàng để đưa công ty thoát khỏi tình trạng thua lỗ. Chúng ta đã chỉ trích AOL vì đã thổi phồng lợi nhuận bằng cách vốn hóa các chi phí thông thường lên Bảng cân đối kế toán. Sau đó, chúng ta cũng phê phán công ty vì đã kéo dài thời gian khấu hao cho những chi phí này từ một năm lên hai năm, vì điều này càng làm giảm chi phí và thổi phồng lợi nhuận. Vậy nên ở điểm chúng ta dừng câu chuyện vài chương trước, AOL đã tích lũy hơn 314 triệu đô la trong tài khoản tài sản được gọi là "chi phí thu hút thành viên hoãn lại" (deferred membership acquisition costs - DMAC). (Xem Bảng 9-1.) Nhưng công ty vẫn còn một vấn đề lớn: những chi phí đó đại diện cho chi phí của ngày mai, và chúng sẽ cần được khấu hao trong tám quý tiếp theo—một cú đánh 40 triệu đô la vào lợi nhuận mỗi quý. Xét mức lợi nhuận khiêm tốn của AOL (65,2 triệu đô la thu nhập hoạt động trong năm tài chính 1996), một khoản chi phí 40 triệu đô la định kỳ mỗi quý sẽ khá là không được hoan nghênh.</w:t>
      </w:r>
    </w:p>
    <w:p>
      <w:pPr>
        <w:spacing w:after="80"/>
      </w:pPr>
      <w:r>
        <w:rPr>
          <w:b/>
          <w:i w:val="0"/>
        </w:rPr>
        <w:t>Bảng 9-1</w:t>
      </w:r>
      <w:r>
        <w:rPr>
          <w:b w:val="0"/>
          <w:i w:val="0"/>
        </w:rPr>
        <w:t xml:space="preserve"> Chi phí thu hút thành viên hoãn lại của AOL</w:t>
      </w:r>
    </w:p>
    <w:p>
      <w:pPr>
        <w:jc w:val="center"/>
      </w:pPr>
      <w:r>
        <w:drawing>
          <wp:inline xmlns:a="http://schemas.openxmlformats.org/drawingml/2006/main" xmlns:pic="http://schemas.openxmlformats.org/drawingml/2006/picture">
            <wp:extent cx="5486400" cy="1504426"/>
            <wp:docPr id="26" name="Picture 26"/>
            <wp:cNvGraphicFramePr>
              <a:graphicFrameLocks noChangeAspect="1"/>
            </wp:cNvGraphicFramePr>
            <a:graphic>
              <a:graphicData uri="http://schemas.openxmlformats.org/drawingml/2006/picture">
                <pic:pic>
                  <pic:nvPicPr>
                    <pic:cNvPr id="0" name="00049.jpeg"/>
                    <pic:cNvPicPr/>
                  </pic:nvPicPr>
                  <pic:blipFill>
                    <a:blip r:embed="rId34"/>
                    <a:stretch>
                      <a:fillRect/>
                    </a:stretch>
                  </pic:blipFill>
                  <pic:spPr>
                    <a:xfrm>
                      <a:off x="0" y="0"/>
                      <a:ext cx="5486400" cy="1504426"/>
                    </a:xfrm>
                    <a:prstGeom prst="rect"/>
                  </pic:spPr>
                </pic:pic>
              </a:graphicData>
            </a:graphic>
          </wp:inline>
        </w:drawing>
      </w:r>
    </w:p>
    <w:p>
      <w:pPr>
        <w:spacing w:after="80"/>
      </w:pPr>
      <w:r>
        <w:rPr>
          <w:b w:val="0"/>
          <w:i w:val="0"/>
        </w:rPr>
        <w:t>Vậy nên ba tháng sau, khi tài sản DMAC của nó đã phình lên đến 385 triệu đô la, AOL chuyển sang Kế hoạch B và bắt đầu chơi phiên bản trò chơi ngược ngày của mình. Thay vì tiếp tục với điệu nhảy hai bước và khấu hao chi phí tiếp thị trong tám quý tiếp theo, AOL chuyển hướng bằng cách công bố "một khoản chi phí một lần" để xóa sổ toàn bộ số tiền trong một nhát. Tất nhiên, nó phải đưa ra một lý do để thuyết phục các kiểm toán viên rằng tài khoản tài sản này đột nhiên trở nên "bị suy giảm" và sẽ không mang lại lợi ích nào trong tương lai. Vậy nên AOL tuyên bố rằng việc xóa sổ là cần thiết để phản ánh những thay đổi trong mô hình kinh doanh đang phát triển của mình, bao gồm việc giảm sự phụ thuộc vào phí thuê bao khi công ty phát triển các nguồn doanh thu khác. Nói rằng chúng ta hoài nghi về lời giải thích này là còn nhẹ.</w:t>
      </w:r>
    </w:p>
    <w:p>
      <w:pPr>
        <w:spacing w:after="80"/>
      </w:pPr>
      <w:r>
        <w:rPr>
          <w:b w:val="0"/>
          <w:i w:val="0"/>
        </w:rPr>
        <w:t>Để rõ ràng về mức độ trắng trợn và quy mô của kế hoạch này, hãy tóm tắt lại. Đầu tiên, AOL quyết định đẩy các chi phí chào mời thông thường lên Bảng cân đối kế toán—điều này nhằm tạo cho nhà đầu tư ấn tượng rằng đây là một công ty có lợi nhuận, trong khi thực tế công ty đang thua lỗ và đốt một đống tiền mặt. Thứ hai, nó kéo dài thời gian khấu hao từ một năm lên hai năm, càng thổi phồng lợi nhuận bằng cách cắt giảm một nửa chi phí khấu hao được ghi nhận mỗi quý. Tất nhiên, đến lúc này, công ty biết rằng nó vẫn còn một thách thức rất lớn. Bằng cách sử dụng các thực hành kế toán tích cực, nó đã thành công trong việc đẩy hơn 300 triệu đô la chi phí vào tương lai; tuy nhiên, nó đã không thể làm cho những chi phí này biến mất vĩnh viễn. Nhưng đừng lo; các nhà ảo thuật của AOL vẫn còn một trò nữa trong tay áo—màn kết hoành tráng. Trong một màn ảo thuật để đời, ban lãnh đạo đã sử dụng khoản chi phí 385 triệu đô la để xóa bỏ tất cả những chi phí đang looming này và giảm nhẹ tầm quan trọng bằng cách chỉ gọi nó là "thay đổi trong ước tính kế toán." Chắc chắn bạn sẽ đồng ý rằng những hành động này là sản phẩm của sự trơ tráo lớn.</w:t>
      </w:r>
    </w:p>
    <w:p>
      <w:pPr>
        <w:pStyle w:val="Heading5"/>
      </w:pPr>
      <w:r>
        <w:rPr>
          <w:rFonts w:ascii="Calibri" w:hAnsi="Calibri"/>
          <w:b/>
          <w:i/>
          <w:sz w:val="22"/>
        </w:rPr>
        <w:t>Xóa sổ hàng tồn kho không đúng cách vì bị coi là lỗi thời</w:t>
      </w:r>
    </w:p>
    <w:p>
      <w:pPr>
        <w:spacing w:after="80"/>
      </w:pPr>
      <w:r>
        <w:rPr>
          <w:b w:val="0"/>
          <w:i w:val="0"/>
        </w:rPr>
        <w:t>Không giống như chi phí chào mời mà AOL đã vốn hóa không đúng cách trong nhiều năm (trước khi nó bắt đầu chơi trò chơi ngược ngày), chi phí hàng tồn kho chắc chắn nên được vốn hóa và sau đó được ghi nhận là chi phí khi sản phẩm được bán (hầu hết thời gian) hoặc khi nó bị xóa sổ vì lỗi thời (ít thường xuyên hơn). Các thủ thuật phổ biến nhất với kế toán hàng tồn kho liên quan đến việc không chuyển chi phí từ tài khoản tài sản sang chi phí một cách kịp thời. Thủ thuật này đương nhiên sẽ làm giảm chi phí và thổi phồng lợi nhuận. Tuy nhiên, vì chúng ta đang chơi trò chơi ngược ngày ở đây, hãy giả sử rằng ban lãnh đạo quyết định xóa sổ chi phí hàng tồn kho như một khoản chi phí từ rất lâu trước khi bất kỳ giao dịch bán nào diễn ra.</w:t>
      </w:r>
    </w:p>
    <w:p>
      <w:pPr>
        <w:spacing w:after="80"/>
      </w:pPr>
      <w:r>
        <w:rPr>
          <w:b/>
          <w:i/>
        </w:rPr>
        <w:t>Hãy chú ý đến việc đảo ngược các khoản chi phí suy giảm hàng tồn kho trước đó</w:t>
      </w:r>
      <w:r>
        <w:rPr>
          <w:b w:val="0"/>
          <w:i w:val="0"/>
        </w:rPr>
        <w:t xml:space="preserve"> Khi nhà sản xuất chip NVIDIA ghi nhận một khoản chi phí suy giảm để giảm giá trị hàng tồn kho năm 2016 của mình, ban lãnh đạo đã viện dẫn một chu kỳ sản phẩm mới sẽ khiến một số bộ xử lý cũ của công ty trở nên lỗi thời. Dựa trên những lo ngại đó, NVIDIA đã tăng đáng kể chi phí suy giảm lên 112 triệu đô la—tăng từ 59 triệu đô la năm 2015 và 50 triệu đô la năm 2014. Những ước tính suy giảm đó hóa ra lại quá cao, vì trong năm tiếp theo (2017) NVIDIA báo cáo rằng họ đã </w:t>
      </w:r>
      <w:r>
        <w:rPr>
          <w:b w:val="0"/>
          <w:i/>
        </w:rPr>
        <w:t>bán được 51 triệu đô la hàng hóa đã bị xóa sổ trước đó</w:t>
      </w:r>
      <w:r>
        <w:rPr>
          <w:b w:val="0"/>
          <w:i w:val="0"/>
        </w:rPr>
        <w:t>. Và bằng cách đảo ngược khoản chi phí suy giảm bị thổi phồng trong năm 2017, NVIDIA đã nhận được mức tăng 70 điểm cơ bản cho biên lợi nhuận gộp của mình.</w:t>
      </w:r>
    </w:p>
    <w:p>
      <w:pPr>
        <w:pStyle w:val="Heading5"/>
      </w:pPr>
      <w:r>
        <w:rPr>
          <w:rFonts w:ascii="Calibri" w:hAnsi="Calibri"/>
          <w:b/>
          <w:i/>
          <w:sz w:val="22"/>
        </w:rPr>
        <w:t>Quá nhiều đồ chơi</w:t>
      </w:r>
    </w:p>
    <w:p>
      <w:pPr>
        <w:spacing w:after="80"/>
      </w:pPr>
      <w:r>
        <w:rPr>
          <w:b w:val="0"/>
          <w:i w:val="0"/>
        </w:rPr>
        <w:t>Toys 'R' Us tích lũy hàng tồn kho dư thừa mà họ xác định sẽ không thể bán được. Công ty thông báo rằng họ sẽ ghi nhận khoản chi phí tái cấu trúc 396,6 triệu đô la (trước thuế) để trang trải chi phí của một "tái định vị hàng tồn kho chiến lược" (diễn giải: chuyển hàng tồn kho bán chậm ra khỏi kệ hàng), cũng như việc đóng cửa các cửa hàng và trung tâm phân phối. Phần chi phí liên quan đến việc tái định vị hàng tồn kho lên tới 184 triệu đô la. Công ty giải thích rằng hàng tồn kho đã được loại bỏ khỏi các cửa hàng và bán với giá thấp hơn thông qua các kênh phân phối thay thế. Thông thường, hàng tồn kho sẽ được giảm giá trị xuống giá trị có thể thực hiện ròng và phần chênh lệch được ghi nhận là chi phí hoạt động.</w:t>
      </w:r>
    </w:p>
    <w:p>
      <w:pPr>
        <w:spacing w:after="80"/>
      </w:pPr>
      <w:r>
        <w:rPr>
          <w:b w:val="0"/>
          <w:i w:val="0"/>
        </w:rPr>
        <w:t>Dù chúng ta đang xét việc AOL đẩy nhanh các chi phí tiếp thị bị hoãn lại, NVIDIA xóa sổ hàng tồn kho mà thực ra họ không hề vứt bỏ (và sau đó vẫn bán được), hay Toys ‘R’ Us ghi nhận các khoản chi phí một lần lớn, thì mỗi trường hợp dường như đều có cùng một kết quả cuối cùng: dồn trước các chi phí của kỳ tương lai vào kỳ hiện tại, và hơn nữa, phân loại khoản xóa sổ đó là không liên quan đến hoạt động thông thường và trình bày nó ở dưới dòng (below the line). Những hành động như vậy thổi phồng lợi nhuận của kỳ tương lai mà không gây tổn hại gì cho kết quả hoạt động của kỳ hiện tại.</w:t>
      </w:r>
    </w:p>
    <w:p>
      <w:pPr>
        <w:spacing w:after="80"/>
      </w:pPr>
      <w:r>
        <w:rPr>
          <w:b w:val="0"/>
          <w:i w:val="0"/>
        </w:rPr>
        <w:t>Hộp kiến thức kế toán: Chi phí tái cấu trúc tạo ra lợi ích liên kỳ và nội kỳ</w:t>
      </w:r>
    </w:p>
    <w:p>
      <w:pPr>
        <w:spacing w:after="80"/>
      </w:pPr>
      <w:r>
        <w:rPr>
          <w:b w:val="0"/>
          <w:i w:val="0"/>
        </w:rPr>
        <w:t xml:space="preserve">Thủ thuật EM số 7 tạo ra cả lợi ích </w:t>
      </w:r>
      <w:r>
        <w:rPr>
          <w:b w:val="0"/>
          <w:i/>
        </w:rPr>
        <w:t>liên kỳ</w:t>
      </w:r>
      <w:r>
        <w:rPr>
          <w:b w:val="0"/>
          <w:i w:val="0"/>
        </w:rPr>
        <w:t xml:space="preserve"> (interperiod) lẫn </w:t>
      </w:r>
      <w:r>
        <w:rPr>
          <w:b w:val="0"/>
          <w:i/>
        </w:rPr>
        <w:t>nội kỳ</w:t>
      </w:r>
      <w:r>
        <w:rPr>
          <w:b w:val="0"/>
          <w:i w:val="0"/>
        </w:rPr>
        <w:t xml:space="preserve"> (intraperiod) cho ban lãnh đạo. Thứ nhất, các chi phí của kỳ tương lai được dồn trước về một kỳ sớm hơn, để lại ít chi phí hơn đè nặng lên kỳ sau. Thứ hai, các chi phí được dồn trước đó thường được phân loại là “tái cấu trúc” (restructuring) hoặc “chi phí một lần” (one-time charges) và được trình bày ở dưới dòng, tạo nên tình thế đôi bên cùng thắng cho công ty: thu nhập hoạt động (ở trên dòng) trong kỳ ghi nhận chi phí không bị ảnh hưởng vì tác động chỉ nằm ở dưới dòng; và thu nhập hoạt động của kỳ sau bị thổi phồng, vì một số chi phí thông thường đã bị rút ra và đưa vào khoản chi phí của kỳ trước.</w:t>
      </w:r>
    </w:p>
    <w:p>
      <w:pPr>
        <w:pStyle w:val="Heading5"/>
      </w:pPr>
      <w:r>
        <w:rPr>
          <w:rFonts w:ascii="Calibri" w:hAnsi="Calibri"/>
          <w:b/>
          <w:i/>
          <w:sz w:val="22"/>
        </w:rPr>
        <w:t>Xóa sổ nhà xưởng và thiết bị bị coi là suy giảm giá trị một cách không chính đáng</w:t>
      </w:r>
    </w:p>
    <w:p>
      <w:pPr>
        <w:spacing w:after="80"/>
      </w:pPr>
      <w:r>
        <w:rPr>
          <w:b w:val="0"/>
          <w:i w:val="0"/>
        </w:rPr>
        <w:t>Khi chúng ta giới thiệu các thủ thuật liên quan đến nhà xưởng và thiết bị ở Chương 6, chúng ta đã cảnh báo về việc ban lãnh đạo báo cáo lợi nhuận bị thổi phồng bằng cách khấu hao những tài sản này trong khoảng thời gian quá dài hoặc không xóa sổ chúng hoàn toàn nếu giá trị của chúng bị suy giảm vĩnh viễn. Khi tiếp tục trò chơi ngược lại, hãy chuyển hướng và nghĩ xem ban lãnh đạo có thể đẩy nhanh chi phí của kỳ hiện tại bằng cách rút ngắn thời gian khấu hao và công bố các khoản chi phí suy giảm giá trị cho một số nhà xưởng và thiết bị nhất định, dù chúng có thể hoàn toàn ổn, như thế nào. Nhà đầu tư nên đặc biệt cảnh giác với kiểu thủ thuật này khi nó trùng với việc tuyển dụng một CEO mới với những gói quyền chọn cổ phiếu hấp dẫn, hoặc nếu ban lãnh đạo dùng chiêu này với tần suất bất thường.</w:t>
      </w:r>
    </w:p>
    <w:p>
      <w:pPr>
        <w:spacing w:after="80"/>
      </w:pPr>
      <w:r>
        <w:rPr>
          <w:b/>
          <w:i/>
        </w:rPr>
        <w:t>Bài học số một cho các CEO mới</w:t>
      </w:r>
      <w:r>
        <w:rPr>
          <w:b w:val="0"/>
          <w:i w:val="0"/>
        </w:rPr>
        <w:t xml:space="preserve"> Giả sử bạn đang chuẩn bị trở thành CEO của một công ty đang chật vật và muốn khởi đầu thật suôn sẻ bằng cách cho thấy lợi nhuận cải thiện vượt bậc gần như ngay lập tức. Dưới đây là vài gợi ý, giả định rằng bạn không hề băn khoăn về đạo đức khi dùng một vài thủ thuật để đạt mục tiêu của mình.</w:t>
      </w:r>
    </w:p>
    <w:p>
      <w:pPr>
        <w:spacing w:after="80"/>
      </w:pPr>
      <w:r>
        <w:rPr>
          <w:b w:val="0"/>
          <w:i w:val="0"/>
        </w:rPr>
        <w:t>Trong vài tuần đầu tiên tại vị, hãy công bố một số sáng kiến táo bạo nhằm dọn dẹp đống bừa bộn do người tiền nhiệm để lại và cố tỏ ra là một nhà lãnh đạo mạnh mẽ, quyết đoán, nắm chắc từng chi tiết. À, và nhớ công bố việc tinh gọn hoạt động cùng một khoản xóa sổ tài sản lớn (thường được gọi là “big bath” – tắm rửa sạch sẽ) – khoản xóa sổ càng lớn càng tốt. Nhà đầu tư sẽ ấn tượng, và tất nhiên, điều đó khiến việc thể hiện tăng trưởng lợi nhuận trong các kỳ tương lai trở nên dễ dàng vô cùng; bạn vừa hạ thấp mức chuẩn bằng cách dồn những chi phí tương lai đó vào khoản chi phí của hôm nay. Hãy đưa vào thông báo của bạn nhu cầu xóa sổ hàng tồn kho và tài sản nhà xưởng bị phình to. Nhà đầu tư thậm chí sẽ không trừng phạt công ty vì khoản lỗ ngắn hạn, vì tất cả đều được đóng gói ở dưới dòng. Khi ngày mai đến, bạn sẽ báo cáo lợi nhuận cải thiện rất nhiều, vì phần lớn chi phí của ngày mai đã được xóa sổ như một phần của khoản chi phí đặc biệt.</w:t>
      </w:r>
    </w:p>
    <w:p>
      <w:pPr>
        <w:spacing w:after="80"/>
      </w:pPr>
      <w:r>
        <w:rPr>
          <w:b/>
          <w:i/>
        </w:rPr>
        <w:t>Truyền kỳ về “Chainsaw Al” Dunlap</w:t>
      </w:r>
      <w:r>
        <w:rPr>
          <w:b w:val="0"/>
          <w:i w:val="0"/>
        </w:rPr>
        <w:t xml:space="preserve"> Đó là cách mà “Chainsaw Al” Dunlap khét tiếng của Sunbeam xoay xở để trông thật thông minh – ít nhất là trong một thời gian. Khi Dunlap đến vào tháng 7 năm 1996, Sunbeam là một công ty đang chật vật. Dunlap nổi tiếng là một nghệ sĩ xoay chuyển tình thế.</w:t>
      </w:r>
    </w:p>
    <w:p>
      <w:pPr>
        <w:spacing w:after="80"/>
      </w:pPr>
      <w:r>
        <w:rPr>
          <w:b w:val="0"/>
          <w:i w:val="0"/>
        </w:rPr>
        <w:t>Trong 18 tháng trước đó dẫn dắt Scott Paper Company, các thủ thuật của Dunlap đã giúp đẩy giá cổ phiếu tăng 225 phần trăm, làm tăng giá trị thị trường của công ty thêm 6,3 tỷ đô la. Công ty sau đó được bán cho Kimberly-Clark với giá 9,4 tỷ đô la, Dunlap bỏ túi 100 triệu đô la như một món quà chia tay. Trong thời gian ngắn ngủi ở Scott, Dunlap đã sa thải 11.000 nhân viên, cắt giảm mạnh chi tiêu cho cải thiện nhà xưởng và nghiên cứu, rồi bán công ty cho một đối thủ lớn. Phố Wall hoan nghênh khi Scott trở thành công ty thứ sáu bị Dunlap bán đi hoặc chia nhỏ kể từ năm 1983.</w:t>
      </w:r>
    </w:p>
    <w:p>
      <w:pPr>
        <w:spacing w:after="80"/>
      </w:pPr>
      <w:r>
        <w:rPr>
          <w:b w:val="0"/>
          <w:i w:val="0"/>
        </w:rPr>
        <w:t>Vì vậy, không có gì ngạc nhiên khi vào ngày Sunbeam công bố Dunlap sẽ trở thành CEO mới, giá cổ phiếu của họ đã tăng vọt 60 phần trăm – mức tăng trong một ngày lớn nhất trong lịch sử công ty. Đến năm sau, cuộc xoay chuyển tình thế tưởng chừng như đã bắt đầu gây ấn tượng với nhà đầu tư. Cổ phiếu, vốn ở mức 12,50 đô la vào ngày trước khi việc tuyển dụng Dunlap được công bố, đã đạt đỉnh 53 đô la vào đầu năm 1998. Dunlap được trao một hợp đồng mới, tăng gấp đôi lương cơ bản.</w:t>
      </w:r>
    </w:p>
    <w:p>
      <w:pPr>
        <w:spacing w:after="80"/>
      </w:pPr>
      <w:r>
        <w:rPr>
          <w:b w:val="0"/>
          <w:i w:val="0"/>
        </w:rPr>
        <w:t>Rồi sự thật được phơi bày. Vào ngày 3 tháng 4 năm 1998, cổ phiếu lao dốc 25 phần trăm khi công ty tiết lộ khoản lỗ trong quý. Hai tháng sau, những phát ngôn tiêu cực trên báo chí về các thực hành bán hàng hung hăng của công ty đã khiến hội đồng quản trị Sunbeam mở một cuộc điều tra nội bộ. Cuộc điều tra phát hiện nhiều sai phạm kế toán và dẫn đến việc sa thải cả Dunlap lẫn CFO cùng một đợt điều chỉnh lại thu nhập trên diện rộng từ quý 4 năm 1996 đến quý 1 năm 1998. Việc điều chỉnh lại đã xóa sạch gần hai phần ba thu nhập ròng năm 1997 được báo cáo của Sunbeam, và công ty cuối cùng đã nộp đơn xin phá sản.</w:t>
      </w:r>
    </w:p>
    <w:p>
      <w:pPr>
        <w:spacing w:after="80"/>
      </w:pPr>
      <w:r>
        <w:rPr>
          <w:b/>
          <w:i/>
        </w:rPr>
        <w:t>Xóa sổ tài sản vô hình một cách không chính đáng</w:t>
      </w:r>
      <w:r>
        <w:rPr>
          <w:b w:val="0"/>
          <w:i w:val="0"/>
        </w:rPr>
        <w:t xml:space="preserve"> Theo cách tương tự như cách xử lý kế toán đối với nhà xưởng và thiết bị, hầu hết tài sản vô hình (ngoại trừ lợi thế thương mại (goodwill) là một ngoại lệ đáng chú ý) sẽ được phân bổ dần (amortize) trong một khoảng thời gian nhất định do ban lãnh đạo đặt ra. Theo Thủ thuật EM số 4, việc kéo dài khung thời gian sẽ tạo ra sự thúc đẩy nhân tạo cho thu nhập bằng cách hạ thấp chi phí phân bổ hàng quý. Và tất nhiên, việc rút ngắn khung thời gian lại có tác dụng làm giảm bớt lợi nhuận. Vì đây chính là mục tiêu của Thủ thuật EM số 7, nhà đầu tư nên lưu tâm đến vòng đời hữu dụng bị rút ngắn như vậy của tài sản vô hình.</w:t>
      </w:r>
    </w:p>
    <w:p>
      <w:pPr>
        <w:spacing w:after="80"/>
      </w:pPr>
      <w:r>
        <w:rPr>
          <w:b/>
          <w:i/>
        </w:rPr>
        <w:t>Coi chừng các khoản chi phí tái cấu trúc ngay trước khi một thương vụ mua lại hoàn tất</w:t>
      </w:r>
      <w:r>
        <w:rPr>
          <w:b w:val="0"/>
          <w:i w:val="0"/>
        </w:rPr>
        <w:t xml:space="preserve"> Hãy nhớ ở chương trước rằng U.S. Robotics đã tặng cho công ty mẹ mới 3Com một món quà bằng cách giữ lại hàng trăm triệu doanh thu để 3Com ghi nhận sau khi thương vụ sáp nhập hoàn tất? Vâng, U.S. Robotics còn có một món quà chào mừng tuyệt vời thứ hai cũng dễ tạo ra không kém bằng cách dùng một trong các kỹ thuật thuộc Thủ thuật EM số 7. Ngay trước thương vụ sáp nhập, U.S. Robotics đã ghi nhận một khoản chi phí “liên quan đến sáp nhập” trị giá 426 triệu đô la, giúp 3Com không phải ghi nhận những chi phí đó như một phần của hoạt động thông thường sau sáp nhập. Trong tổng khoản chi phí, 92 triệu đô la liên quan đến việc xóa sổ tài sản cố định, lợi thế thương mại và công nghệ đã mua. Đương nhiên, việc xóa sổ những tài sản này sẽ làm giảm chi phí khấu hao và phân bổ của kỳ tương lai và tăng thu nhập ròng.</w:t>
      </w:r>
    </w:p>
    <w:p>
      <w:pPr>
        <w:spacing w:after="80"/>
      </w:pPr>
      <w:r>
        <w:rPr>
          <w:b/>
          <w:i/>
        </w:rPr>
        <w:t>Hãy cảnh giác khi các đợt tái cấu trúc diễn ra với tần suất bất thường</w:t>
      </w:r>
      <w:r>
        <w:rPr>
          <w:b w:val="0"/>
          <w:i w:val="0"/>
        </w:rPr>
        <w:t xml:space="preserve"> Chi phí tái cấu trúc cho các chương trình tinh gọn hoạt động và kiểm soát chi phí thường là chính đáng trong thời kỳ kinh tế khó khăn. Tuy nhiên, các sự kiện tái cấu trúc không nên trở thành chuyện thường xuyên. Như chúng ta đã thảo luận ở Chương 5, “Thủ thuật thao túng thu nhập số 3: Thổi phồng thu nhập bằng các hoạt động một lần hoặc không bền vững”, một số công ty lạm dụng khả năng trình bày chi phí ở dưới dòng bằng cách ghi nhận chi phí cho “chi phí tái cấu trúc” hoặc “các khoản mục một lần” trong mọi kỳ. Chúng ta đã nêu bật Alcatel và Whirlpool, những công ty ghi nhận chi phí tái cấu trúc gần như mỗi quý trong nhiều năm liền. Sau một thời gian, nhà đầu tư phải đặt câu hỏi liệu các công ty có phân biệt được đâu là không tái diễn và đâu là tái diễn hay không. Nếu một công ty phát sinh một loại chi phí nhất định mỗi năm, nó nên được trình bày cùng với tất cả các khoản mục hoạt động tái diễn khác.</w:t>
      </w:r>
    </w:p>
    <w:p>
      <w:pPr>
        <w:pStyle w:val="Heading4"/>
      </w:pPr>
      <w:r>
        <w:rPr>
          <w:rFonts w:ascii="Calibri" w:hAnsi="Calibri"/>
          <w:b/>
          <w:i w:val="0"/>
          <w:sz w:val="23"/>
        </w:rPr>
        <w:t>2. Ghi nhận chi phí một cách không chính đáng để lập các khoản dự phòng dùng nhằm giảm chi phí tương lai</w:t>
      </w:r>
    </w:p>
    <w:p>
      <w:pPr>
        <w:spacing w:after="80"/>
      </w:pPr>
      <w:r>
        <w:rPr>
          <w:b w:val="0"/>
          <w:i w:val="0"/>
        </w:rPr>
        <w:t xml:space="preserve">Trong phần đầu của chương này, chúng ta đã thảo luận cách các công ty ghi nhận một khoản chi phí hôm nay để ngăn </w:t>
      </w:r>
      <w:r>
        <w:rPr>
          <w:b w:val="0"/>
          <w:i/>
        </w:rPr>
        <w:t>các khoản chi tiêu trong quá khứ</w:t>
      </w:r>
      <w:r>
        <w:rPr>
          <w:b w:val="0"/>
          <w:i w:val="0"/>
        </w:rPr>
        <w:t xml:space="preserve"> (vẫn còn là tài sản trên Bảng cân đối kế toán) trở thành chi phí tương lai. Trong phần này, chúng ta nêu bật một chiêu tương tự, trong đó các công ty ghi nhận một khoản chi phí hôm nay để giữ cho </w:t>
      </w:r>
      <w:r>
        <w:rPr>
          <w:b w:val="0"/>
          <w:i/>
        </w:rPr>
        <w:t>các khoản chi tiêu tương lai</w:t>
      </w:r>
      <w:r>
        <w:rPr>
          <w:b w:val="0"/>
          <w:i w:val="0"/>
        </w:rPr>
        <w:t xml:space="preserve"> không bị báo cáo là chi phí. Với chiêu này, ban lãnh đạo chất đầy chi phí vào kỳ hiện tại, lấy một phần từ các kỳ tương lai và thậm chí bịa ra một số khoản. Khi làm vậy, đến khi kỳ tương lai tới, (1) chi phí hoạt động sẽ bị báo cáo thấp hơn thực tế, và (2) các chi phí giả tạo cùng các khoản nợ phải trả giả tạo liên quan sẽ được hoàn nhập, dẫn đến chi phí hoạt động bị báo cáo thấp hơn thực tế và lợi nhuận bị thổi phồng. Hãy cùng xem xét hai kết quả này kỹ hơn.</w:t>
      </w:r>
    </w:p>
    <w:p>
      <w:pPr>
        <w:pStyle w:val="Heading5"/>
      </w:pPr>
      <w:r>
        <w:rPr>
          <w:rFonts w:ascii="Calibri" w:hAnsi="Calibri"/>
          <w:b/>
          <w:i/>
          <w:sz w:val="22"/>
        </w:rPr>
        <w:t>Dùng chi phí tái cấu trúc hôm nay để thổi phồng thu nhập hoạt động ngày mai</w:t>
      </w:r>
    </w:p>
    <w:p>
      <w:pPr>
        <w:spacing w:after="80"/>
      </w:pPr>
      <w:r>
        <w:rPr>
          <w:b w:val="0"/>
          <w:i w:val="0"/>
        </w:rPr>
        <w:t>Cũng giống như việc AOL nóng lòng muốn loại bỏ 385 triệu đô-la chi phí tiếp thị trả chậm khỏi chi phí khấu hao của các kỳ tương lai, bất kỳ công ty nào đang ghi nhận một khoản chi phí tái cấu trúc (chẳng hạn như sa thải nhân viên) cũng có thể cân nhắc việc đội thêm tổng số tiền xóa sổ để giảm chi phí hoạt động của các kỳ tương lai. Như vậy, chi phí lương cho những nhân viên bị sa thải hôm nay sẽ giảm trong các kỳ tương lai, vì mọi khoản trợ cấp thôi việc nhận được trong tương lai sẽ được gộp vào khoản chi phí một lần của hôm nay. Kết quả là: chi phí hoạt động trên dòng (above-the-line) của các kỳ tương lai biến mất, còn khoản chi phí tái cấu trúc dưới dòng (below-the-line) của kỳ hiện tại thì tăng lên đúng bằng số đó. Nhưng hãy nhớ rằng, nhà đầu tư thường phớt lờ các khoản chi phí tái cấu trúc, nên công ty càng ném nhiều vào khoản xóa sổ thì càng tốt. Nhiều chi phí dưới dòng hơn và ít chi phí trên dòng hơn được xem là tình huống đôi bên cùng thắng.</w:t>
      </w:r>
    </w:p>
    <w:p>
      <w:pPr>
        <w:spacing w:after="80"/>
      </w:pPr>
      <w:r>
        <w:rPr>
          <w:b/>
          <w:i/>
        </w:rPr>
        <w:t>Hãy để ý sự cải thiện chóng mặt của các con số ngay sau giai đoạn tái cấu trúc</w:t>
      </w:r>
      <w:r>
        <w:rPr>
          <w:b w:val="0"/>
          <w:i w:val="0"/>
        </w:rPr>
        <w:t xml:space="preserve"> Hãy quay lại với Sunbeam để thấy tác động đáng kể lên lợi nhuận tương lai từ một khoản chi phí tái cấu trúc trước đó. Như thể hiện trong Bảng 9-2, thu nhập hoạt động của Sunbeam tăng vọt lên 132,6 triệu đô-la trong chín tháng sau khoản chi phí tái cấu trúc, từ mức 4,0 triệu đô-la của kỳ cùng năm trước. Hãy xem xét tác động của những thay đổi chính sách kế toán của Sunbeam ngay sau khi Dunlap nắm quyền. Trong quý tháng 12 năm 1996, Sunbeam ghi nhận một khoản chi phí đặc biệt 337,6 triệu đô-la cho tái cấu trúc và thêm 12 triệu đô-la cho một chiến dịch quảng cáo truyền thông cùng "các khoản chi tiêu một lần cho nghiên cứu thị trường." Theo đơn kiện của SEC, </w:t>
      </w:r>
      <w:r>
        <w:rPr>
          <w:b w:val="0"/>
          <w:i/>
        </w:rPr>
        <w:t>khoản chi phí tái cấu trúc năm 1996 đã bị thổi phồng</w:t>
      </w:r>
      <w:r>
        <w:rPr>
          <w:b w:val="0"/>
          <w:i w:val="0"/>
        </w:rPr>
        <w:t xml:space="preserve"> ít nhất 35 triệu đô-la, và Sunbeam còn lập một khoản dự phòng kiện tụng 12 triệu đô-la một cách không chính đáng.</w:t>
      </w:r>
    </w:p>
    <w:p>
      <w:pPr>
        <w:spacing w:after="80"/>
      </w:pPr>
      <w:r>
        <w:rPr>
          <w:b/>
          <w:i w:val="0"/>
        </w:rPr>
        <w:t>Bảng 9-2</w:t>
      </w:r>
      <w:r>
        <w:rPr>
          <w:b w:val="0"/>
          <w:i w:val="0"/>
        </w:rPr>
        <w:t xml:space="preserve"> Hiệu quả hoạt động của Sunbeam</w:t>
      </w:r>
    </w:p>
    <w:p>
      <w:pPr>
        <w:jc w:val="center"/>
      </w:pPr>
      <w:r>
        <w:drawing>
          <wp:inline xmlns:a="http://schemas.openxmlformats.org/drawingml/2006/main" xmlns:pic="http://schemas.openxmlformats.org/drawingml/2006/picture">
            <wp:extent cx="5486400" cy="1759683"/>
            <wp:docPr id="27" name="Picture 27"/>
            <wp:cNvGraphicFramePr>
              <a:graphicFrameLocks noChangeAspect="1"/>
            </wp:cNvGraphicFramePr>
            <a:graphic>
              <a:graphicData uri="http://schemas.openxmlformats.org/drawingml/2006/picture">
                <pic:pic>
                  <pic:nvPicPr>
                    <pic:cNvPr id="0" name="00017.jpeg"/>
                    <pic:cNvPicPr/>
                  </pic:nvPicPr>
                  <pic:blipFill>
                    <a:blip r:embed="rId35"/>
                    <a:stretch>
                      <a:fillRect/>
                    </a:stretch>
                  </pic:blipFill>
                  <pic:spPr>
                    <a:xfrm>
                      <a:off x="0" y="0"/>
                      <a:ext cx="5486400" cy="1759683"/>
                    </a:xfrm>
                    <a:prstGeom prst="rect"/>
                  </pic:spPr>
                </pic:pic>
              </a:graphicData>
            </a:graphic>
          </wp:inline>
        </w:drawing>
      </w:r>
    </w:p>
    <w:p>
      <w:pPr>
        <w:spacing w:after="80"/>
      </w:pPr>
      <w:r>
        <w:rPr>
          <w:b/>
          <w:i/>
        </w:rPr>
        <w:t>Hãy để ý các khoản chi phí "tắm bùn" (big bath) trong thời kỳ khó khăn</w:t>
      </w:r>
      <w:r>
        <w:rPr>
          <w:b w:val="0"/>
          <w:i w:val="0"/>
        </w:rPr>
        <w:t xml:space="preserve"> Có lẽ không có thời điểm nào tốt hơn để ghi nhận những khoản chi phí khổng lồ bằng khi thị trường đang suy thoái. Vì trong những lúc này nhà đầu tư tập trung nhiều hơn vào việc các công ty sẽ vượt qua suy thoái như thế nào, nên những khoản chi phí lớn ít có khả năng gây phẫn nộ; thật vậy, chúng thường được xem là điều tích cực. Như đã bàn ở phần trước, ban lãnh đạo không khó để dùng những khoản chi phí này nhằm xóa sổ một cách không thỏa đáng các tài sản sinh lời hoặc lập những khoản dự phòng giả tạo.</w:t>
      </w:r>
    </w:p>
    <w:p>
      <w:pPr>
        <w:pStyle w:val="Heading5"/>
      </w:pPr>
      <w:r>
        <w:rPr>
          <w:rFonts w:ascii="Calibri" w:hAnsi="Calibri"/>
          <w:b/>
          <w:i/>
          <w:sz w:val="22"/>
        </w:rPr>
        <w:t>Tạo một khoản dự phòng tái cấu trúc lớn hơn mức cần thiết và thổi phồng lợi nhuận tương lai bằng cách giải phóng khoản dự phòng đó</w:t>
      </w:r>
    </w:p>
    <w:p>
      <w:pPr>
        <w:spacing w:after="80"/>
      </w:pPr>
      <w:r>
        <w:rPr>
          <w:b w:val="0"/>
          <w:i w:val="0"/>
        </w:rPr>
        <w:t>Chương trước đã giải thích cách các công ty có xu hướng ám ảnh với việc báo cáo lợi nhuận trơn tru và dễ đoán. Hãy nhớ ví dụ về Freddie Mac trích lập dự phòng nhiều đến mức bị bắt quả tang trước khi kịp giải phóng hơn 4 tỷ đô-la mà nó đã cất giấu? Việc tạo và giải phóng các khoản dự phòng tùy theo nhu cầu là một thủ thuật cực kỳ hiệu quả cho ban lãnh đạo khi chơi trò ngược lại.</w:t>
      </w:r>
    </w:p>
    <w:p>
      <w:pPr>
        <w:spacing w:after="80"/>
      </w:pPr>
      <w:r>
        <w:rPr>
          <w:b/>
          <w:i/>
        </w:rPr>
        <w:t>Dùng khoản dự phòng tái cấu trúc để làm phẳng lợi nhuận</w:t>
      </w:r>
      <w:r>
        <w:rPr>
          <w:b w:val="0"/>
          <w:i w:val="0"/>
        </w:rPr>
        <w:t xml:space="preserve"> Khi một công ty ghi nhận một khoản chi phí tái cấu trúc với quy mô phù hợp (ví dụ, khi dự định sa thải 100 người và chỉ ghi nhận chi phí cho đúng 100 người đó), chi phí đền bù trong tương lai sẽ được chuyển sang kỳ hiện tại và được phân loại là chi phí dưới dòng. Việc dịch chuyển trong cùng kỳ xuống dưới dòng đó thì ổn với hầu hết mọi người, nhưng một số lãnh đạo trở nên quá tham lam và dùng đến thủ thuật thứ hai (và phi đạo đức). Khi ban lãnh đạo dự định sa thải nhân viên, thay vào đó họ lại ghi nhận một khoản chi phí tái cấu trúc lớn một cách không thỏa đáng (ví dụ, dự định sa thải 100 người nhưng ghi nhận chi phí cho 200 người). Bằng cách công bố sa thải 200 người khi chỉ cần 100 là đủ, ban lãnh đạo nhân đôi chi phí và nghĩa vụ tái cấu trúc. Giả sử ban lãnh đạo chi trả gói trợ cấp thôi việc 25.000 đô-la cho mỗi người bị sa thải. Nếu hành xử có đạo đức thì con số là 2,5 triệu đô-la; ngược lại, bằng cách nhân đôi 100 nhân viên lên 200, họ ghi nhận khoản chi phí 5 triệu đô-la.</w:t>
      </w:r>
    </w:p>
    <w:p>
      <w:pPr>
        <w:spacing w:after="80"/>
      </w:pPr>
      <w:r>
        <w:rPr>
          <w:b w:val="0"/>
          <w:i w:val="0"/>
        </w:rPr>
        <w:t>Sau đó công ty chi trả 25.000 đô-la đã hứa cho từng người trong số 100 người giờ đã mất việc. Tất nhiên, 2,5 triệu đô-la còn lại vẫn nằm trong khoản nghĩa vụ, mà không còn nghĩa vụ trợ cấp thôi việc nào nữa. Thế là ban lãnh đạo liều mình giải phóng khoản dự phòng giả tạo trong tài khoản nghĩa vụ, làm giảm chi phí đền bù. Đây quả thực là một thủ thuật hấp dẫn đối với một công ty phi đạo đức đang cần thêm vài xu để vượt ước tính của Phố Wall. Chúng tôi gọi đây là "món quà cứ mãi cho đi."</w:t>
      </w:r>
    </w:p>
    <w:p>
      <w:pPr>
        <w:spacing w:after="80"/>
      </w:pPr>
      <w:r>
        <w:rPr>
          <w:b/>
          <w:i/>
        </w:rPr>
        <w:t>Hãy để ý các công ty lập dự phòng vào thời điểm thâu tóm</w:t>
      </w:r>
      <w:r>
        <w:rPr>
          <w:b w:val="0"/>
          <w:i w:val="0"/>
        </w:rPr>
        <w:t xml:space="preserve"> Vào tháng 12 năm 2000, Symbol Technologies ghi nhận 185,9 triệu đô-la chi phí liên quan đến việc mua lại đối thủ Telxon Corporation. Vào thời điểm đó, Symbol biện minh rằng những khoản chi phí này là cần thiết cho việc tái cấu trúc hoạt động, suy giảm giá trị tài sản (bao gồm hàng tồn kho), và chi phí hợp nhất sau sáp nhập. Hóa ra những khoản chi phí đó bao gồm các chi phí hư cấu được dùng để tạo ra những khoản dự phòng "hũ bánh quy" (cookie jar reserves) nhằm giúp thổi phồng lợi nhuận trong các kỳ tương lai. Những khoản chi phí này còn khai khống việc xóa sổ hàng tồn kho, điều sẽ tạo cú hích cho biên lợi nhuận gộp tương lai khi lượng hàng tồn kho liên quan được bán ra.</w:t>
      </w:r>
    </w:p>
    <w:p>
      <w:pPr>
        <w:spacing w:after="80"/>
      </w:pPr>
      <w:r>
        <w:rPr>
          <w:b w:val="0"/>
          <w:i w:val="0"/>
        </w:rPr>
        <w:t>Tương tự, vào tháng 6 năm 1997, Xerox mua 20 phần trăm cổ phần trong chính công ty con ở châu Âu của mình, vốn thuộc sở hữu của Rank Group có trụ sở tại Anh. Liên quan đến thương vụ này, Xerox đã lập một cách không chính đáng khoản dự phòng 100 triệu đô-la cho "những rủi ro không xác định" phát sinh từ giao dịch. Khi lập khoản dự phòng này, Xerox đã vi phạm các nguyên tắc kế toán được chấp nhận chung khi ghi nhận dự phòng cho một rủi ro không xác định và không thể định lượng. Tuy vậy, Xerox bắt đầu dùng khoản dự phòng này như một kiểu ống heo tiết kiệm, giải phóng tiền từ đó vào thu nhập mỗi khi kết quả của công ty không đạt ước tính của Phố Wall. Công ty tiếp tục rút từ khoản dự phòng này mỗi quý cho những thứ hoàn toàn không liên quan đến thương vụ thâu tóm cho đến khi nó cạn kiệt vào cuối năm 1999. Cũng bằng thủ thuật này, Xerox đã gian lận giải phóng vào thu nhập khoảng 20 khoản dự phòng dư thừa khác, tổng cộng 396 triệu đô-la, để cải thiện lợi nhuận từ năm 1997 đến năm 2000.</w:t>
      </w:r>
    </w:p>
    <w:p>
      <w:pPr>
        <w:pStyle w:val="Heading5"/>
      </w:pPr>
      <w:r>
        <w:rPr>
          <w:rFonts w:ascii="Calibri" w:hAnsi="Calibri"/>
          <w:b/>
          <w:i/>
          <w:sz w:val="22"/>
        </w:rPr>
        <w:t>Tích lũy khoản dự phòng của bạn trong thời kỳ sung túc</w:t>
      </w:r>
    </w:p>
    <w:p>
      <w:pPr>
        <w:spacing w:after="80"/>
      </w:pPr>
      <w:r>
        <w:rPr>
          <w:b w:val="0"/>
          <w:i w:val="0"/>
        </w:rPr>
        <w:t>Kinh Thánh kể câu chuyện về khả năng đặc biệt của Joseph trong việc giải mã giấc mơ đáng lo ngại của Pharaoh. Sau khi nghe chi tiết giấc mơ, Joseph cảnh báo Pharaoh rằng một nạn đói đang đến; bảy năm thiếu thốn sẽ nối tiếp bảy năm sung túc. Joseph trở thành tổng quản lý của Pharaoh và ngay lập tức bắt đầu một chương trình dành riêng một kho dự trữ lương thực và vật tư. Khi bảy năm sau nạn đói ập đến, Pharaoh và toàn thể Ai Cập đã sẵn sàng.</w:t>
      </w:r>
    </w:p>
    <w:p>
      <w:pPr>
        <w:spacing w:after="80"/>
      </w:pPr>
      <w:r>
        <w:rPr>
          <w:b w:val="0"/>
          <w:i w:val="0"/>
        </w:rPr>
        <w:t>Các công ty cũng suy tính về tương lai và có thể dự đoán khá hợp lý các chu kỳ kinh doanh thông thường, và dự đoán kém hợp lý hơn về những cú sốc bất ngờ thỉnh thoảng xảy ra với nền kinh tế. Ban lãnh đạo khôn ngoan ngày nay hiểu điều mà Joseph và Pharaoh đã học được—những năm eo hẹp luôn nối tiếp những năm tốt đẹp. Trong bối cảnh đó, nếu một công ty đã đạt được dự báo thu nhập cho kỳ hiện tại, nó có thể tìm cách chuyển chi phí của năm sau sang kỳ sớm hơn này. H.J. Heinz Company đã linh cảm rằng một trong những năm eo hẹp sắp đến gần và chuyển một số chi phí sang kỳ sớm hơn bằng cách trả trước các khoản chi phí để thúc đẩy lợi nhuận năm sau. Một trong các công ty con của nó cũng dùng những chiêu trò khác, chẳng hạn như khai sai giá vốn hàng bán, yêu cầu nhà cung cấp xuất hóa đơn quảng cáo một cách không chính đáng, và hạch toán vào chi phí những hóa đơn cho các dịch vụ chưa được nhận.</w:t>
      </w:r>
    </w:p>
    <w:p>
      <w:pPr>
        <w:pStyle w:val="Heading3"/>
      </w:pPr>
      <w:r>
        <w:rPr>
          <w:rFonts w:ascii="Calibri" w:hAnsi="Calibri"/>
          <w:b/>
          <w:i w:val="0"/>
          <w:sz w:val="26"/>
        </w:rPr>
        <w:t>Nhìn về phía trước</w:t>
      </w:r>
    </w:p>
    <w:p>
      <w:pPr>
        <w:spacing w:after="80"/>
      </w:pPr>
      <w:r>
        <w:rPr>
          <w:b w:val="0"/>
          <w:i w:val="0"/>
        </w:rPr>
        <w:t>Chương 8 và chương này đều minh họa những trò chơi mà ban lãnh đạo có thể thực hiện để (1) làm phẳng lợi nhuận, (2) chuyển thu nhập từ một kỳ đặc biệt mạnh sang một kỳ yếu hơn, hoặc (3) dọn sạch những khoản chi phí rắc rối để tạo ra lợi nhuận cho kỳ tương lai nhằm làm nhà đầu tư choáng ngợp.</w:t>
      </w:r>
    </w:p>
    <w:p>
      <w:pPr>
        <w:spacing w:after="80"/>
      </w:pPr>
      <w:r>
        <w:rPr>
          <w:b w:val="0"/>
          <w:i w:val="0"/>
        </w:rPr>
        <w:t>Hai chương này khép lại phần thảo luận của chúng ta về bảy trò gian lận Thao túng Lợi nhuận (Earnings Manipulation Shenanigans). Như các trò EM số 1 đến số 5 đã minh họa, ban lãnh đạo có cả một kho vũ khí kỹ thuật có thể lừa nhà đầu tư tin rằng công ty đã tạo ra nhiều lợi nhuận hơn thực tế. Và nếu ban lãnh đạo lại muốn làm cho ngày mai trông thật rực rỡ, thì các trò EM số 6 và số 7 sẽ làm được điều đó.</w:t>
      </w:r>
    </w:p>
    <w:p>
      <w:pPr>
        <w:spacing w:after="80"/>
      </w:pPr>
      <w:r>
        <w:rPr>
          <w:b w:val="0"/>
          <w:i w:val="0"/>
        </w:rPr>
        <w:t>Chương 10 mở đầu Phần Ba, "Các trò gian lận Dòng tiền" (Cash Flow Shenanigans). Từ nhiều năm nay, quan niệm thông thường cho rằng chơi trò kế toán với lợi nhuận thì khá dễ, nhưng các con số dòng tiền thì vững như bàn thạch. Trong Phần Ba, chúng ta sẽ bác bỏ huyền thoại này và chứng minh rằng các trò gian lận Dòng tiền cũng phổ biến không kém và ban lãnh đạo cũng dễ dàng dùng chúng để lừa nhà đầu tư y như những chiêu thao túng lợi nhuận mà chúng ta đã bàn ở Phần Hai.</w:t>
      </w:r>
    </w:p>
    <w:p>
      <w:pPr>
        <w:pStyle w:val="Heading1"/>
      </w:pPr>
      <w:r>
        <w:rPr>
          <w:rFonts w:ascii="Calibri" w:hAnsi="Calibri"/>
          <w:b/>
          <w:i w:val="0"/>
          <w:sz w:val="40"/>
        </w:rPr>
        <w:t>PHẦN BA</w:t>
      </w:r>
    </w:p>
    <w:p>
      <w:pPr>
        <w:pStyle w:val="Heading1"/>
      </w:pPr>
      <w:r>
        <w:rPr>
          <w:rFonts w:ascii="Calibri" w:hAnsi="Calibri"/>
          <w:b/>
          <w:i w:val="0"/>
          <w:sz w:val="40"/>
        </w:rPr>
        <w:t>CÁC TRÒ GIAN LẬN DÒNG TIỀN</w:t>
      </w:r>
    </w:p>
    <w:p>
      <w:pPr>
        <w:spacing w:after="80"/>
      </w:pPr>
      <w:r>
        <w:rPr>
          <w:b w:val="0"/>
          <w:i w:val="0"/>
        </w:rPr>
        <w:t>Với quá nhiều vụ gian lận tài chính gần đây không bị phát hiện, nhà đầu tư ngày càng đặt câu hỏi về giá trị của các con số dựa trên cơ sở dồn tích (accrual-based) được trình bày trên Báo cáo Kết quả Kinh doanh (Income Statement). Hết lần này đến lần khác, các công ty đã lừa nhà đầu tư bằng cách ghi nhận doanh thu quá sớm hoặc giấu chi phí, khiến một số người kết luận rằng lợi nhuận có thể bị thao túng và do đó họ nên đặt niềm tin nhiều hơn vào thước đo "thuần khiết" hơn là dòng tiền từ hoạt động kinh doanh (cash flow from operations).</w:t>
      </w:r>
    </w:p>
    <w:p>
      <w:pPr>
        <w:spacing w:after="80"/>
      </w:pPr>
      <w:r>
        <w:rPr>
          <w:b w:val="0"/>
          <w:i w:val="0"/>
        </w:rPr>
        <w:t>Dù đó chắc chắn là một bước đi đúng hướng, hãy đặc biệt cẩn thận nhìn cả hai phía khi bạn băng qua đường từ lợi nhuận dựa trên cơ sở dồn tích sang các con số dòng tiền. Lý do cần thận trọng như vậy sẽ trở nên vô cùng rõ ràng khi bạn đọc hết phần này của cuốn sách.</w:t>
      </w:r>
    </w:p>
    <w:p>
      <w:pPr>
        <w:spacing w:after="80"/>
      </w:pPr>
      <w:r>
        <w:rPr>
          <w:b w:val="0"/>
          <w:i w:val="0"/>
        </w:rPr>
        <w:t>Trong Phần Ba, chúng ta sẽ giới thiệu ba loại trò gian lận Dòng tiền (Cash Flow - CF) cụ thể, làm nổi bật các kỹ thuật mà công ty đã dùng để thổi phồng dòng tiền từ hoạt động kinh doanh (CFFO) được báo cáo. Chúng ta cũng trình bày các chiến lược để phát hiện trò gian lận Dòng tiền một cách nhanh chóng và đưa ra mẹo về cách điều chỉnh các con số được báo cáo để tính ra một chỉ số dòng tiền bền vững hơn.</w:t>
      </w:r>
    </w:p>
    <w:p>
      <w:pPr>
        <w:spacing w:after="80"/>
      </w:pPr>
      <w:r>
        <w:rPr>
          <w:b w:val="0"/>
          <w:i w:val="0"/>
        </w:rPr>
        <w:t>BA TRÒ GIAN LẬN DÒNG TIỀN</w:t>
      </w:r>
    </w:p>
    <w:p>
      <w:pPr>
        <w:spacing w:after="80"/>
      </w:pPr>
      <w:r>
        <w:rPr>
          <w:b/>
          <w:i w:val="0"/>
        </w:rPr>
        <w:t>Trò gian lận CF số 1:</w:t>
      </w:r>
      <w:r>
        <w:rPr>
          <w:b w:val="0"/>
          <w:i w:val="0"/>
        </w:rPr>
        <w:t xml:space="preserve"> Chuyển dòng tiền vào từ hoạt động tài trợ sang phần Hoạt động kinh doanh (Chương 10)</w:t>
      </w:r>
    </w:p>
    <w:p>
      <w:pPr>
        <w:spacing w:after="80"/>
      </w:pPr>
      <w:r>
        <w:rPr>
          <w:b/>
          <w:i w:val="0"/>
        </w:rPr>
        <w:t>Trò gian lận CF số 2:</w:t>
      </w:r>
      <w:r>
        <w:rPr>
          <w:b w:val="0"/>
          <w:i w:val="0"/>
        </w:rPr>
        <w:t xml:space="preserve"> Chuyển dòng tiền ra từ hoạt động kinh doanh sang các phần khác (Chương 11)</w:t>
      </w:r>
    </w:p>
    <w:p>
      <w:pPr>
        <w:spacing w:after="80"/>
      </w:pPr>
      <w:r>
        <w:rPr>
          <w:b/>
          <w:i w:val="0"/>
        </w:rPr>
        <w:t>Trò gian lận CF số 3:</w:t>
      </w:r>
      <w:r>
        <w:rPr>
          <w:b w:val="0"/>
          <w:i w:val="0"/>
        </w:rPr>
        <w:t xml:space="preserve"> Thổi phồng dòng tiền từ hoạt động kinh doanh bằng các hoạt động không bền vững (Chương 12)</w:t>
      </w:r>
    </w:p>
    <w:p>
      <w:pPr>
        <w:pStyle w:val="Heading3"/>
      </w:pPr>
      <w:r>
        <w:rPr>
          <w:rFonts w:ascii="Calibri" w:hAnsi="Calibri"/>
          <w:b/>
          <w:i w:val="0"/>
          <w:sz w:val="26"/>
        </w:rPr>
        <w:t>Kế toán Dồn tích so với Kế toán Dựa trên Tiền mặt</w:t>
      </w:r>
    </w:p>
    <w:p>
      <w:pPr>
        <w:spacing w:after="80"/>
      </w:pPr>
      <w:r>
        <w:rPr>
          <w:b w:val="0"/>
          <w:i w:val="0"/>
        </w:rPr>
        <w:t xml:space="preserve">Trước khi đi sâu vào các kỹ thuật cụ thể, điều quan trọng là phải nắm chắc kế toán dồn tích so với kế toán dựa trên tiền mặt cũng như cấu trúc của Báo cáo Lưu chuyển Tiền tệ (Statement of Cash Flows - SCF). Các quy tắc kế toán bắt buộc công ty phải báo cáo kết quả kinh doanh theo cơ sở dồn tích. Điều đó đơn giản có nghĩa là bạn ghi nhận doanh thu khi nó được kiếm ra (chứ không phải khi tiền về) và ghi nhận chi phí khi lợi ích đã được nhận (chứ không phải khi thanh toán xảy ra). Nói cách khác, tầm quan trọng của dòng tiền vào và ra bị lu mờ dưới kế toán dồn tích. May mắn cho nhà đầu tư, các công ty cũng phải cung cấp một SCF riêng làm nổi bật dòng tiền vào và ra từ ba nguồn chính: hoạt động kinh doanh, hoạt động đầu tư và hoạt động tài trợ. Thông tin trong phần Hoạt động kinh doanh có thể được dùng như một </w:t>
      </w:r>
      <w:r>
        <w:rPr>
          <w:b w:val="0"/>
          <w:i/>
        </w:rPr>
        <w:t>thước đo hiệu quả thay thế</w:t>
      </w:r>
      <w:r>
        <w:rPr>
          <w:b w:val="0"/>
          <w:i w:val="0"/>
        </w:rPr>
        <w:t xml:space="preserve"> cho lợi nhuận dựa trên cơ sở dồn tích.</w:t>
      </w:r>
    </w:p>
    <w:p>
      <w:pPr>
        <w:spacing w:after="80"/>
      </w:pPr>
      <w:r>
        <w:rPr>
          <w:b w:val="0"/>
          <w:i w:val="0"/>
        </w:rPr>
        <w:t>Như đã bàn ở các chương trước, nhà đầu tư sành sỏi thường so sánh thu nhập ròng (net income) với CFFO và bắt đầu lo lắng khi CFFO thấp hơn thu nhập ròng. Thật vậy, thu nhập ròng cao đi kèm CFFO thấp thường báo hiệu sự hiện diện của một số trò gian lận Thao túng Lợi nhuận.</w:t>
      </w:r>
    </w:p>
    <w:p>
      <w:pPr>
        <w:spacing w:after="80"/>
      </w:pPr>
      <w:r>
        <w:rPr>
          <w:b w:val="0"/>
          <w:i w:val="0"/>
        </w:rPr>
        <w:t>Hãy so sánh hình thức và cấu trúc của một Báo cáo Kết quả Kinh doanh điển hình với phần Hoạt động kinh doanh của Báo cáo Lưu chuyển Tiền tệ. Theo các quy tắc kế toán (SFAS 95), công ty có thể dùng phương pháp "trực tiếp" hoặc "gián tiếp" để trình bày CFFO. Phương pháp trực tiếp đơn giản chỉ ra các nguồn dòng tiền vào chính (tức là từ khách hàng) và dòng tiền ra (tức là cho nhà cung cấp và nhân viên). Ngược lại, phương pháp gián tiếp bắt đầu với thu nhập ròng dựa trên cơ sở dồn tích và đối chiếu nó với CFFO. Phương pháp trực tiếp chắc chắn có vẻ trực quan hơn với nhà đầu tư, và các nhà làm luật đã đặc biệt bày tỏ mong muốn công ty dùng cách tiếp cận đó. Tuy nhiên, lời kêu gọi này của các nhà làm luật đã không thuyết phục được công ty làm theo, vì gần như tất cả chỉ trình bày phương pháp gián tiếp. Ở đây chúng tôi trình bày Báo cáo Kết quả Kinh doanh (dựa trên cơ sở dồn tích), dòng tiền từ hoạt động kinh doanh (phương pháp trực tiếp) và dòng tiền từ hoạt động kinh doanh (phương pháp gián tiếp).</w:t>
      </w:r>
    </w:p>
    <w:p>
      <w:pPr>
        <w:spacing w:after="80"/>
      </w:pPr>
      <w:r>
        <w:rPr>
          <w:b w:val="0"/>
          <w:i w:val="0"/>
        </w:rPr>
        <w:t>Báo cáo Kết quả Kinh doanh: Dựa trên Cơ sở Dồn tích</w:t>
      </w:r>
    </w:p>
    <w:p>
      <w:pPr>
        <w:jc w:val="center"/>
      </w:pPr>
      <w:r>
        <w:drawing>
          <wp:inline xmlns:a="http://schemas.openxmlformats.org/drawingml/2006/main" xmlns:pic="http://schemas.openxmlformats.org/drawingml/2006/picture">
            <wp:extent cx="5486400" cy="2537156"/>
            <wp:docPr id="28" name="Picture 28"/>
            <wp:cNvGraphicFramePr>
              <a:graphicFrameLocks noChangeAspect="1"/>
            </wp:cNvGraphicFramePr>
            <a:graphic>
              <a:graphicData uri="http://schemas.openxmlformats.org/drawingml/2006/picture">
                <pic:pic>
                  <pic:nvPicPr>
                    <pic:cNvPr id="0" name="00033.jpeg"/>
                    <pic:cNvPicPr/>
                  </pic:nvPicPr>
                  <pic:blipFill>
                    <a:blip r:embed="rId36"/>
                    <a:stretch>
                      <a:fillRect/>
                    </a:stretch>
                  </pic:blipFill>
                  <pic:spPr>
                    <a:xfrm>
                      <a:off x="0" y="0"/>
                      <a:ext cx="5486400" cy="2537156"/>
                    </a:xfrm>
                    <a:prstGeom prst="rect"/>
                  </pic:spPr>
                </pic:pic>
              </a:graphicData>
            </a:graphic>
          </wp:inline>
        </w:drawing>
      </w:r>
    </w:p>
    <w:p>
      <w:pPr>
        <w:spacing w:after="80"/>
      </w:pPr>
      <w:r>
        <w:rPr>
          <w:b w:val="0"/>
          <w:i w:val="0"/>
        </w:rPr>
        <w:t>Dòng tiền từ hoạt động kinh doanh: Phương pháp trực tiếp</w:t>
      </w:r>
    </w:p>
    <w:p>
      <w:pPr>
        <w:jc w:val="center"/>
      </w:pPr>
      <w:r>
        <w:drawing>
          <wp:inline xmlns:a="http://schemas.openxmlformats.org/drawingml/2006/main" xmlns:pic="http://schemas.openxmlformats.org/drawingml/2006/picture">
            <wp:extent cx="5486400" cy="2506924"/>
            <wp:docPr id="29" name="Picture 29"/>
            <wp:cNvGraphicFramePr>
              <a:graphicFrameLocks noChangeAspect="1"/>
            </wp:cNvGraphicFramePr>
            <a:graphic>
              <a:graphicData uri="http://schemas.openxmlformats.org/drawingml/2006/picture">
                <pic:pic>
                  <pic:nvPicPr>
                    <pic:cNvPr id="0" name="00011.jpeg"/>
                    <pic:cNvPicPr/>
                  </pic:nvPicPr>
                  <pic:blipFill>
                    <a:blip r:embed="rId37"/>
                    <a:stretch>
                      <a:fillRect/>
                    </a:stretch>
                  </pic:blipFill>
                  <pic:spPr>
                    <a:xfrm>
                      <a:off x="0" y="0"/>
                      <a:ext cx="5486400" cy="2506924"/>
                    </a:xfrm>
                    <a:prstGeom prst="rect"/>
                  </pic:spPr>
                </pic:pic>
              </a:graphicData>
            </a:graphic>
          </wp:inline>
        </w:drawing>
      </w:r>
    </w:p>
    <w:p>
      <w:pPr>
        <w:spacing w:after="80"/>
      </w:pPr>
      <w:r>
        <w:rPr>
          <w:b w:val="0"/>
          <w:i w:val="0"/>
        </w:rPr>
        <w:t>Dòng tiền từ hoạt động kinh doanh: Phương pháp gián tiếp</w:t>
      </w:r>
    </w:p>
    <w:p>
      <w:pPr>
        <w:jc w:val="center"/>
      </w:pPr>
      <w:r>
        <w:drawing>
          <wp:inline xmlns:a="http://schemas.openxmlformats.org/drawingml/2006/main" xmlns:pic="http://schemas.openxmlformats.org/drawingml/2006/picture">
            <wp:extent cx="5486400" cy="3580176"/>
            <wp:docPr id="30" name="Picture 30"/>
            <wp:cNvGraphicFramePr>
              <a:graphicFrameLocks noChangeAspect="1"/>
            </wp:cNvGraphicFramePr>
            <a:graphic>
              <a:graphicData uri="http://schemas.openxmlformats.org/drawingml/2006/picture">
                <pic:pic>
                  <pic:nvPicPr>
                    <pic:cNvPr id="0" name="00051.jpeg"/>
                    <pic:cNvPicPr/>
                  </pic:nvPicPr>
                  <pic:blipFill>
                    <a:blip r:embed="rId38"/>
                    <a:stretch>
                      <a:fillRect/>
                    </a:stretch>
                  </pic:blipFill>
                  <pic:spPr>
                    <a:xfrm>
                      <a:off x="0" y="0"/>
                      <a:ext cx="5486400" cy="3580176"/>
                    </a:xfrm>
                    <a:prstGeom prst="rect"/>
                  </pic:spPr>
                </pic:pic>
              </a:graphicData>
            </a:graphic>
          </wp:inline>
        </w:drawing>
      </w:r>
    </w:p>
    <w:p>
      <w:pPr>
        <w:spacing w:after="80"/>
      </w:pPr>
      <w:r>
        <w:rPr>
          <w:b w:val="0"/>
          <w:i w:val="0"/>
        </w:rPr>
        <w:t>Mặc dù thu nhập ròng và CFFO là hai thước đo khác nhau về hiệu quả hoạt động của một công ty, nhưng nhà đầu tư thường kỳ vọng chúng sẽ di chuyển cùng hướng. Nghĩa là, nếu một công ty báo cáo thu nhập ròng đang tăng lên, thì sẽ đáng đặt câu hỏi nếu dòng tiền từ hoạt động kinh doanh lại đang thu hẹp. Hãy chú ý trong ví dụ về phương pháp gián tiếp ở trên, CFFO đã tụt hậu so với thu nhập ròng tới tận 540.000 đô la (âm 475.000 đô la trừ đi 65.000 đô la dương). Như chúng ta đã thảo luận trước đó, kết quả như vậy có thể khiến nhà đầu tư lo ngại rằng công ty đang sử dụng các Chiêu trò Thao túng Thu nhập (Earnings Manipulation Shenanigans).</w:t>
      </w:r>
    </w:p>
    <w:p>
      <w:pPr>
        <w:pStyle w:val="Heading3"/>
      </w:pPr>
      <w:r>
        <w:rPr>
          <w:rFonts w:ascii="Calibri" w:hAnsi="Calibri"/>
          <w:b/>
          <w:i w:val="0"/>
          <w:sz w:val="26"/>
        </w:rPr>
        <w:t>Các thước đo hiệu quả hoạt động — từ Thu nhập đến Dòng tiền</w:t>
      </w:r>
    </w:p>
    <w:p>
      <w:pPr>
        <w:spacing w:after="80"/>
      </w:pPr>
      <w:r>
        <w:rPr>
          <w:b w:val="0"/>
          <w:i w:val="0"/>
        </w:rPr>
        <w:t>Ban lãnh đạo chắc chắn hiểu rằng nhà đầu tư của mình rất coi trọng "chất lượng thu nhập" cao. Các giám đốc điều hành biết rằng nhà đầu tư kiểm tra chất lượng thu nhập bằng cách đối chiếu thu nhập với CFFO, như chúng ta đã làm trong ví dụ trước. Họ cũng biết rằng nhiều nhà đầu tư coi CFFO là thước đo quan trọng nhất về hiệu quả hoạt động của công ty; thậm chí một số nhà đầu tư đã hoàn toàn quay lưng với thu nhập và thay vào đó tập trung chủ yếu vào việc phân tích khả năng tạo ra tiền mặt của một công ty.</w:t>
      </w:r>
    </w:p>
    <w:p>
      <w:pPr>
        <w:spacing w:after="80"/>
      </w:pPr>
      <w:r>
        <w:rPr>
          <w:b w:val="0"/>
          <w:i w:val="0"/>
        </w:rPr>
        <w:t>Vì vậy, không có gì ngạc nhiên khi các công ty ngày càng trở nên sáng tạo hơn trong các hoạt động báo cáo và công bố thông tin tài chính của mình. Nhiều công ty đã tìm ra những cách đổi mới để đánh lừa nhà đầu tư, sử dụng các thủ đoạn lừa dối có thể không bị phát hiện trong phân tích chất lượng thu nhập truyền thống. Như bạn sẽ học trong Phần Ba, nhiều chiêu trò trong số này liên quan đến việc thao túng dòng tiền từ hoạt động kinh doanh.</w:t>
      </w:r>
    </w:p>
    <w:p>
      <w:pPr>
        <w:pStyle w:val="Heading3"/>
      </w:pPr>
      <w:r>
        <w:rPr>
          <w:rFonts w:ascii="Calibri" w:hAnsi="Calibri"/>
          <w:b/>
          <w:i w:val="0"/>
          <w:sz w:val="26"/>
        </w:rPr>
        <w:t>Dòng tiền từ hoạt động kinh doanh: Đứa con cưng</w:t>
      </w:r>
    </w:p>
    <w:p>
      <w:pPr>
        <w:spacing w:after="80"/>
      </w:pPr>
      <w:r>
        <w:rPr>
          <w:b w:val="0"/>
          <w:i w:val="0"/>
        </w:rPr>
        <w:t>Trước khi đi sâu vào các Chiêu trò Dòng tiền này, điều quan trọng là phải hiểu cấu trúc cơ bản của Báo cáo Lưu chuyển Tiền tệ (Statement of Cash Flows). SCF cho thấy số dư tiền mặt của một công ty đã thay đổi như thế nào trong kỳ. Nó trình bày tất cả các dòng tiền vào và ra, đối chiếu số dư đầu kỳ với số dư cuối kỳ. Mọi biến động tiền mặt đều có thể được nhóm vào một trong ba loại: hoạt động kinh doanh, hoạt động đầu tư và hoạt động tài chính. Hình P3-1 minh họa các dòng tiền vào và ra điển hình trong từng phần của SCF.</w:t>
      </w:r>
    </w:p>
    <w:p>
      <w:pPr>
        <w:spacing w:after="80"/>
      </w:pPr>
      <w:r>
        <w:rPr>
          <w:b/>
          <w:i w:val="0"/>
        </w:rPr>
        <w:t>Hình P3-1</w:t>
      </w:r>
      <w:r>
        <w:rPr>
          <w:b w:val="0"/>
          <w:i w:val="0"/>
        </w:rPr>
        <w:t xml:space="preserve"> Báo cáo Lưu chuyển Tiền tệ được tổ chức thành ba phần: Hoạt động kinh doanh, Hoạt động đầu tư và Hoạt động tài chính</w:t>
      </w:r>
    </w:p>
    <w:p>
      <w:pPr>
        <w:jc w:val="center"/>
      </w:pPr>
      <w:r>
        <w:drawing>
          <wp:inline xmlns:a="http://schemas.openxmlformats.org/drawingml/2006/main" xmlns:pic="http://schemas.openxmlformats.org/drawingml/2006/picture">
            <wp:extent cx="5486400" cy="2101532"/>
            <wp:docPr id="31" name="Picture 31"/>
            <wp:cNvGraphicFramePr>
              <a:graphicFrameLocks noChangeAspect="1"/>
            </wp:cNvGraphicFramePr>
            <a:graphic>
              <a:graphicData uri="http://schemas.openxmlformats.org/drawingml/2006/picture">
                <pic:pic>
                  <pic:nvPicPr>
                    <pic:cNvPr id="0" name="00025.jpeg"/>
                    <pic:cNvPicPr/>
                  </pic:nvPicPr>
                  <pic:blipFill>
                    <a:blip r:embed="rId39"/>
                    <a:stretch>
                      <a:fillRect/>
                    </a:stretch>
                  </pic:blipFill>
                  <pic:spPr>
                    <a:xfrm>
                      <a:off x="0" y="0"/>
                      <a:ext cx="5486400" cy="2101532"/>
                    </a:xfrm>
                    <a:prstGeom prst="rect"/>
                  </pic:spPr>
                </pic:pic>
              </a:graphicData>
            </a:graphic>
          </wp:inline>
        </w:drawing>
      </w:r>
    </w:p>
    <w:p>
      <w:pPr>
        <w:spacing w:after="80"/>
      </w:pPr>
      <w:r>
        <w:rPr>
          <w:b w:val="0"/>
          <w:i w:val="0"/>
        </w:rPr>
        <w:t>Nhà đầu tư không coi ba phần của Báo cáo Lưu chuyển Tiền tệ có tầm quan trọng như nhau. Thay vào đó, họ coi phần Hoạt động kinh doanh là "đứa con cưng" vì nó trình bày tiền mặt được tạo ra từ hoạt động kinh doanh thực tế của công ty (tức là dòng tiền từ hoạt động kinh doanh). Nhiều nhà đầu tư ít quan tâm đến các khoản đầu tư của công ty hoặc những thay đổi trong cấu trúc vốn của nó, và một số thậm chí còn đi đến cực đoan là hoàn toàn bỏ qua các phần khác. Suy cho cùng, phần Hoạt động kinh doanh lẽ ra phải truyền đạt đầy đủ các hoạt động kinh doanh của công ty, đúng không?</w:t>
      </w:r>
    </w:p>
    <w:p>
      <w:pPr>
        <w:spacing w:after="80"/>
      </w:pPr>
      <w:r>
        <w:rPr>
          <w:b w:val="0"/>
          <w:i w:val="0"/>
        </w:rPr>
        <w:t xml:space="preserve">Chà, không hẳn vậy. Các công ty có thể thực hiện rất nhiều quyền tự quyết khi trình bày dòng tiền. Nhiều Chiêu trò Dòng tiền có thể được coi là </w:t>
      </w:r>
      <w:r>
        <w:rPr>
          <w:b w:val="0"/>
          <w:i/>
        </w:rPr>
        <w:t>trò chơi địa lý trong kỳ</w:t>
      </w:r>
      <w:r>
        <w:rPr>
          <w:b w:val="0"/>
          <w:i w:val="0"/>
        </w:rPr>
        <w:t xml:space="preserve"> (intraperiod geography games) — theo đó các công ty đưa ra những cách diễn giải thoáng về việc "cái gì đi đâu" trên Báo cáo Lưu chuyển Tiền tệ. Ví dụ, một dòng tiền ra nên được thể hiện ở phần Hoạt động kinh doanh hay phần Hoạt động đầu tư? Rõ ràng, quyết định của ban lãnh đạo sẽ có ảnh hưởng sâu sắc đến CFFO được báo cáo và đến đánh giá của nhà đầu tư về hiệu quả hoạt động của công ty. Các chiêu trò khác liên quan đến những quyết định chủ quan của ban lãnh đạo nhằm gây ảnh hưởng đến thời điểm của các dòng tiền để vẽ nên một bức tranh kinh tế quá màu hồng.</w:t>
      </w:r>
    </w:p>
    <w:p>
      <w:pPr>
        <w:pStyle w:val="Heading4"/>
      </w:pPr>
      <w:r>
        <w:rPr>
          <w:rFonts w:ascii="Calibri" w:hAnsi="Calibri"/>
          <w:b/>
          <w:i w:val="0"/>
          <w:sz w:val="23"/>
        </w:rPr>
        <w:t>Chiêu trò Robin Hood</w:t>
      </w:r>
    </w:p>
    <w:p>
      <w:pPr>
        <w:spacing w:after="80"/>
      </w:pPr>
      <w:r>
        <w:rPr>
          <w:b w:val="0"/>
          <w:i w:val="0"/>
        </w:rPr>
        <w:t>Hãy nghĩ về những trò chơi địa lý trong kỳ này như những chiêu trò "Robin Hood": lấy từ những phần "giàu có" của Báo cáo Lưu chuyển Tiền tệ và cho vào phần "nghèo khó". Trong những trường hợp này, phần "nghèo" sẽ là phần Hoạt động kinh doanh, phần mà nhà đầu tư theo dõi sát sao hơn nhiều, còn những phần "giàu" sẽ là phần Hoạt động đầu tư và Hoạt động tài chính, những phần mà nhà đầu tư có xu hướng ít chú trọng hơn.</w:t>
      </w:r>
    </w:p>
    <w:p>
      <w:pPr>
        <w:spacing w:after="80"/>
      </w:pPr>
      <w:r>
        <w:rPr>
          <w:b w:val="0"/>
          <w:i w:val="0"/>
        </w:rPr>
        <w:t>Như bạn sẽ thấy, những chiêu trò Robin Hood này khá đơn giản và phổ biến hơn bạn có thể tưởng tượng. Việc các công ty bịa ra lý do để chuyển những thứ tốt đẹp (dòng tiền vào) sang phần Hoạt động kinh doanh quan trọng nhất và đẩy những thứ xấu xí (dòng tiền ra) sang phần Hoạt động đầu tư và Hoạt động tài chính ít quan trọng hơn không hề khó. Hình P3-2 minh họa một số chiêu trò này, chẳng hạn như việc chuyển không đúng cách các dòng tiền vào thực chất đến từ các khoản vay ngân hàng sang phần Hoạt động kinh doanh, hoặc chuyển những dòng tiền ra không mong muốn ra khỏi phần Hoạt động kinh doanh và dán nhãn chúng là chi tiêu vốn.</w:t>
      </w:r>
    </w:p>
    <w:p>
      <w:pPr>
        <w:spacing w:after="80"/>
      </w:pPr>
      <w:r>
        <w:rPr>
          <w:b/>
          <w:i w:val="0"/>
        </w:rPr>
        <w:t>Hình P3-2</w:t>
      </w:r>
      <w:r>
        <w:rPr>
          <w:b w:val="0"/>
          <w:i w:val="0"/>
        </w:rPr>
        <w:t xml:space="preserve"> Các Chiêu trò Dòng tiền: Chiêu trò Robin Hood</w:t>
      </w:r>
    </w:p>
    <w:p>
      <w:pPr>
        <w:jc w:val="center"/>
      </w:pPr>
      <w:r>
        <w:drawing>
          <wp:inline xmlns:a="http://schemas.openxmlformats.org/drawingml/2006/main" xmlns:pic="http://schemas.openxmlformats.org/drawingml/2006/picture">
            <wp:extent cx="5486400" cy="2179989"/>
            <wp:docPr id="32" name="Picture 32"/>
            <wp:cNvGraphicFramePr>
              <a:graphicFrameLocks noChangeAspect="1"/>
            </wp:cNvGraphicFramePr>
            <a:graphic>
              <a:graphicData uri="http://schemas.openxmlformats.org/drawingml/2006/picture">
                <pic:pic>
                  <pic:nvPicPr>
                    <pic:cNvPr id="0" name="00044.jpeg"/>
                    <pic:cNvPicPr/>
                  </pic:nvPicPr>
                  <pic:blipFill>
                    <a:blip r:embed="rId40"/>
                    <a:stretch>
                      <a:fillRect/>
                    </a:stretch>
                  </pic:blipFill>
                  <pic:spPr>
                    <a:xfrm>
                      <a:off x="0" y="0"/>
                      <a:ext cx="5486400" cy="2179989"/>
                    </a:xfrm>
                    <a:prstGeom prst="rect"/>
                  </pic:spPr>
                </pic:pic>
              </a:graphicData>
            </a:graphic>
          </wp:inline>
        </w:drawing>
      </w:r>
    </w:p>
    <w:p>
      <w:pPr>
        <w:pStyle w:val="Heading4"/>
      </w:pPr>
      <w:r>
        <w:rPr>
          <w:rFonts w:ascii="Calibri" w:hAnsi="Calibri"/>
          <w:b/>
          <w:i w:val="0"/>
          <w:sz w:val="23"/>
        </w:rPr>
        <w:t>Cảnh sát trưởng Nottingham đâu rồi?</w:t>
      </w:r>
    </w:p>
    <w:p>
      <w:pPr>
        <w:spacing w:after="80"/>
      </w:pPr>
      <w:r>
        <w:rPr>
          <w:b w:val="0"/>
          <w:i w:val="0"/>
        </w:rPr>
        <w:t>Giống như Cảnh sát trưởng Nottingham không thể ngăn Robin Hood cướp của người giàu chia cho người nghèo, các quy tắc kế toán hiện hành thường có vẻ không đủ để ngăn các công ty thực hiện những trò gian lận dòng tiền như vậy. Điều này là do những người đặt ra quy tắc đã không giải quyết thỏa đáng nhiều vấn đề then chốt khi họ viết ra các chuẩn mực kế toán cho Báo cáo Lưu chuyển Tiền tệ (Statement of Cash Flows). Thật vậy, khi đề cập đến "cái gì đi vào đâu" trên Báo cáo Lưu chuyển Tiền tệ, các quy tắc kế toán khá mơ hồ, trao cho ban quản lý rất nhiều quyền tự quyết.</w:t>
      </w:r>
    </w:p>
    <w:p>
      <w:pPr>
        <w:spacing w:after="80"/>
      </w:pPr>
      <w:r>
        <w:rPr>
          <w:b w:val="0"/>
          <w:i w:val="0"/>
        </w:rPr>
        <w:t>Trên thực tế, đôi khi các quy tắc kế toán có thể bị coi là "đồng phạm" cho những trò của Robin Hood, bởi vì khi được áp dụng, trong một số trường hợp chúng không nắm bắt được bản chất kinh tế thực sự của các giao dịch. Kết quả là, ngay cả khi các công ty tuân thủ quy tắc, họ vẫn có thể trình bày một con số CFFO phản ánh kém sự tăng trưởng hữu cơ của hoạt động kinh doanh. Tất nhiên, những công ty tuân thủ quy tắc thì không nên bị buộc tội gian lận. Tuy nhiên, chơi đúng luật không phải lúc nào cũng dẫn đến việc báo cáo tài chính phản ánh chính xác thực tế kinh tế bên dưới.</w:t>
      </w:r>
    </w:p>
    <w:p>
      <w:pPr>
        <w:pStyle w:val="Heading3"/>
      </w:pPr>
      <w:r>
        <w:rPr>
          <w:rFonts w:ascii="Calibri" w:hAnsi="Calibri"/>
          <w:b/>
          <w:i w:val="0"/>
          <w:sz w:val="26"/>
        </w:rPr>
        <w:t>Tin tốt và Tin xấu (nhưng chủ yếu là Tin tốt)</w:t>
      </w:r>
    </w:p>
    <w:p>
      <w:pPr>
        <w:spacing w:after="80"/>
      </w:pPr>
      <w:r>
        <w:rPr>
          <w:b w:val="0"/>
          <w:i w:val="0"/>
        </w:rPr>
        <w:t xml:space="preserve">Giờ là lúc cho một chút tin tốt và một chút tin xấu. </w:t>
      </w:r>
      <w:r>
        <w:rPr>
          <w:b w:val="0"/>
          <w:i/>
        </w:rPr>
        <w:t>Tin xấu</w:t>
      </w:r>
      <w:r>
        <w:rPr>
          <w:b w:val="0"/>
          <w:i w:val="0"/>
        </w:rPr>
        <w:t xml:space="preserve"> là có rất nhiều kỹ thuật cho phép các công ty thể hiện dòng tiền gây hiểu lầm. Hơn nữa, nhiều khía cạnh của các quy tắc xung quanh Báo cáo Lưu chuyển Tiền tệ tạo ra sự nhầm lẫn về tính bền vững của CFFO được báo cáo cho nhà đầu tư.</w:t>
      </w:r>
    </w:p>
    <w:p>
      <w:pPr>
        <w:spacing w:after="80"/>
      </w:pPr>
      <w:r>
        <w:rPr>
          <w:b w:val="0"/>
          <w:i w:val="0"/>
        </w:rPr>
        <w:t xml:space="preserve">Tuy nhiên, </w:t>
      </w:r>
      <w:r>
        <w:rPr>
          <w:b w:val="0"/>
          <w:i/>
        </w:rPr>
        <w:t>tin tốt</w:t>
      </w:r>
      <w:r>
        <w:rPr>
          <w:b w:val="0"/>
          <w:i w:val="0"/>
        </w:rPr>
        <w:t xml:space="preserve"> là bạn đã nhận ra điều này—thật vậy, bạn đang đọc cuốn sách này. Bạn sắp học được cách phát hiện những trò này một cách nhanh chóng và có được kiến thức cùng công cụ cần thiết để đối đầu thành công với những công ty có thể cố gắng đánh lừa bạn bằng các Trò Gian lận Dòng tiền (Cash Flow Shenanigans).</w:t>
      </w:r>
    </w:p>
    <w:p>
      <w:pPr>
        <w:spacing w:after="80"/>
      </w:pPr>
      <w:r>
        <w:rPr>
          <w:b w:val="0"/>
          <w:i w:val="0"/>
        </w:rPr>
        <w:t>Bốn chương tiếp theo mang đến một chuyến tham quan có hướng dẫn về bốn Trò Gian lận Dòng tiền, bao gồm các kỹ thuật mà ban quản lý sử dụng để chuyển những dòng tiền ra không mong muốn ra khỏi phần Hoạt động (Operating) và đẩy những dòng tiền vào mong muốn vào phần đó. Đương nhiên, chúng tôi chia sẻ bí quyết của mình về cách phát hiện dấu hiệu của những trò gian lận này. Chương 10 bắt đầu với việc chuyển những dòng tiền vào quý giá từ các thỏa thuận tài chính sang phần Hoạt động.</w:t>
      </w:r>
    </w:p>
    <w:p>
      <w:pPr>
        <w:pStyle w:val="Heading2"/>
      </w:pPr>
      <w:r>
        <w:rPr>
          <w:rFonts w:ascii="Calibri" w:hAnsi="Calibri"/>
          <w:b/>
          <w:i w:val="0"/>
          <w:sz w:val="32"/>
        </w:rPr>
        <w:t>10</w:t>
      </w:r>
    </w:p>
    <w:p>
      <w:pPr>
        <w:pStyle w:val="Heading2"/>
      </w:pPr>
      <w:r>
        <w:rPr>
          <w:rFonts w:ascii="Calibri" w:hAnsi="Calibri"/>
          <w:b/>
          <w:i w:val="0"/>
          <w:sz w:val="32"/>
        </w:rPr>
        <w:t>Trò Gian lận Dòng tiền Số 1: Chuyển Dòng tiền vào từ Tài chính sang Phần Hoạt động</w:t>
      </w:r>
    </w:p>
    <w:p>
      <w:pPr>
        <w:spacing w:after="80"/>
      </w:pPr>
      <w:r>
        <w:rPr>
          <w:b w:val="0"/>
          <w:i w:val="0"/>
        </w:rPr>
        <w:t xml:space="preserve">Arnold Schwarzenegger và Danny DeVito là một cặp đôi khó ngờ trong bộ phim hài ăn khách năm 1988 </w:t>
      </w:r>
      <w:r>
        <w:rPr>
          <w:b w:val="0"/>
          <w:i/>
        </w:rPr>
        <w:t>Twins</w:t>
      </w:r>
      <w:r>
        <w:rPr>
          <w:b w:val="0"/>
          <w:i w:val="0"/>
        </w:rPr>
        <w:t>. Cặp sinh đôi được sinh ra trong một phòng thí nghiệm di truyền học là kết quả của một thí nghiệm bí mật nhằm tạo ra đứa trẻ hoàn hảo. Các bác sĩ đã thao túng quá trình sinh sản để dồn những đặc điểm mong muốn vào một đứa trẻ trong khi gửi "rác di truyền" cho đứa kia. Bằng cách đó, họ tạo ra một Adonis thông minh (Schwarzenegger), nhưng để làm được điều đó, các bác sĩ cũng phải tạo ra người anh em sinh đôi nhỏ bé, xảo quyệt của anh ta (DeVito).</w:t>
      </w:r>
    </w:p>
    <w:p>
      <w:pPr>
        <w:spacing w:after="80"/>
      </w:pPr>
      <w:r>
        <w:rPr>
          <w:b w:val="0"/>
          <w:i w:val="0"/>
        </w:rPr>
        <w:t xml:space="preserve">Đúng năm đó, các chuẩn mực báo cáo dòng tiền mới (SFAS 95) có hiệu lực, chính thức hóa Báo cáo Lưu chuyển Tiền tệ và ba phần của nó (Hoạt động, Đầu tư và Tài chính). Có vẻ như một số giám đốc điều hành doanh nghiệp đang xem xét các quy tắc mới trong khi họ xem cảnh thao túng sinh sản trong </w:t>
      </w:r>
      <w:r>
        <w:rPr>
          <w:b w:val="0"/>
          <w:i/>
        </w:rPr>
        <w:t>Twins</w:t>
      </w:r>
      <w:r>
        <w:rPr>
          <w:b w:val="0"/>
          <w:i w:val="0"/>
        </w:rPr>
        <w:t>. Đây có thể là nơi họ nảy ra ý tưởng điên rồ về việc thao túng Báo cáo Lưu chuyển Tiền tệ bằng cách gửi tất cả các dòng tiền vào mong muốn đến phần quan trọng nhất (Hoạt động) và những dòng tiền ra không mong muốn đến các phần khác (Đầu tư và Tài chính).</w:t>
      </w:r>
    </w:p>
    <w:p>
      <w:pPr>
        <w:spacing w:after="80"/>
      </w:pPr>
      <w:r>
        <w:rPr>
          <w:b w:val="0"/>
          <w:i w:val="0"/>
        </w:rPr>
        <w:t xml:space="preserve">Trong những năm gần đây, nhiều công ty dường như đang vận hành các phòng thí nghiệm di truyền </w:t>
      </w:r>
      <w:r>
        <w:rPr>
          <w:b w:val="0"/>
          <w:i/>
        </w:rPr>
        <w:t>Twins</w:t>
      </w:r>
      <w:r>
        <w:rPr>
          <w:b w:val="0"/>
          <w:i w:val="0"/>
        </w:rPr>
        <w:t xml:space="preserve"> của riêng mình. Nhưng thay vì cố gắng tạo ra đứa trẻ hoàn hảo, họ đang cố gắng tạo ra Báo cáo Lưu chuyển Tiền tệ hoàn hảo. Trong chương này, chúng tôi phơi bày một trong những quy trình bí mật quan trọng nhất đang được thực hiện bên trong các phòng thí nghiệm đó: chuyển những dòng tiền vào mong muốn từ một giao dịch tài chính sang phần Hoạt động.</w:t>
      </w:r>
    </w:p>
    <w:p>
      <w:pPr>
        <w:pStyle w:val="Heading3"/>
      </w:pPr>
      <w:r>
        <w:rPr>
          <w:rFonts w:ascii="Calibri" w:hAnsi="Calibri"/>
          <w:b/>
          <w:i w:val="0"/>
          <w:sz w:val="26"/>
        </w:rPr>
        <w:t>Các Kỹ thuật để Chuyển Dòng tiền vào từ Tài chính sang Phần Hoạt động</w:t>
      </w:r>
    </w:p>
    <w:p>
      <w:pPr>
        <w:spacing w:after="80"/>
      </w:pPr>
      <w:r>
        <w:rPr>
          <w:b w:val="0"/>
          <w:i w:val="0"/>
        </w:rPr>
        <w:t>1. Ghi nhận CFFO giả từ một khoản vay ngân hàng thông thường</w:t>
      </w:r>
    </w:p>
    <w:p>
      <w:pPr>
        <w:spacing w:after="80"/>
      </w:pPr>
      <w:r>
        <w:rPr>
          <w:b w:val="0"/>
          <w:i w:val="0"/>
        </w:rPr>
        <w:t>2. Tăng cường CFFO bằng cách bán các khoản phải thu trước ngày thu tiền</w:t>
      </w:r>
    </w:p>
    <w:p>
      <w:pPr>
        <w:spacing w:after="80"/>
      </w:pPr>
      <w:r>
        <w:rPr>
          <w:b w:val="0"/>
          <w:i w:val="0"/>
        </w:rPr>
        <w:t>3. Thổi phồng CFFO bằng cách giả mạo việc bán các khoản phải thu</w:t>
      </w:r>
    </w:p>
    <w:p>
      <w:pPr>
        <w:spacing w:after="80"/>
      </w:pPr>
      <w:r>
        <w:rPr>
          <w:b w:val="0"/>
          <w:i w:val="0"/>
        </w:rPr>
        <w:t>Cả ba kỹ thuật này đều đại diện cho những cách mà các công ty thổi phồng dòng tiền từ hoạt động (CFFO) bằng cách chuyển dòng tiền vào ròng từ các thỏa thuận tài chính sang phần Hoạt động, như được minh họa trong bản đồ dòng tiền tiện dụng của chúng tôi ở Hình 10-1.</w:t>
      </w:r>
    </w:p>
    <w:p>
      <w:pPr>
        <w:spacing w:after="80"/>
      </w:pPr>
      <w:r>
        <w:rPr>
          <w:b/>
          <w:i w:val="0"/>
        </w:rPr>
        <w:t>Hình 10-1</w:t>
      </w:r>
    </w:p>
    <w:p>
      <w:pPr>
        <w:jc w:val="center"/>
      </w:pPr>
      <w:r>
        <w:drawing>
          <wp:inline xmlns:a="http://schemas.openxmlformats.org/drawingml/2006/main" xmlns:pic="http://schemas.openxmlformats.org/drawingml/2006/picture">
            <wp:extent cx="5486400" cy="2143916"/>
            <wp:docPr id="33" name="Picture 33"/>
            <wp:cNvGraphicFramePr>
              <a:graphicFrameLocks noChangeAspect="1"/>
            </wp:cNvGraphicFramePr>
            <a:graphic>
              <a:graphicData uri="http://schemas.openxmlformats.org/drawingml/2006/picture">
                <pic:pic>
                  <pic:nvPicPr>
                    <pic:cNvPr id="0" name="00010.jpeg"/>
                    <pic:cNvPicPr/>
                  </pic:nvPicPr>
                  <pic:blipFill>
                    <a:blip r:embed="rId41"/>
                    <a:stretch>
                      <a:fillRect/>
                    </a:stretch>
                  </pic:blipFill>
                  <pic:spPr>
                    <a:xfrm>
                      <a:off x="0" y="0"/>
                      <a:ext cx="5486400" cy="2143916"/>
                    </a:xfrm>
                    <a:prstGeom prst="rect"/>
                  </pic:spPr>
                </pic:pic>
              </a:graphicData>
            </a:graphic>
          </wp:inline>
        </w:drawing>
      </w:r>
    </w:p>
    <w:p>
      <w:pPr>
        <w:pStyle w:val="Heading4"/>
      </w:pPr>
      <w:r>
        <w:rPr>
          <w:rFonts w:ascii="Calibri" w:hAnsi="Calibri"/>
          <w:b/>
          <w:i w:val="0"/>
          <w:sz w:val="23"/>
        </w:rPr>
        <w:t>1. Ghi nhận CFFO giả từ một khoản vay ngân hàng thông thường</w:t>
      </w:r>
    </w:p>
    <w:p>
      <w:pPr>
        <w:spacing w:after="80"/>
      </w:pPr>
      <w:r>
        <w:rPr>
          <w:b w:val="0"/>
          <w:i w:val="0"/>
        </w:rPr>
        <w:t>Vào cuối năm 2000, Delphi Corporation rơi vào tình thế tiến thoái lưỡng nan. Công ty được tách ra khỏi General Motors một năm trước đó, và ban lãnh đạo quyết tâm thể hiện công ty là một đơn vị hoạt động độc lập mạnh mẽ và khả thi. Tuy nhiên, bất chấp tham vọng của ban lãnh đạo, mọi thứ không hề suôn sẻ tại nhà cung cấp phụ tùng ô tô này. Kể từ khi tách ra, Delphi đã bày ra nhiều kế hoạch để thổi phồng kết quả kinh doanh. Ngành công nghiệp ô tô đang chao đảo, và nền kinh tế ngày càng tồi tệ.</w:t>
      </w:r>
    </w:p>
    <w:p>
      <w:pPr>
        <w:spacing w:after="80"/>
      </w:pPr>
      <w:r>
        <w:rPr>
          <w:b w:val="0"/>
          <w:i w:val="0"/>
        </w:rPr>
        <w:t>Hoạt động của Delphi tiếp tục xấu đi trong quý 4 năm 2000, và công ty đối mặt với viễn cảnh phải thông báo cho nhà đầu tư rằng dòng tiền từ hoạt động kinh doanh đã chuyển sang âm nghiêm trọng trong quý này. Đây sẽ là một đòn giáng nặng nề, vì Delphi thường nhấn mạnh dòng tiền của mình ngay trong tiêu đề các Báo cáo Kết quả Kinh doanh như một chỉ số then chốt về hiệu quả hoạt động và sức mạnh (được cho là) của công ty.</w:t>
      </w:r>
    </w:p>
    <w:p>
      <w:pPr>
        <w:spacing w:after="80"/>
      </w:pPr>
      <w:r>
        <w:rPr>
          <w:b w:val="0"/>
          <w:i w:val="0"/>
        </w:rPr>
        <w:t>Vậy nên, khi đã lún sâu trong dối trá, Delphi bày ra thêm một kế hoạch nữa để cứu vãn quý này. Trong những tuần cuối tháng 12 năm 2000, Delphi đến ngân hàng của mình (Bank One) và đề nghị bán cho ngân hàng 200 triệu đô-la hàng tồn kho kim loại quý. Không có gì ngạc nhiên khi Bank One không hề có hứng thú mua hàng tồn kho. Hãy nhớ rằng, chúng ta đang nói về một ngân hàng, chứ không phải một nhà sản xuất phụ tùng ô tô. Delphi hiểu điều này và soạn thảo hợp đồng theo cách mà Bank One có thể "bán" lại hàng tồn kho cho Delphi vài tuần sau đó (sau khi năm tài chính kết thúc). Đổi lại việc ngân hàng "sở hữu" hàng tồn kho trong vài tuần, Delphi sẽ mua lại với một khoản phụ trội nhỏ so với giá bán ban đầu.</w:t>
      </w:r>
    </w:p>
    <w:p>
      <w:pPr>
        <w:spacing w:after="80"/>
      </w:pPr>
      <w:r>
        <w:rPr>
          <w:b w:val="0"/>
          <w:i w:val="0"/>
        </w:rPr>
        <w:t>Hãy lùi lại một bước và suy nghĩ xem thực sự điều gì đã xảy ra ở đây. Bản chất kinh tế của giao dịch này hẳn đã rõ ràng với bạn: Delphi đã vay một khoản nợ ngắn hạn từ Bank One. Như thường thấy với nhiều khoản vay ngân hàng, Bank One yêu cầu Delphi đưa ra tài sản thế chấp (trong trường hợp này là hàng tồn kho kim loại quý) để có thể bị tịch thu nếu Delphi quyết định không trả nợ. Delphi lẽ ra phải ghi nhận 200 triệu đô-la nhận được từ Bank One như một khoản vay (tức là làm tăng dòng tiền từ hoạt động tài chính). Là một khoản vay thuần túy, giao dịch này lẽ ra phải làm tăng tiền mặt và một khoản nợ phải trả (nợ vay phải trả) trên Bảng cân đối kế toán của Delphi. Rõ ràng, việc vay rồi sau đó trả lại khoản vay không tạo ra doanh thu.</w:t>
      </w:r>
    </w:p>
    <w:p>
      <w:pPr>
        <w:spacing w:after="80"/>
      </w:pPr>
      <w:r>
        <w:rPr>
          <w:b w:val="0"/>
          <w:i w:val="0"/>
        </w:rPr>
        <w:t>Thay vì ghi nhận giao dịch theo cách phù hợp với bản chất kinh tế và ý định của các bên, tức là một khoản vay, Delphi trơ tráo ghi nhận nó như việc bán 200 triệu đô-la hàng tồn kho. Bằng cách đó, Delphi thổi phồng doanh thu và lợi nhuận, như đã thảo luận trong Tiểu xảo EM số 2. Hơn nữa, nó còn phóng đại CFFO thêm 200 triệu đô-la mà Delphi tuyên bố đã nhận được để đổi lấy việc "bán" hàng tồn kho. Như thể hiện trong Bảng 10-1, nếu không có 200 triệu đô-la này, Delphi sẽ chỉ ghi nhận 68 triệu đô-la CFFO cho cả năm (thay vì 268 triệu đô-la được báo cáo), bao gồm cả mức âm ảm đạm 158 triệu đô-la trong quý 4.</w:t>
      </w:r>
    </w:p>
    <w:p>
      <w:pPr>
        <w:spacing w:after="80"/>
      </w:pPr>
      <w:r>
        <w:rPr>
          <w:b/>
          <w:i w:val="0"/>
        </w:rPr>
        <w:t>Bảng 10-1</w:t>
      </w:r>
      <w:r>
        <w:rPr>
          <w:b w:val="0"/>
          <w:i w:val="0"/>
        </w:rPr>
        <w:t xml:space="preserve"> Dòng tiền từ hoạt động kinh doanh của Delphi, điều chỉnh theo tác động của một khoản vay giả tạo</w:t>
      </w:r>
    </w:p>
    <w:p>
      <w:pPr>
        <w:jc w:val="center"/>
      </w:pPr>
      <w:r>
        <w:drawing>
          <wp:inline xmlns:a="http://schemas.openxmlformats.org/drawingml/2006/main" xmlns:pic="http://schemas.openxmlformats.org/drawingml/2006/picture">
            <wp:extent cx="5486400" cy="1011241"/>
            <wp:docPr id="34" name="Picture 34"/>
            <wp:cNvGraphicFramePr>
              <a:graphicFrameLocks noChangeAspect="1"/>
            </wp:cNvGraphicFramePr>
            <a:graphic>
              <a:graphicData uri="http://schemas.openxmlformats.org/drawingml/2006/picture">
                <pic:pic>
                  <pic:nvPicPr>
                    <pic:cNvPr id="0" name="00058.jpeg"/>
                    <pic:cNvPicPr/>
                  </pic:nvPicPr>
                  <pic:blipFill>
                    <a:blip r:embed="rId42"/>
                    <a:stretch>
                      <a:fillRect/>
                    </a:stretch>
                  </pic:blipFill>
                  <pic:spPr>
                    <a:xfrm>
                      <a:off x="0" y="0"/>
                      <a:ext cx="5486400" cy="1011241"/>
                    </a:xfrm>
                    <a:prstGeom prst="rect"/>
                  </pic:spPr>
                </pic:pic>
              </a:graphicData>
            </a:graphic>
          </wp:inline>
        </w:drawing>
      </w:r>
    </w:p>
    <w:p>
      <w:pPr>
        <w:pStyle w:val="Heading5"/>
      </w:pPr>
      <w:r>
        <w:rPr>
          <w:rFonts w:ascii="Calibri" w:hAnsi="Calibri"/>
          <w:b/>
          <w:i/>
          <w:sz w:val="22"/>
        </w:rPr>
        <w:t>Hãy nhớ rằng doanh thu giả cũng có thể đồng nghĩa với CFFO giả</w:t>
      </w:r>
    </w:p>
    <w:p>
      <w:pPr>
        <w:spacing w:after="80"/>
      </w:pPr>
      <w:r>
        <w:rPr>
          <w:b w:val="0"/>
          <w:i w:val="0"/>
        </w:rPr>
        <w:t xml:space="preserve">Trong Tiểu xảo EM số 2, chúng ta đã thảo luận về các thủ thuật mà công ty sử dụng để ghi nhận doanh thu giả, bao gồm việc thực hiện các giao dịch thiếu bản chất kinh tế hoặc thiếu quy trình thương lượng hợp lý giữa các bên độc lập. Một số nhà đầu tư trở nên vỡ mộng đến mức khi đọc về doanh thu giả và các chiêu trò thao túng lợi nhuận khác, họ quyết định phớt lờ hoàn toàn các con số dựa trên cơ sở dồn tích và thay vào đó, mù quáng chỉ dựa vào Báo cáo Lưu chuyển Tiền tệ. Chúng tôi cho rằng quyết định này là thiếu khôn ngoan. Nhà đầu tư nên hiểu rằng </w:t>
      </w:r>
      <w:r>
        <w:rPr>
          <w:b w:val="0"/>
          <w:i/>
        </w:rPr>
        <w:t>doanh thu giả cũng có thể là dấu hiệu của CFFO giả</w:t>
      </w:r>
      <w:r>
        <w:rPr>
          <w:b w:val="0"/>
          <w:i w:val="0"/>
        </w:rPr>
        <w:t>. Điều này rõ ràng đúng trong ví dụ Delphi, cũng như trong nhiều giao dịch được gọi là giao dịch boomerang khác. Vì vậy, theo nguyên tắc, dấu hiệu doanh thu giả cũng có thể báo trước CFFO bị thổi phồng.</w:t>
      </w:r>
    </w:p>
    <w:p>
      <w:pPr>
        <w:spacing w:after="80"/>
      </w:pPr>
      <w:r>
        <w:rPr>
          <w:b/>
          <w:i/>
        </w:rPr>
        <w:t>Hãy cảnh giác với các chỉ số CFFO pro forma</w:t>
      </w:r>
      <w:r>
        <w:rPr>
          <w:b w:val="0"/>
          <w:i w:val="0"/>
        </w:rPr>
        <w:t xml:space="preserve"> Delphi hướng nhà đầu tư ra khỏi CFFO được báo cáo và thay vào đó nhấn mạnh một thước đo dòng tiền do chính họ định nghĩa và dán nhãn gây nhầm lẫn là "Operating Cash Flow" (Dòng tiền hoạt động). Thông thường nhà đầu tư dùng các thuật ngữ "CFFO" và "operating cash flow" thay thế cho nhau; tuy nhiên, Delphi định nghĩa chúng rất khác nhau. (Sẽ nói thêm về điều này trong Phần Bốn, "Tiểu xảo về Chỉ số Then chốt.")</w:t>
      </w:r>
    </w:p>
    <w:p>
      <w:pPr>
        <w:spacing w:after="80"/>
      </w:pPr>
      <w:r>
        <w:rPr>
          <w:b w:val="0"/>
          <w:i w:val="0"/>
        </w:rPr>
        <w:t>Trong năm tài chính 2000, Delphi báo cáo 268 triệu đô-la CFFO trên Báo cáo Lưu chuyển Tiền tệ; tuy nhiên, "Operating Cash Flow" do chính họ định nghĩa (được báo cáo trong Báo cáo Kết quả Kinh doanh) là 1,6 tỷ đô-la. Không, chúng tôi không đùa đâu—chênh lệch lên tới 1,4 tỷ đô-la đáng kinh ngạc! Những nhà đầu tư cẩn thận sẽ nhận ra tiểu xảo này và ngay lập tức trở nên hoài nghi về công ty, vì mức độ gian dối là quá kinh khủng và không thể bào chữa. (Hãy chờ đón thêm về khoản chênh lệch 1,4 tỷ đô-la này trong Chương 13.) Tất nhiên, ngay cả 268 triệu đô-la CFFO được báo cáo cũng đã bị thổi phồng, vì nó bao gồm việc bán hàng tồn kho giả tạo cho ngân hàng đã thảo luận ở trên. Hẳn là SEC đã có một ngày làm việc "tưng bừng" khi họ sắp xếp, gỡ rối tất cả các kế hoạch của Delphi và buộc tội công ty gian lận.</w:t>
      </w:r>
    </w:p>
    <w:p>
      <w:pPr>
        <w:spacing w:after="80"/>
      </w:pPr>
      <w:r>
        <w:rPr>
          <w:b w:val="0"/>
          <w:i w:val="0"/>
        </w:rPr>
        <w:t>Delphi không chỉ tạo ra một thước đo thay thế gây nhầm lẫn cho CFFO, mà còn thường xuyên nhấn mạnh sức mạnh của con số này với nhà đầu tư ngay trong tiêu đề các Báo cáo Kết quả Kinh doanh hàng quý. Nhà đầu tư nên thận trọng bất cứ khi nào ban lãnh đạo tập trung quá mức vào một chỉ số dòng tiền do công ty tự tạo ra, vốn âm thầm định nghĩa lại CFFO vô cùng quan trọng. Tất nhiên, việc ban lãnh đạo sáng tạo trong sử dụng các chỉ số không phải lúc nào cũng là dấu hiệu gian lận; tuy nhiên, nhà đầu tư vẫn nên nâng mức độ hoài nghi thông thường của mình lên.</w:t>
      </w:r>
    </w:p>
    <w:p>
      <w:pPr>
        <w:pStyle w:val="Heading5"/>
      </w:pPr>
      <w:r>
        <w:rPr>
          <w:rFonts w:ascii="Calibri" w:hAnsi="Calibri"/>
          <w:b/>
          <w:i/>
          <w:sz w:val="22"/>
        </w:rPr>
        <w:t>Các cấu trúc ngoài bảng cân đối kế toán phức tạp làm tăng rủi ro CFFO bị thổi phồng</w:t>
      </w:r>
    </w:p>
    <w:p>
      <w:pPr>
        <w:spacing w:after="80"/>
      </w:pPr>
      <w:r>
        <w:rPr>
          <w:b w:val="0"/>
          <w:i w:val="0"/>
        </w:rPr>
        <w:t>Chúng ta đã phác thảo một số chiêu trò do Enron thực hiện, đặc biệt là việc sử dụng các phương tiện ngoài bảng cân đối kế toán như các thực thể có mục đích đặc biệt (special-purpose entity). Một số kế hoạch mà Enron bày ra đã giúp nó trình bày CFFO mạnh mẽ một cách gây nhầm lẫn. Ví dụ, Enron sẽ tạo ra một phương tiện như vậy rồi giúp nó vay tiền bằng cách cùng ký bảo lãnh các khoản vay. Phương tiện do Enron kiểm soát sau đó dùng tiền mặt nhận được để "mua" hàng hóa từ Enron. Enron ghi nhận tiền mặt nhận được như một dòng tiền vào thuộc phần Hoạt động kinh doanh (CFFO) từ việc "bán" hàng hóa.</w:t>
      </w:r>
    </w:p>
    <w:p>
      <w:pPr>
        <w:spacing w:after="80"/>
      </w:pPr>
      <w:r>
        <w:rPr>
          <w:b w:val="0"/>
          <w:i w:val="0"/>
        </w:rPr>
        <w:t>Cấu trúc của những giao dịch này có vẻ phức tạp, nhưng bản chất kinh tế lại khá đơn giản: Enron thực hiện các thỏa thuận bán hàng hóa cho chính mình. Vấn đề là nó chỉ ghi nhận một nửa giao dịch—phần phản ánh dòng tiền vào. Cụ thể, Enron ghi nhận việc "bán" hàng hóa như một dòng tiền vào thuộc Hoạt động kinh doanh, nhưng bỏ qua dòng tiền ra tương ứng từ việc phương tiện "mua" những hàng hóa này. Nếu Enron ghi nhận giao dịch này đúng theo bản chất kinh tế của nó, dòng tiền vào sẽ được coi là một khoản vay và do đó được ghi nhận như một dòng tiền vào thuộc Hoạt động tài chính. Chiêu trò này cho phép Enron tô điểm CFFO của mình thêm hàng tỷ đô-la, gây tổn hại cho dòng tiền từ Hoạt động tài chính—và tất nhiên, cho cả nhà đầu tư.</w:t>
      </w:r>
    </w:p>
    <w:p>
      <w:pPr>
        <w:pStyle w:val="Heading4"/>
      </w:pPr>
      <w:r>
        <w:rPr>
          <w:rFonts w:ascii="Calibri" w:hAnsi="Calibri"/>
          <w:b/>
          <w:i w:val="0"/>
          <w:sz w:val="23"/>
        </w:rPr>
        <w:t>2. Tăng CFFO bằng cách bán các khoản phải thu trước ngày thu tiền</w:t>
      </w:r>
    </w:p>
    <w:p>
      <w:pPr>
        <w:spacing w:after="80"/>
      </w:pPr>
      <w:r>
        <w:rPr>
          <w:b w:val="0"/>
          <w:i w:val="0"/>
        </w:rPr>
        <w:t xml:space="preserve">Trong phần trước, chúng ta đã thảo luận về cách Delphi và Enron tạo ra những kế hoạch nguy hiểm trong các phòng thí nghiệm di truyền </w:t>
      </w:r>
      <w:r>
        <w:rPr>
          <w:b w:val="0"/>
          <w:i/>
        </w:rPr>
        <w:t>Twins</w:t>
      </w:r>
      <w:r>
        <w:rPr>
          <w:b w:val="0"/>
          <w:i w:val="0"/>
        </w:rPr>
        <w:t xml:space="preserve"> của họ, cho phép họ ghi nhận dòng tiền từ hoạt động kinh doanh hoàn toàn giả tạo. Trong phần này, chúng ta sẽ bàn về cách các công ty có thể thổi phồng CFFO bằng một giao dịch khá phổ biến và được coi là hoàn toàn hợp lý: bán các khoản phải thu. Tuy nhiên, cách ban lãnh đạo trình bày những giao dịch này trên báo cáo tài chính thường gây ra rất nhiều nhầm lẫn cho nhà đầu tư.</w:t>
      </w:r>
    </w:p>
    <w:p>
      <w:pPr>
        <w:pStyle w:val="Heading5"/>
      </w:pPr>
      <w:r>
        <w:rPr>
          <w:rFonts w:ascii="Calibri" w:hAnsi="Calibri"/>
          <w:b/>
          <w:i/>
          <w:sz w:val="22"/>
        </w:rPr>
        <w:t>Biến các khoản phải thu thành tiền mặt dù khách hàng chưa thanh toán</w:t>
      </w:r>
    </w:p>
    <w:p>
      <w:pPr>
        <w:spacing w:after="80"/>
      </w:pPr>
      <w:r>
        <w:rPr>
          <w:b w:val="0"/>
          <w:i w:val="0"/>
        </w:rPr>
        <w:t>Các công ty thường bán các khoản phải thu như một chiến lược quản lý tiền mặt hữu ích. Những giao dịch này khá đơn giản: một công ty muốn thu tiền từ các khoản phải thu trước khi chúng đến hạn. Công ty tìm một nhà đầu tư sẵn lòng (tức là một ngân hàng) và chuyển quyền sở hữu một số khoản phải thu. Đổi lại, công ty bỏ túi một khoản thanh toán tiền mặt cho tổng các khoản phải thu, trừ đi một khoản phí.</w:t>
      </w:r>
    </w:p>
    <w:p>
      <w:pPr>
        <w:spacing w:after="80"/>
      </w:pPr>
      <w:r>
        <w:rPr>
          <w:b w:val="0"/>
          <w:i w:val="0"/>
        </w:rPr>
        <w:t>Hãy cùng suy nghĩ về giao dịch cơ bản, mục đích của nó và lợi ích của bên kia. Liệu thỏa thuận này nghe giống một giao dịch tài trợ vốn hay một giao dịch hoạt động kinh doanh? Nhiều người sẽ đồng ý rằng một thỏa thuận mà trong đó ngân hàng chỉ đơn giản ký cho bạn một tấm séc trông rất giống một khoản vay kiểu cũ—chẳng qua chỉ là một hình thức tài trợ vốn, đặc biệt là vì ban lãnh đạo quyết định thời điểm và số tiền nhận được. Do đó, họ kỳ vọng giao dịch này sẽ không ảnh hưởng đến CFFO. Tuy nhiên, các quy định lại nói khác. Vị trí thích hợp để ghi nhận tiền mặt tạo ra từ việc bán các khoản phải thu sẽ là một dòng tiền vào từ Hoạt động kinh doanh, chứ không phải dòng tiền vào từ Hoạt động tài trợ vốn. Tại sao lại là Hoạt động kinh doanh? Bởi vì số tiền mặt nhận được có thể được xem như đại diện cho việc thu tiền từ các khoản bán hàng trong quá khứ. Thật vậy, đây là một trong nhiều vùng xám gây nhầm lẫn cho cả những nhà đầu tư sành sỏi nhất.</w:t>
      </w:r>
    </w:p>
    <w:p>
      <w:pPr>
        <w:spacing w:after="80"/>
      </w:pPr>
      <w:r>
        <w:rPr>
          <w:b w:val="0"/>
          <w:i w:val="0"/>
        </w:rPr>
        <w:t>HỘP KIẾN THỨC KẾ TOÁN: BÁN CÁC KHOẢN PHẢI THU</w:t>
      </w:r>
    </w:p>
    <w:p>
      <w:pPr>
        <w:spacing w:after="80"/>
      </w:pPr>
      <w:r>
        <w:rPr>
          <w:b w:val="0"/>
          <w:i w:val="0"/>
        </w:rPr>
        <w:t>Điều quan trọng là phải nhận ra khi nào một công ty đang bán các khoản phải thu của mình, vì những giao dịch này được ghi nhận là dòng tiền vào CFFO. Có nhiều cách khác nhau để các công ty bán các khoản phải thu, bao gồm giao dịch bao thanh toán (factoring) và chứng khoán hóa (securitization). Hãy để mắt đến những từ khóa này trong báo cáo tài chính.</w:t>
      </w:r>
    </w:p>
    <w:p>
      <w:pPr>
        <w:spacing w:after="80"/>
      </w:pPr>
      <w:r>
        <w:rPr>
          <w:b w:val="0"/>
          <w:i w:val="0"/>
        </w:rPr>
        <w:t xml:space="preserve">• </w:t>
      </w:r>
      <w:r>
        <w:rPr>
          <w:b/>
          <w:i w:val="0"/>
        </w:rPr>
        <w:t>Bao thanh toán (Factoring):</w:t>
      </w:r>
      <w:r>
        <w:rPr>
          <w:b w:val="0"/>
          <w:i w:val="0"/>
        </w:rPr>
        <w:t xml:space="preserve"> Việc bán đơn giản các khoản phải thu cho một bên thứ ba, thường là một ngân hàng hoặc một thực thể có mục đích đặc biệt</w:t>
      </w:r>
    </w:p>
    <w:p>
      <w:pPr>
        <w:spacing w:after="80"/>
      </w:pPr>
      <w:r>
        <w:rPr>
          <w:b w:val="0"/>
          <w:i w:val="0"/>
        </w:rPr>
        <w:t xml:space="preserve">• </w:t>
      </w:r>
      <w:r>
        <w:rPr>
          <w:b/>
          <w:i w:val="0"/>
        </w:rPr>
        <w:t>Chứng khoán hóa (Securitization):</w:t>
      </w:r>
      <w:r>
        <w:rPr>
          <w:b w:val="0"/>
          <w:i w:val="0"/>
        </w:rPr>
        <w:t xml:space="preserve"> Việc bán các khoản phải thu cho một bên thứ ba (thường là một thực thể có mục đích đặc biệt) nhằm mục đích tạo ra các công cụ tài chính mới (“chứng khoán”) bằng cách đóng gói lại các dòng tiền vào từ các khoản phải thu</w:t>
      </w:r>
    </w:p>
    <w:p>
      <w:pPr>
        <w:pStyle w:val="Heading5"/>
      </w:pPr>
      <w:r>
        <w:rPr>
          <w:rFonts w:ascii="Calibri" w:hAnsi="Calibri"/>
          <w:b/>
          <w:i/>
          <w:sz w:val="22"/>
        </w:rPr>
        <w:t>Bán các khoản phải thu: Một động lực tăng trưởng dòng tiền không bền vững</w:t>
      </w:r>
    </w:p>
    <w:p>
      <w:pPr>
        <w:spacing w:after="80"/>
      </w:pPr>
      <w:r>
        <w:rPr>
          <w:b w:val="0"/>
          <w:i w:val="0"/>
        </w:rPr>
        <w:t>Năm 2004, nhà phân phối dược phẩm Cardinal Health cần tạo ra nhiều tiền mặt hơn. Vì vậy ban lãnh đạo quyết định bán các khoản phải thu để giúp công ty huy động tiền mặt rất nhanh. Đến cuối quý hai (tháng 12 năm 2004), Cardinal Health đã bán 800 triệu đô la các khoản phải thu khách hàng. Giao dịch này là động lực chính giúp công ty đạt mức tăng trưởng CFFO mạnh mẽ 971 triệu đô la trong tháng 12 năm 2004 so với cùng kỳ năm trước.</w:t>
      </w:r>
    </w:p>
    <w:p>
      <w:pPr>
        <w:spacing w:after="80"/>
      </w:pPr>
      <w:r>
        <w:rPr>
          <w:b w:val="0"/>
          <w:i w:val="0"/>
        </w:rPr>
        <w:t xml:space="preserve">Mặc dù Cardinal Health chắc chắn có quyền nhận bất kỳ khoản tiền mặt nào đổi lấy các khoản phải thu của mình, nhưng nhà đầu tư lẽ ra phải nhận ra rằng đây là một nguồn tăng trưởng CFFO </w:t>
      </w:r>
      <w:r>
        <w:rPr>
          <w:b w:val="0"/>
          <w:i/>
        </w:rPr>
        <w:t>không bền vững</w:t>
      </w:r>
      <w:r>
        <w:rPr>
          <w:b w:val="0"/>
          <w:i w:val="0"/>
        </w:rPr>
        <w:t>. Cardinal Health về cơ bản đã thu tiền từ các khoản phải thu (từ một bên thứ ba, chứ không phải từ khách hàng của mình) mà đáng lẽ thường sẽ được thu trong các quý tương lai. Bằng cách thu tiền sớm hơn dự kiến, công ty về cơ bản đã dịch chuyển các dòng tiền vào của kỳ tương lai vào quý hiện tại, để lại một “lỗ hổng” trong dòng tiền của các kỳ tương lai. Việc chuyển dòng tiền sang một kỳ sớm hơn có khả năng dẫn đến CFFO đáng thất vọng trong tương lai—tất nhiên, trừ khi ban lãnh đạo tìm ra một Chiêu trò Dòng tiền (CF Shenanigan) khác để bịt lỗ hổng đó.</w:t>
      </w:r>
    </w:p>
    <w:p>
      <w:pPr>
        <w:spacing w:after="80"/>
      </w:pPr>
      <w:r>
        <w:rPr>
          <w:b/>
          <w:i/>
        </w:rPr>
        <w:t>Hãy chú ý những biến động đột ngột trên Báo cáo Lưu chuyển Tiền tệ</w:t>
      </w:r>
      <w:r>
        <w:rPr>
          <w:b w:val="0"/>
          <w:i w:val="0"/>
        </w:rPr>
        <w:t xml:space="preserve"> Ngay cả những nhà đầu tư mới vào nghề cũng có thể nhận ra rằng có điều gì đó quan trọng đã thay đổi trong các khoản phải thu của Cardinal Health và rằng tăng trưởng CFFO phần lớn được thúc đẩy bởi sự thay đổi này. Hãy nhìn vào Báo cáo Lưu chuyển Tiền tệ của công ty trong Bảng 10-2. Lưu ý rằng mức tăng 971 triệu đô la (từ 548 triệu đô la lên 1,5 tỷ đô la) trong CFFO chủ yếu được thúc đẩy bởi một sự “đảo chiều” 1,1 tỷ đô la trong tác động của các khoản phải thu. Cụ thể, trong sáu tháng kết thúc vào tháng 12 năm 2004, sự thay đổi trong các khoản phải thu đại diện cho một dòng tiền vào 622 triệu đô la, trong khi vào năm trước đó, sự thay đổi trong các khoản phải thu đã đóng góp một dòng tiền </w:t>
      </w:r>
      <w:r>
        <w:rPr>
          <w:b w:val="0"/>
          <w:i/>
        </w:rPr>
        <w:t>ra</w:t>
      </w:r>
      <w:r>
        <w:rPr>
          <w:b w:val="0"/>
          <w:i w:val="0"/>
        </w:rPr>
        <w:t xml:space="preserve"> 488 triệu đô la. Không còn nghi ngờ gì nữa, chính việc bán khoản phải thu khổng lồ, chứ không phải sự cải thiện trong hoạt động kinh doanh cốt lõi của Cardinal Health, đã tạo ra sự cải thiện CFFO ấn tượng đó. Cần nhấn mạnh rằng, nhà đầu tư không chỉ nên tập trung vào </w:t>
      </w:r>
      <w:r>
        <w:rPr>
          <w:b w:val="0"/>
          <w:i/>
        </w:rPr>
        <w:t>mức độ</w:t>
      </w:r>
      <w:r>
        <w:rPr>
          <w:b w:val="0"/>
          <w:i w:val="0"/>
        </w:rPr>
        <w:t xml:space="preserve"> tăng trưởng CFFO, mà còn vào </w:t>
      </w:r>
      <w:r>
        <w:rPr>
          <w:b w:val="0"/>
          <w:i/>
        </w:rPr>
        <w:t>cách</w:t>
      </w:r>
      <w:r>
        <w:rPr>
          <w:b w:val="0"/>
          <w:i w:val="0"/>
        </w:rPr>
        <w:t xml:space="preserve"> nó tăng trưởng—một sự khác biệt rất đáng lưu ý.</w:t>
      </w:r>
    </w:p>
    <w:p>
      <w:pPr>
        <w:spacing w:after="80"/>
      </w:pPr>
      <w:r>
        <w:rPr>
          <w:b/>
          <w:i w:val="0"/>
        </w:rPr>
        <w:t>Bảng 10-2</w:t>
      </w:r>
      <w:r>
        <w:rPr>
          <w:b w:val="0"/>
          <w:i w:val="0"/>
        </w:rPr>
        <w:t xml:space="preserve"> Dòng tiền từ hoạt động kinh doanh của Cardinal Health, như được báo cáo</w:t>
      </w:r>
    </w:p>
    <w:p>
      <w:pPr>
        <w:jc w:val="center"/>
      </w:pPr>
      <w:r>
        <w:drawing>
          <wp:inline xmlns:a="http://schemas.openxmlformats.org/drawingml/2006/main" xmlns:pic="http://schemas.openxmlformats.org/drawingml/2006/picture">
            <wp:extent cx="5486400" cy="2989026"/>
            <wp:docPr id="35" name="Picture 35"/>
            <wp:cNvGraphicFramePr>
              <a:graphicFrameLocks noChangeAspect="1"/>
            </wp:cNvGraphicFramePr>
            <a:graphic>
              <a:graphicData uri="http://schemas.openxmlformats.org/drawingml/2006/picture">
                <pic:pic>
                  <pic:nvPicPr>
                    <pic:cNvPr id="0" name="00037.jpeg"/>
                    <pic:cNvPicPr/>
                  </pic:nvPicPr>
                  <pic:blipFill>
                    <a:blip r:embed="rId43"/>
                    <a:stretch>
                      <a:fillRect/>
                    </a:stretch>
                  </pic:blipFill>
                  <pic:spPr>
                    <a:xfrm>
                      <a:off x="0" y="0"/>
                      <a:ext cx="5486400" cy="2989026"/>
                    </a:xfrm>
                    <a:prstGeom prst="rect"/>
                  </pic:spPr>
                </pic:pic>
              </a:graphicData>
            </a:graphic>
          </wp:inline>
        </w:drawing>
      </w:r>
    </w:p>
    <w:p>
      <w:pPr>
        <w:spacing w:after="80"/>
      </w:pPr>
      <w:r>
        <w:rPr>
          <w:b w:val="0"/>
          <w:i w:val="0"/>
        </w:rPr>
        <w:t>Những biến động đột ngột như thế này tại Cardinal Health là dấu hiệu cho thấy cần phải tìm hiểu sâu hơn. Trong trường hợp này, bạn sẽ phát hiện ra rằng công ty đã bắt đầu bán nhiều khoản phải thu hơn. Điều này khá dễ tìm thấy, và công ty rõ ràng đã không làm gì sai trái. Trên thực tế, công ty đã rất cởi mở, công bố rõ ràng việc bán các khoản phải thu trong Báo cáo Kết quả Kinh doanh cũng như trong hồ sơ 10-Q (mặc dù công bố nó trên Báo cáo Lưu chuyển Tiền tệ sẽ được ưu tiên hơn). Trong khi có lẽ những nhà đầu tư hời hợt hoặc lười biếng quá dễ bị ấn tượng bởi khả năng tăng trưởng CFFO của Cardinal Health, thì những nhà đầu tư sành sỏi chắc chắn sẽ nhận ra rằng sự tăng trưởng đó đến từ một nguồn không thường xuyên.</w:t>
      </w:r>
    </w:p>
    <w:p>
      <w:pPr>
        <w:pStyle w:val="Heading5"/>
      </w:pPr>
      <w:r>
        <w:rPr>
          <w:rFonts w:ascii="Calibri" w:hAnsi="Calibri"/>
          <w:b/>
          <w:i/>
          <w:sz w:val="22"/>
        </w:rPr>
        <w:t>Việc bán các khoản phải thu một cách âm thầm</w:t>
      </w:r>
    </w:p>
    <w:p>
      <w:pPr>
        <w:spacing w:after="80"/>
      </w:pPr>
      <w:r>
        <w:rPr>
          <w:b w:val="0"/>
          <w:i w:val="0"/>
        </w:rPr>
        <w:t>Khác với Cardinal Health, công ty tương đối minh bạch trong việc công bố thông tin, một số công ty lại cố gắng hết sức để giữ nhà đầu tư trong bóng tối khi CFFO của họ được hưởng lợi từ việc bán các khoản phải thu. Lấy ví dụ trường hợp của một nhà sản xuất điện tử nọ. Sanmina-SCI Corporation đã báo cáo kết quả quý 4 cho tháng 9 năm 2005 vào đầu tháng 11. Trong Báo cáo Thu nhập (Earnings Release), Sanmina quyết định đưa CFFO mạnh mẽ của mình lên vị trí nổi bật như một trong những “điểm sáng” của quý 4. Các khoản phải thu đã giảm, và Sanmina cũng tự hào chỉ ra sự sụt giảm của các khoản phải thu ở gần đầu báo cáo.</w:t>
      </w:r>
    </w:p>
    <w:p>
      <w:pPr>
        <w:spacing w:after="80"/>
      </w:pPr>
      <w:r>
        <w:rPr>
          <w:b w:val="0"/>
          <w:i w:val="0"/>
        </w:rPr>
        <w:t xml:space="preserve">Nhưng Báo cáo Thu nhập không kể toàn bộ câu chuyện. Gần hai tháng sau, nằm sâu trong mẫu 10-K nộp ngày 29 tháng 12 năm 2005, khi nhiều nhà đầu tư đang nghỉ lễ, Sanmina tiết lộ điều thực sự đã xảy ra: </w:t>
      </w:r>
      <w:r>
        <w:rPr>
          <w:b w:val="0"/>
          <w:i/>
        </w:rPr>
        <w:t>động lực chính của CFFO trong quý 4 là việc bán các khoản phải thu</w:t>
      </w:r>
      <w:r>
        <w:rPr>
          <w:b w:val="0"/>
          <w:i w:val="0"/>
        </w:rPr>
        <w:t>. Sanmina báo cáo rằng 224 triệu đô-la các khoản phải thu mà công ty đã bán vẫn còn chịu nghĩa vụ truy đòi (recourse) vào cuối quý. Đây là mức tăng khá lớn so với 84 triệu đô-la được báo cáo trong quý trước. Sanmina đã âm thầm bán các khoản phải thu trong vài quý vừa qua, nhưng chưa bao giờ ở quy mô này. Như thể hiện trong Bảng 10-3, nếu không có sự gia tăng này trong các khoản phải thu đã bán, CFFO của Sanmina sẽ thấp hơn 139 triệu đô-la, giảm xuống còn 36 triệu đô-la thay vì 175 triệu đô-la được báo cáo.</w:t>
      </w:r>
    </w:p>
    <w:p>
      <w:pPr>
        <w:spacing w:after="80"/>
      </w:pPr>
      <w:r>
        <w:rPr>
          <w:b/>
          <w:i w:val="0"/>
        </w:rPr>
        <w:t>Bảng 10-3</w:t>
      </w:r>
      <w:r>
        <w:rPr>
          <w:b w:val="0"/>
          <w:i w:val="0"/>
        </w:rPr>
        <w:t xml:space="preserve"> CFFO của Sanmina-SCI trong quý 4, 9/05, được điều chỉnh để loại bỏ tác động của các khoản phải thu đã bán</w:t>
      </w:r>
    </w:p>
    <w:p>
      <w:pPr>
        <w:jc w:val="center"/>
      </w:pPr>
      <w:r>
        <w:drawing>
          <wp:inline xmlns:a="http://schemas.openxmlformats.org/drawingml/2006/main" xmlns:pic="http://schemas.openxmlformats.org/drawingml/2006/picture">
            <wp:extent cx="5486400" cy="1549202"/>
            <wp:docPr id="36" name="Picture 36"/>
            <wp:cNvGraphicFramePr>
              <a:graphicFrameLocks noChangeAspect="1"/>
            </wp:cNvGraphicFramePr>
            <a:graphic>
              <a:graphicData uri="http://schemas.openxmlformats.org/drawingml/2006/picture">
                <pic:pic>
                  <pic:nvPicPr>
                    <pic:cNvPr id="0" name="00009.jpeg"/>
                    <pic:cNvPicPr/>
                  </pic:nvPicPr>
                  <pic:blipFill>
                    <a:blip r:embed="rId44"/>
                    <a:stretch>
                      <a:fillRect/>
                    </a:stretch>
                  </pic:blipFill>
                  <pic:spPr>
                    <a:xfrm>
                      <a:off x="0" y="0"/>
                      <a:ext cx="5486400" cy="1549202"/>
                    </a:xfrm>
                    <a:prstGeom prst="rect"/>
                  </pic:spPr>
                </pic:pic>
              </a:graphicData>
            </a:graphic>
          </wp:inline>
        </w:drawing>
      </w:r>
    </w:p>
    <w:p>
      <w:pPr>
        <w:spacing w:after="80"/>
      </w:pPr>
      <w:r>
        <w:rPr>
          <w:b w:val="0"/>
          <w:i w:val="0"/>
        </w:rPr>
        <w:t>MẸO</w:t>
      </w:r>
    </w:p>
    <w:p>
      <w:pPr>
        <w:spacing w:after="80"/>
      </w:pPr>
      <w:r>
        <w:rPr>
          <w:b w:val="0"/>
          <w:i w:val="0"/>
        </w:rPr>
        <w:t xml:space="preserve">Khi chuẩn hóa CFFO để loại trừ tác động của các khoản phải thu đã bán, hãy sử dụng sự thay đổi của các khoản phải thu đã bán </w:t>
      </w:r>
      <w:r>
        <w:rPr>
          <w:b w:val="0"/>
          <w:i/>
        </w:rPr>
        <w:t>còn tồn đọng vào cuối quý</w:t>
      </w:r>
      <w:r>
        <w:rPr>
          <w:b w:val="0"/>
          <w:i w:val="0"/>
        </w:rPr>
        <w:t>. Bằng cách này, bạn có thể tập trung vào các khoản phải thu còn tồn đọng từ quý trước nhưng được thu hồi trong quý này.</w:t>
      </w:r>
    </w:p>
    <w:p>
      <w:pPr>
        <w:spacing w:after="80"/>
      </w:pPr>
      <w:r>
        <w:rPr>
          <w:b/>
          <w:i/>
        </w:rPr>
        <w:t>Đọc các Báo cáo Hàng quý để Biết Điều gì Sẽ Xảy ra</w:t>
      </w:r>
      <w:r>
        <w:rPr>
          <w:b w:val="0"/>
          <w:i w:val="0"/>
        </w:rPr>
        <w:t xml:space="preserve"> Chắc chắn rằng, việc đọc toàn bộ mẫu 10-K sẽ tiết lộ rằng việc bán các khoản phải thu đã thúc đẩy CFFO. Nhưng liệu bạn có thể nghi ngờ rằng đây là trường hợp như vậy trước khi mẫu 10-K được nộp hay không? Thật vậy, câu trả lời sẽ là có. Những nhà đầu tư tinh ý sẽ đã đọc mẫu 10-Q của quý trước và nhận thấy rằng Sanmina đã thảo luận về việc bán các khoản phải thu không ít hơn bốn lần. Họ cũng sẽ đã lưu ý rằng công ty đã đề cập đến thỏa thuận này một cách thoáng qua trong cuộc gọi hội nghị về thu nhập hai quý trước đó. Những nhà đầu tư hạng A-plus này sẽ đã biết rằng họ nên cảnh giác trong quý 4 khi CFFO đột ngột tăng vọt do sự sụt giảm đáng kể của các khoản phải thu. Họ chắc chắn sẽ đã có thể nối các dấu chấm lại với nhau.</w:t>
      </w:r>
    </w:p>
    <w:p>
      <w:pPr>
        <w:spacing w:after="80"/>
      </w:pPr>
      <w:r>
        <w:rPr>
          <w:b/>
          <w:i/>
        </w:rPr>
        <w:t>Tránh Sự Mờ ám</w:t>
      </w:r>
      <w:r>
        <w:rPr>
          <w:b w:val="0"/>
          <w:i w:val="0"/>
        </w:rPr>
        <w:t xml:space="preserve"> Rõ ràng là không thích hợp khi các công ty tỏ ra mờ ám trong việc báo cáo các thỏa thuận có cấu trúc nhạy cảm và có tác động lớn như bán các khoản phải thu. Hãy cảnh giác nếu các công ty không cung cấp cho nhà đầu tư các chi tiết. Hãy đặt câu hỏi về lý do của họ khi không minh bạch về cách họ chuyển đổi các khoản phải thu thành tiền. Có lẽ mục tiêu của ban lãnh đạo chỉ đơn giản là tô điểm cho Báo cáo Lưu chuyển Tiền tệ của mình. Kịch bản tồi tệ nhất sẽ là công ty đang cố gắng che giấu một cuộc khủng hoảng tiền mặt thực sự với nhà đầu tư. Việc che đậy như vậy rõ ràng vượt xa việc tô điểm đơn thuần và cho thấy một công ty đang ngụy trang sự suy thoái trọng yếu trong hoạt động kinh doanh của mình. Global Crossing, công ty đình đám thời dot-com, đã bán 183 triệu đô-la các khoản phải thu chỉ sáu tháng trước khi nộp đơn phá sản vào năm 2002. Tương tự, Xerox đã chọc giận SEC bằng việc âm thầm bán 288 triệu đô-la các khoản phải thu vào cuối năm 1999 để báo cáo số dư tiền mặt cuối năm dương 126 triệu đô-la.</w:t>
      </w:r>
    </w:p>
    <w:p>
      <w:pPr>
        <w:pStyle w:val="Heading4"/>
      </w:pPr>
      <w:r>
        <w:rPr>
          <w:rFonts w:ascii="Calibri" w:hAnsi="Calibri"/>
          <w:b/>
          <w:i w:val="0"/>
          <w:sz w:val="23"/>
        </w:rPr>
        <w:t>3. Thổi phồng CFFO bằng cách Giả mạo việc Bán các Khoản phải thu</w:t>
      </w:r>
    </w:p>
    <w:p>
      <w:pPr>
        <w:spacing w:after="80"/>
      </w:pPr>
      <w:r>
        <w:rPr>
          <w:b w:val="0"/>
          <w:i w:val="0"/>
        </w:rPr>
        <w:t xml:space="preserve">Trong phần trước, chúng ta đã thảo luận về những hàm ý của việc bán các khoản phải thu thông thường đối với CFFO. Chúng ta đã chỉ ra rằng trong nhiều trường hợp, việc bán các khoản phải thu có thể không chỉ phù hợp mà còn là một quyết định kinh doanh khôn ngoan. Tuy nhiên, nhà đầu tư cũng cần hiểu rằng dòng tiền được kỳ vọng trong một kỳ tương lai giờ đây đã được thu về, và dòng tiền vào này nên được xem là không bền vững. Trong phần này, chúng ta bước vào một lãnh địa tội lỗi hơn. Chúng ta sẽ gặp một thủ thuật tuyệt mật khác đang được thực hiện trong các phòng thí nghiệm </w:t>
      </w:r>
      <w:r>
        <w:rPr>
          <w:b w:val="0"/>
          <w:i/>
        </w:rPr>
        <w:t>Twins</w:t>
      </w:r>
      <w:r>
        <w:rPr>
          <w:b w:val="0"/>
          <w:i w:val="0"/>
        </w:rPr>
        <w:t xml:space="preserve"> của các công ty: giả mạo việc bán các khoản phải thu.</w:t>
      </w:r>
    </w:p>
    <w:p>
      <w:pPr>
        <w:pStyle w:val="Heading5"/>
      </w:pPr>
      <w:r>
        <w:rPr>
          <w:rFonts w:ascii="Calibri" w:hAnsi="Calibri"/>
          <w:b/>
          <w:i/>
          <w:sz w:val="22"/>
        </w:rPr>
        <w:t>Bán các Khoản phải thu Giả tạo—vụ “Watergate” của các Thủ thuật Gian lận</w:t>
      </w:r>
    </w:p>
    <w:p>
      <w:pPr>
        <w:spacing w:after="80"/>
      </w:pPr>
      <w:r>
        <w:rPr>
          <w:b w:val="0"/>
          <w:i w:val="0"/>
        </w:rPr>
        <w:t xml:space="preserve">Tổng thống Nixon đã từ chức trong ô nhục vì cố gắng che đậy vụ đột nhập vào Khách sạn Watergate. Bằng chứng “khẩu súng còn khói” (smoking gun) rõ ràng nằm trong một đoạn dài 18½ phút của bản ghi âm Nhà Trắng đã được xóa một cách thuận tiện để che đậy tội ác. Tương tự, Peregrine Systems đã sử dụng một sự che đậy thuận tiện để giấu gian lận kế toán của mình. Như chúng ta đã thảo luận trong Chương 4, “Thủ thuật Gian lận Số 2: Ghi nhận Doanh thu Giả mạo,” Peregrine đã thổi phồng doanh thu của mình trong những năm dẫn đến vụ phá sản năm 2002, sử dụng các thủ thuật lừa dối như ghi nhận doanh thu giả mạo và tham gia vào các giao dịch có đi có lại. Doanh thu giả mạo này dẫn đến các khoản phải thu phình to trên Bảng Cân đối Kế toán mà sẽ không bao giờ được thu hồi. Peregrine trở nên lo lắng rằng các khoản phải thu phình to này sẽ trở thành bằng chứng “khẩu súng còn khói” cho doanh thu giả mạo của mình. Vậy nên sự che đậy bắt đầu một cách nghiêm túc với </w:t>
      </w:r>
      <w:r>
        <w:rPr>
          <w:b w:val="0"/>
          <w:i/>
        </w:rPr>
        <w:t>việc bán giả mạo các khoản phải thu</w:t>
      </w:r>
      <w:r>
        <w:rPr>
          <w:b w:val="0"/>
          <w:i w:val="0"/>
        </w:rPr>
        <w:t>.</w:t>
      </w:r>
    </w:p>
    <w:p>
      <w:pPr>
        <w:spacing w:after="80"/>
      </w:pPr>
      <w:r>
        <w:rPr>
          <w:b w:val="0"/>
          <w:i w:val="0"/>
        </w:rPr>
        <w:t xml:space="preserve">Trong sự che đậy này, Peregrine đã chuyển các khoản phải thu của mình cho một ngân hàng để đổi lấy tiền mặt; tuy nhiên, rủi ro tổn thất thu hồi vẫn thuộc về Peregrine. Tất nhiên, rủi ro thu hồi đó là rất lớn, bởi vì </w:t>
      </w:r>
      <w:r>
        <w:rPr>
          <w:b w:val="0"/>
          <w:i/>
        </w:rPr>
        <w:t>không hề có khách hàng nào</w:t>
      </w:r>
      <w:r>
        <w:rPr>
          <w:b w:val="0"/>
          <w:i w:val="0"/>
        </w:rPr>
        <w:t>—nhiều giao dịch bán liên quan là giả mạo. Vì rủi ro tổn thất chưa được chuyển giao, Peregrine vẫn phải chịu trách nhiệm hoàn trả tiền mặt cho ngân hàng khi các khoản phải thu tất yếu không được thu hồi.</w:t>
      </w:r>
    </w:p>
    <w:p>
      <w:pPr>
        <w:spacing w:after="80"/>
      </w:pPr>
      <w:r>
        <w:rPr>
          <w:b w:val="0"/>
          <w:i w:val="0"/>
        </w:rPr>
        <w:t xml:space="preserve">Vì các khoản phải thu chưa bao giờ thực sự được chuyển giao, khía cạnh kinh tế của giao dịch này sẽ giống như một khoản vay có thế chấp (collateralized loan) hơn, đúng như chúng ta đã thấy với Delphi trước đó trong chương này. Peregrine đã vay tiền từ ngân hàng và dùng các khoản phải thu làm tài sản thế chấp. Trên Báo cáo Lưu chuyển Tiền tệ, giao dịch này nên được trình bày như một dòng tiền vào từ </w:t>
      </w:r>
      <w:r>
        <w:rPr>
          <w:b w:val="0"/>
          <w:i/>
        </w:rPr>
        <w:t>Hoạt động Tài chính</w:t>
      </w:r>
      <w:r>
        <w:rPr>
          <w:b w:val="0"/>
          <w:i w:val="0"/>
        </w:rPr>
        <w:t xml:space="preserve">. Tuy nhiên, Peregrine đã phớt lờ thực tế kinh tế của tình huống. Thay vào đó, công ty ghi nhận giao dịch như việc bán các khoản phải thu và trơ trẽn báo cáo số tiền mặt nhận được như một dòng tiền vào từ </w:t>
      </w:r>
      <w:r>
        <w:rPr>
          <w:b w:val="0"/>
          <w:i/>
        </w:rPr>
        <w:t>Hoạt động Kinh doanh</w:t>
      </w:r>
      <w:r>
        <w:rPr>
          <w:b w:val="0"/>
          <w:i w:val="0"/>
        </w:rPr>
        <w:t>.</w:t>
      </w:r>
    </w:p>
    <w:p>
      <w:pPr>
        <w:spacing w:after="80"/>
      </w:pPr>
      <w:r>
        <w:rPr>
          <w:b/>
          <w:i/>
        </w:rPr>
        <w:t>Hãy Chú ý Cẩn thận đến Những Thay đổi trong Công bố về các Yếu tố Rủi ro</w:t>
      </w:r>
      <w:r>
        <w:rPr>
          <w:b w:val="0"/>
          <w:i w:val="0"/>
        </w:rPr>
        <w:t xml:space="preserve"> Nhiều nhà đầu tư bỏ qua phần “Yếu tố Rủi ro” (Risk Factor) trong các hồ sơ của công ty vì nó có vẻ như là văn bản pháp lý khuôn mẫu. </w:t>
      </w:r>
      <w:r>
        <w:rPr>
          <w:b w:val="0"/>
          <w:i/>
        </w:rPr>
        <w:t>Cảnh báo cho nhà đầu tư:</w:t>
      </w:r>
      <w:r>
        <w:rPr>
          <w:b w:val="0"/>
          <w:i w:val="0"/>
        </w:rPr>
        <w:t xml:space="preserve"> hãy bỏ qua các yếu tố rủi ro với rủi ro của chính bạn. Mặc dù phần lớn văn bản có thể giống nhau từ quý này sang quý khác, nhà đầu tư nên cẩn thận cố gắng xác định những </w:t>
      </w:r>
      <w:r>
        <w:rPr>
          <w:b w:val="0"/>
          <w:i/>
        </w:rPr>
        <w:t>thay đổi</w:t>
      </w:r>
      <w:r>
        <w:rPr>
          <w:b w:val="0"/>
          <w:i w:val="0"/>
        </w:rPr>
        <w:t xml:space="preserve"> trong cách diễn đạt. Nếu các rủi ro mới đã được thêm vào hoặc những rủi ro đã được liệt kê trước đó đã bị thay đổi, thì sự thay đổi đó được công ty hoặc kiểm toán viên của công ty coi là đáng để công bố, và bạn cần biết về điều đó.</w:t>
      </w:r>
    </w:p>
    <w:p>
      <w:pPr>
        <w:spacing w:after="80"/>
      </w:pPr>
      <w:r>
        <w:rPr>
          <w:b w:val="0"/>
          <w:i w:val="0"/>
        </w:rPr>
        <w:t>Ví dụ, vào năm 2001, một năm trước khi Peregrine sụp đổ trong gian lận, công ty đã chèn một công bố yếu tố rủi ro mới quan trọng mà lẽ ra phải đánh thức nhà đầu tư khỏi giấc ngủ của họ. Peregrine đã thay đổi công bố yếu tố rủi ro của mình hai lần, lần đầu vào tháng 6 năm 2001 và sau đó một lần nữa vào tháng 12 năm 2001. Công bố mới vào tháng 6 năm 2001 thông báo cho người đọc rằng Peregrine đang tham gia vào các thỏa thuận tài chính khách hàng mới, bao gồm các giải pháp cho vay tài chính và cho thuê. Nó cũng báo cáo rằng một số khách hàng đang không thực hiện được các nghĩa vụ của họ. Chỉ riêng việc công bố này lọt vào phần yếu tố rủi ro cũng cho bạn biết nó hẳn phải rất quan trọng.</w:t>
      </w:r>
    </w:p>
    <w:p>
      <w:pPr>
        <w:spacing w:after="80"/>
      </w:pPr>
      <w:r>
        <w:rPr>
          <w:b w:val="0"/>
          <w:i w:val="0"/>
        </w:rPr>
        <w:t>CÔNG BỐ YẾU TỐ RỦI RO MỚI CỦA PEREGRINE VÀO THÁNG 6 NĂM 2001</w:t>
      </w:r>
    </w:p>
    <w:p>
      <w:pPr>
        <w:spacing w:after="80"/>
      </w:pPr>
      <w:r>
        <w:rPr>
          <w:b w:val="0"/>
          <w:i w:val="0"/>
        </w:rPr>
        <w:t>Ngoài ra, các yếu tố khác, bao gồm cả những yếu tố gián tiếp phát sinh từ bối cảnh kinh tế vĩ mô, cũng có thể gây ảnh hưởng tiêu cực đến kết quả hoạt động của chúng ta trong một hoặc nhiều quý. Ví dụ, trong môi trường kinh tế hiện tại, chúng ta đã chứng kiến nhu cầu gia tăng từ một số khách hàng đối với dịch vụ tài trợ khách hàng, bao gồm tài trợ cho vay và các giải pháp cho thuê. Chúng ta kỳ vọng nhu cầu tài trợ khách hàng này sẽ tiếp tục, và chúng ta đã tham gia vào hoạt động tài trợ khách hàng khi chúng ta tin rằng đó là một yếu tố cạnh tranh để giành được hợp đồng. Mặc dù chúng ta đã có các chương trình giám sát và giảm thiểu các rủi ro liên quan, không có gì đảm bảo rằng những chương trình đó sẽ hiệu quả trong việc giảm thiểu rủi ro tín dụng liên quan. Chúng ta đã từng chịu tổn thất do khách hàng không thực hiện được nghĩa vụ của mình. Những tổn thất trong tương lai, nếu xảy ra, có thể gây hại cho hoạt động kinh doanh của chúng ta và có ảnh hưởng tiêu cực trọng yếu đến kết quả hoạt động và tình hình tài chính của chúng ta.</w:t>
      </w:r>
    </w:p>
    <w:p>
      <w:pPr>
        <w:spacing w:after="80"/>
      </w:pPr>
      <w:r>
        <w:rPr>
          <w:b w:val="0"/>
          <w:i w:val="0"/>
        </w:rPr>
        <w:t>Sau đó, vào tháng 12 năm 2001, Peregrine thêm một câu ngắn vào cuối phần công bố thông tin mới từ giai đoạn tháng 6. Dù chỉ vỏn vẹn 12 từ, nó đọc lên như một hồi chuông báo động khẩn cấp:</w:t>
      </w:r>
    </w:p>
    <w:p>
      <w:pPr>
        <w:spacing w:after="80"/>
      </w:pPr>
      <w:r>
        <w:rPr>
          <w:b w:val="0"/>
          <w:i w:val="0"/>
        </w:rPr>
        <w:t>CÔNG BỐ YẾU TỐ RỦI RO MỚI CỦA PEREGRINE VÀO THÁNG 12 NĂM 2001</w:t>
      </w:r>
    </w:p>
    <w:p>
      <w:pPr>
        <w:spacing w:after="80"/>
      </w:pPr>
      <w:r>
        <w:rPr>
          <w:b w:val="0"/>
          <w:i w:val="0"/>
        </w:rPr>
        <w:t>Công ty đôi khi có thể chuyển nhượng một số số dư phải thu khách hàng nhất định mà không có quyền truy đòi.</w:t>
      </w:r>
    </w:p>
    <w:p>
      <w:pPr>
        <w:spacing w:after="80"/>
      </w:pPr>
      <w:r>
        <w:rPr>
          <w:b w:val="0"/>
          <w:i w:val="0"/>
        </w:rPr>
        <w:t>Peregrine không chỉ đang tìm cách mới để cung cấp tài chính cho khách hàng; công ty còn đang cố gắng bán các khoản phải thu của mình. Tính chất khó hiểu của câu mới này, cùng với việc công bố thông tin một cách kín đáo trong phần yếu tố rủi ro mà không hề đề cập ở bất kỳ nơi nào khác, là cực kỳ đáng lo ngại. Peregrine rõ ràng đang che giấu điều gì đó lớn lao khỏi nhà đầu tư và cố gắng chỉ tuân thủ ở mức tối thiểu các yêu cầu công bố thông tin.</w:t>
      </w:r>
    </w:p>
    <w:p>
      <w:pPr>
        <w:spacing w:after="80"/>
      </w:pPr>
      <w:r>
        <w:rPr>
          <w:b w:val="0"/>
          <w:i w:val="0"/>
        </w:rPr>
        <w:t>MẸO</w:t>
      </w:r>
    </w:p>
    <w:p>
      <w:pPr>
        <w:spacing w:after="80"/>
      </w:pPr>
      <w:r>
        <w:rPr>
          <w:b w:val="0"/>
          <w:i w:val="0"/>
        </w:rPr>
        <w:t>Rất đáng để bạn dành thời gian tìm kiếm những thay đổi trong phần công bố thông tin mỗi quý, đặc biệt là ở những phần quan trọng nhất của hồ sơ. Hầu hết các nền tảng nghiên cứu và phần mềm xử lý văn bản đều có chức năng "so sánh từ" hoặc "blackline". Việc xem xét cả hai hồ sơ cạnh nhau không hề rườm rà như bạn tưởng.</w:t>
      </w:r>
    </w:p>
    <w:p>
      <w:pPr>
        <w:pStyle w:val="Heading5"/>
      </w:pPr>
      <w:r>
        <w:rPr>
          <w:rFonts w:ascii="Calibri" w:hAnsi="Calibri"/>
          <w:b/>
          <w:i/>
          <w:sz w:val="22"/>
        </w:rPr>
        <w:t>Computer Associates Đưa Ra Một "Quyết Định" Kế Toán</w:t>
      </w:r>
    </w:p>
    <w:p>
      <w:pPr>
        <w:spacing w:after="80"/>
      </w:pPr>
      <w:r>
        <w:rPr>
          <w:b w:val="0"/>
          <w:i w:val="0"/>
        </w:rPr>
        <w:t>Báo cáo 10-K năm 2000 của Computer Associates tiết lộ rằng một trong những nguồn dòng tiền hoạt động chính trong năm đó đến từ "quyết định" của công ty trong quý thứ tư về việc chuyển nhượng các khoản phải thu cho một bên thứ ba. Không có thêm chi tiết nào được cung cấp. Nhà đầu tư không được cho biết bất kỳ thông tin chi tiết nào về thỏa thuận, cơ chế của việc "chuyển nhượng", hay mức độ ảnh hưởng.</w:t>
      </w:r>
    </w:p>
    <w:p>
      <w:pPr>
        <w:spacing w:after="80"/>
      </w:pPr>
      <w:r>
        <w:rPr>
          <w:b w:val="0"/>
          <w:i w:val="0"/>
        </w:rPr>
        <w:t>CÔNG BỐ THÔNG TIN VỀ KHOẢN PHẢI THU CỦA COMPUTER ASSOCIATES TRONG BÁO CÁO 10-K NĂM 2000</w:t>
      </w:r>
    </w:p>
    <w:p>
      <w:pPr>
        <w:spacing w:after="80"/>
      </w:pPr>
      <w:r>
        <w:rPr>
          <w:b w:val="0"/>
          <w:i w:val="0"/>
        </w:rPr>
        <w:t xml:space="preserve">Nguồn tiền mặt chính trong năm là thu nhập ròng cao hơn sau khi điều chỉnh các khoản mục phi tiền mặt. Các nguồn tiền mặt khác bao gồm việc thu hồi mạnh các khoản phải thu khách hàng chưa thanh toán và </w:t>
      </w:r>
      <w:r>
        <w:rPr>
          <w:b w:val="0"/>
          <w:i/>
        </w:rPr>
        <w:t>quyết định của Công ty, trong quý thứ tư, về việc chuyển nhượng một số khoản phải thu trả góp hiện có được chọn lọc cho một bên thứ ba</w:t>
      </w:r>
      <w:r>
        <w:rPr>
          <w:b w:val="0"/>
          <w:i w:val="0"/>
        </w:rPr>
        <w:t>. Công ty có thể tiếp tục khám phá việc sử dụng các công ty tài chính như một phương tiện để đẩy nhanh việc giảm nợ, giảm thiểu rủi ro lãi suất và giảm số dư phải thu trả góp. [In nghiêng được thêm vào để nhấn mạnh]</w:t>
      </w:r>
    </w:p>
    <w:p>
      <w:pPr>
        <w:spacing w:after="80"/>
      </w:pPr>
      <w:r>
        <w:rPr>
          <w:b w:val="0"/>
          <w:i w:val="0"/>
        </w:rPr>
        <w:t>Nhớ lại từ Chương 3, "Thủ Thuật Thao Túng Lợi Nhuận Số 1: Ghi Nhận Doanh Thu Quá Sớm", rằng SEC đã buộc tội Computer Associates (CA) ghi nhận doanh thu sớm hơn hơn 3,3 tỷ đô la từ năm 1998 đến 2000. Vậy thì, giống như Peregrine, CA cần một màn che đậy để giấu đi doanh thu giả tạo này. CA tìm được một cách bằng việc đẩy các khoản phải thu đi, và công ty dường như cố gắng giữ kín việc chuyển nhượng đó. Bất cứ khi nào các công ty công bố rằng một thỏa thuận mới đầy bí ẩn nào đó là động lực thúc đẩy CFFO (hay bất kỳ chỉ số quan trọng nào khác), nhà đầu tư nên tìm hiểu cơ chế của thỏa thuận đó. Chỉ những thay đổi đáng kể mới đòi hỏi phải công bố thông tin mới, nên khi bạn nhận thấy điều gì đó mới, hãy coi đó là chuyện lớn. Ở mức độ lành tính nhất, nó có thể chỉ đơn thuần là một lợi ích không thường xuyên nhưng có thể quan trọng đối với phân tích của bạn. Tuy nhiên, ở mức độ nghiêm trọng nhất (nghĩ đến CA), nó có thể là một lá cờ đỏ báo hiệu một sự bất chính lớn.</w:t>
      </w:r>
    </w:p>
    <w:p>
      <w:pPr>
        <w:pStyle w:val="Heading5"/>
      </w:pPr>
      <w:r>
        <w:rPr>
          <w:rFonts w:ascii="Calibri" w:hAnsi="Calibri"/>
          <w:b/>
          <w:i/>
          <w:sz w:val="22"/>
        </w:rPr>
        <w:t>Có Truy Đòi hay Không Truy Đòi?</w:t>
      </w:r>
    </w:p>
    <w:p>
      <w:pPr>
        <w:spacing w:after="80"/>
      </w:pPr>
      <w:r>
        <w:rPr>
          <w:b w:val="0"/>
          <w:i w:val="0"/>
        </w:rPr>
        <w:t>Khi một công ty bán các khoản phải thu của mình, thông thường họ thực hiện theo thỏa thuận "không truy đòi", nghĩa là rủi ro khách hàng vỡ nợ được chuyển sang cho người mua (thường là một tổ chức tài chính). Trong trường hợp các khoản phải thu được bán trên cơ sở "không truy đòi", số tiền mặt nhận được được xem là dòng tiền vào từ hoạt động kinh doanh. Ngược lại, trong trường hợp người bán vẫn giữ một phần rủi ro tín dụng ("có truy đòi"), giao dịch được coi là một hình thức đi vay, và số tiền mặt nhận được được phân loại là dòng tiền vào từ hoạt động tài chính, không ảnh hưởng đến dòng tiền hoạt động. Trong các thỏa thuận có truy đòi này, dòng tiền hoạt động và dòng tiền tự do không bị ảnh hưởng.</w:t>
      </w:r>
    </w:p>
    <w:p>
      <w:pPr>
        <w:spacing w:after="80"/>
      </w:pPr>
      <w:r>
        <w:rPr>
          <w:b w:val="0"/>
          <w:i w:val="0"/>
        </w:rPr>
        <w:t>Đôi khi các công ty bị nhầm lẫn và đưa tiền mặt nhận được vào phần dòng tiền từ hoạt động kinh doanh mặc dù rủi ro tín dụng vẫn còn và đáng lẽ phải được phân loại đúng vào phần Hoạt động tài chính. Đó là trường hợp của Zoomlion, một nhà sản xuất thiết bị xây dựng của Trung Quốc, khi công ty tuyên bố đã bán các khoản phải thu trên cơ sở không truy đòi (do đó đưa 5,2 tỷ RMB tiền thu được vào phần dòng tiền hoạt động), trong khi thực tế công ty vẫn giữ một phần rủi ro tín dụng. Cụ thể, các nhà phân tích tinh ý sẽ nhận ra rằng Zoomlion đã công bố nghĩa vụ mua lại thiết bị từ các tổ chức tài chính đã thu hồi thiết bị do khách hàng vỡ nợ. (Xem chú thích bên dưới trong Báo cáo Thường niên năm 2014 của công ty.) Mặc dù Zoomlion không trực tiếp chịu trách nhiệm về các khoản nợ xấu, cam kết mua lại buộc công ty phải cung cấp tiền mặt nếu các khoản nợ trở nên xấu. Theo quan điểm của chúng tôi, điều này tương đương với việc cung cấp quyền truy đòi, chỉ là theo một cách phức tạp hơn.</w:t>
      </w:r>
    </w:p>
    <w:p>
      <w:pPr>
        <w:spacing w:after="80"/>
      </w:pPr>
      <w:r>
        <w:rPr>
          <w:b w:val="0"/>
          <w:i w:val="0"/>
        </w:rPr>
        <w:t>BÁO CÁO THƯỜNG NIÊN NĂM 2014 CỦA ZOOMLION</w:t>
      </w:r>
    </w:p>
    <w:p>
      <w:pPr>
        <w:spacing w:after="80"/>
      </w:pPr>
      <w:r>
        <w:rPr>
          <w:b w:val="0"/>
          <w:i w:val="0"/>
        </w:rPr>
        <w:t xml:space="preserve">Trong năm kết thúc vào 2014, các khoản phải thu thương mại trị giá 5.197 triệu RMB (2013: 2.021 triệu RMB) đã được bán cho các ngân hàng và tổ chức tài chính khác theo phương thức miễn truy đòi (without recourse), và do đó đã được ghi giảm. Theo thỏa thuận bao thanh toán miễn truy đòi, Tập đoàn đã </w:t>
      </w:r>
      <w:r>
        <w:rPr>
          <w:b w:val="0"/>
          <w:i/>
        </w:rPr>
        <w:t>đồng ý mua lại thiết bị theo giá trị hợp lý từ các ngân hàng và tổ chức tài chính khác mà Tập đoàn trước đó đã bán các khoản phải thu cho họ, khi các ngân hàng hoặc tổ chức tài chính đó thu hồi thiết bị</w:t>
      </w:r>
      <w:r>
        <w:rPr>
          <w:b w:val="0"/>
          <w:i w:val="0"/>
        </w:rPr>
        <w:t xml:space="preserve"> theo các hợp đồng mua bán thiết bị liên quan. [Phần in nghiêng được thêm vào để nhấn mạnh]</w:t>
      </w:r>
    </w:p>
    <w:p>
      <w:pPr>
        <w:pStyle w:val="Heading3"/>
      </w:pPr>
      <w:r>
        <w:rPr>
          <w:rFonts w:ascii="Calibri" w:hAnsi="Calibri"/>
          <w:b/>
          <w:i w:val="0"/>
          <w:sz w:val="26"/>
        </w:rPr>
        <w:t>Nhìn về phía trước</w:t>
      </w:r>
    </w:p>
    <w:p>
      <w:pPr>
        <w:spacing w:after="80"/>
      </w:pPr>
      <w:r>
        <w:rPr>
          <w:b w:val="0"/>
          <w:i w:val="0"/>
        </w:rPr>
        <w:t>Một cách tinh vi thứ hai mà ban lãnh đạo có thể thổi phồng dòng tiền hoạt động là đẩy một phần "những thứ xấu" (tức là các dòng tiền ra) từ phần Hoạt động sang một chỗ khác trên Báo cáo Lưu chuyển Tiền tệ. Chương tiếp theo sẽ cho thấy việc chuyển những dòng tiền ra này sang phần Đầu tư ít bị soi xét hơn dễ dàng đến mức nào.</w:t>
      </w:r>
    </w:p>
    <w:p>
      <w:pPr>
        <w:pStyle w:val="Heading2"/>
      </w:pPr>
      <w:r>
        <w:rPr>
          <w:rFonts w:ascii="Calibri" w:hAnsi="Calibri"/>
          <w:b/>
          <w:i w:val="0"/>
          <w:sz w:val="32"/>
        </w:rPr>
        <w:t>11</w:t>
      </w:r>
    </w:p>
    <w:p>
      <w:pPr>
        <w:pStyle w:val="Heading2"/>
      </w:pPr>
      <w:r>
        <w:rPr>
          <w:rFonts w:ascii="Calibri" w:hAnsi="Calibri"/>
          <w:b/>
          <w:i w:val="0"/>
          <w:sz w:val="32"/>
        </w:rPr>
        <w:t>Chiêu trò Dòng tiền số 2: Chuyển Dòng tiền Ra từ Hoạt động sang Các Phần Khác</w:t>
      </w:r>
    </w:p>
    <w:p>
      <w:pPr>
        <w:spacing w:after="80"/>
      </w:pPr>
      <w:r>
        <w:rPr>
          <w:b w:val="0"/>
          <w:i w:val="0"/>
        </w:rPr>
        <w:t>Jimmy Hoffa, ông trùm tham nhũng của Liên đoàn Công nhân Vận tải (Teamsters Union), rời một nhà hàng ở Detroit vào ngày 30 tháng 7 năm 1975 và biến mất không dấu vết. Nhiều người tin rằng ông đã bị "thủ tiêu" trong một vụ thanh toán của băng đảng; thế nhưng dù đã tìm kiếm suốt 35 năm qua, FBI vẫn không thể tìm ra hài cốt của ông. Những truyền thuyết đô thị lan truyền khắp nơi, đưa ra nhiều lời kể khác nhau về nơi an nghỉ cuối cùng của ông, bao gồm một bãi rác ở New Jersey, một nhà máy vệ sinh ở Michigan, vùng Everglades ở Florida, và thậm chí cả (sân cũ) Giants Stadium. Chỉ có một điều chắc chắn: kẻ đã chôn Jimmy Hoffa không muốn ông bị tìm thấy.</w:t>
      </w:r>
    </w:p>
    <w:p>
      <w:pPr>
        <w:spacing w:after="80"/>
      </w:pPr>
      <w:r>
        <w:rPr>
          <w:b w:val="0"/>
          <w:i w:val="0"/>
        </w:rPr>
        <w:t>Giống như những kẻ xử lý Hoffa, nhiều công ty có một bãi chôn lấp bí mật cho những dòng tiền ra khó chịu mà họ không muốn ai tìm thấy. Nơi đó được gọi là phần Đầu tư trên Báo cáo Lưu chuyển Tiền tệ. Các công ty đã tìm ra vô số cách tinh vi để đổ những dòng tiền ra thông thường từ hoạt động vào phần Đầu tư, với hy vọng rằng những dòng tiền ra đó sẽ biến mất mãi mãi. Và hầu hết nhà đầu tư, cũng giống như FBI trong cuộc truy tìm Jimmy Hoffa, dường như có rất ít manh mối về nơi cần tìm.</w:t>
      </w:r>
    </w:p>
    <w:p>
      <w:pPr>
        <w:spacing w:after="80"/>
      </w:pPr>
      <w:r>
        <w:rPr>
          <w:b w:val="0"/>
          <w:i w:val="0"/>
        </w:rPr>
        <w:t>Thật không may, dù chúng tôi không thể giúp gì cho FBI trong việc tìm kiếm Hoffa, nhưng chắc chắn có thể giúp nhà đầu tư tìm ra manh mối về nơi ẩn náu của những dòng tiền ra bị giấu kín. Chương này sẽ chỉ cho bạn chính xác nơi cần tìm. Chúng tôi sẽ chỉ cho bạn cách phát hiện những dòng tiền ra mà ban lãnh đạo thích chôn giấu trong phần Đầu tư, dù chúng có vẻ giống những dòng tiền ra liên quan đến hoạt động hơn. Và chúng ta sẽ thảo luận bốn kỹ thuật chính mà các công ty dùng để chuyển những dòng tiền ra từ hoạt động này sang phần Đầu tư.</w:t>
      </w:r>
    </w:p>
    <w:p>
      <w:pPr>
        <w:pStyle w:val="Heading3"/>
      </w:pPr>
      <w:r>
        <w:rPr>
          <w:rFonts w:ascii="Calibri" w:hAnsi="Calibri"/>
          <w:b/>
          <w:i w:val="0"/>
          <w:sz w:val="26"/>
        </w:rPr>
        <w:t>Các Kỹ thuật Chuyển Dòng tiền Ra sang Các Phần Khác</w:t>
      </w:r>
    </w:p>
    <w:p>
      <w:pPr>
        <w:spacing w:after="80"/>
      </w:pPr>
      <w:r>
        <w:rPr>
          <w:b w:val="0"/>
          <w:i w:val="0"/>
        </w:rPr>
        <w:t>1. Thổi phồng CFFO bằng các giao dịch boomerang</w:t>
      </w:r>
    </w:p>
    <w:p>
      <w:pPr>
        <w:spacing w:after="80"/>
      </w:pPr>
      <w:r>
        <w:rPr>
          <w:b w:val="0"/>
          <w:i w:val="0"/>
        </w:rPr>
        <w:t>2. Vốn hóa sai các chi phí hoạt động thông thường</w:t>
      </w:r>
    </w:p>
    <w:p>
      <w:pPr>
        <w:spacing w:after="80"/>
      </w:pPr>
      <w:r>
        <w:rPr>
          <w:b w:val="0"/>
          <w:i w:val="0"/>
        </w:rPr>
        <w:t>3. Ghi nhận việc mua hàng tồn kho như một dòng tiền ra từ đầu tư</w:t>
      </w:r>
    </w:p>
    <w:p>
      <w:pPr>
        <w:spacing w:after="80"/>
      </w:pPr>
      <w:r>
        <w:rPr>
          <w:b w:val="0"/>
          <w:i w:val="0"/>
        </w:rPr>
        <w:t>4. Chuyển dòng tiền ra từ hoạt động ra khỏi Báo cáo Lưu chuyển Tiền tệ</w:t>
      </w:r>
    </w:p>
    <w:p>
      <w:pPr>
        <w:spacing w:after="80"/>
      </w:pPr>
      <w:r>
        <w:rPr>
          <w:b w:val="0"/>
          <w:i w:val="0"/>
        </w:rPr>
        <w:t>Cả bốn phương pháp đều là ví dụ về những cách mà các công ty dùng để thổi phồng dòng tiền từ hoạt động (CFFO) bằng cách đổ các chi phí hoạt động thông thường vào phần Đầu tư, như thể hiện trong Hình 11-1.</w:t>
      </w:r>
    </w:p>
    <w:p>
      <w:pPr>
        <w:spacing w:after="80"/>
      </w:pPr>
      <w:r>
        <w:rPr>
          <w:b/>
          <w:i w:val="0"/>
        </w:rPr>
        <w:t>Hình 11-1</w:t>
      </w:r>
    </w:p>
    <w:p>
      <w:pPr>
        <w:jc w:val="center"/>
      </w:pPr>
      <w:r>
        <w:drawing>
          <wp:inline xmlns:a="http://schemas.openxmlformats.org/drawingml/2006/main" xmlns:pic="http://schemas.openxmlformats.org/drawingml/2006/picture">
            <wp:extent cx="5486400" cy="2128296"/>
            <wp:docPr id="37" name="Picture 37"/>
            <wp:cNvGraphicFramePr>
              <a:graphicFrameLocks noChangeAspect="1"/>
            </wp:cNvGraphicFramePr>
            <a:graphic>
              <a:graphicData uri="http://schemas.openxmlformats.org/drawingml/2006/picture">
                <pic:pic>
                  <pic:nvPicPr>
                    <pic:cNvPr id="0" name="00008.jpeg"/>
                    <pic:cNvPicPr/>
                  </pic:nvPicPr>
                  <pic:blipFill>
                    <a:blip r:embed="rId45"/>
                    <a:stretch>
                      <a:fillRect/>
                    </a:stretch>
                  </pic:blipFill>
                  <pic:spPr>
                    <a:xfrm>
                      <a:off x="0" y="0"/>
                      <a:ext cx="5486400" cy="2128296"/>
                    </a:xfrm>
                    <a:prstGeom prst="rect"/>
                  </pic:spPr>
                </pic:pic>
              </a:graphicData>
            </a:graphic>
          </wp:inline>
        </w:drawing>
      </w:r>
    </w:p>
    <w:p>
      <w:pPr>
        <w:pStyle w:val="Heading4"/>
      </w:pPr>
      <w:r>
        <w:rPr>
          <w:rFonts w:ascii="Calibri" w:hAnsi="Calibri"/>
          <w:b/>
          <w:i w:val="0"/>
          <w:sz w:val="23"/>
        </w:rPr>
        <w:t>1. Thổi phồng CFFO bằng các Giao dịch Boomerang</w:t>
      </w:r>
    </w:p>
    <w:p>
      <w:pPr>
        <w:spacing w:after="80"/>
      </w:pPr>
      <w:r>
        <w:rPr>
          <w:b w:val="0"/>
          <w:i w:val="0"/>
        </w:rPr>
        <w:t>Global Crossing là một trong những công ty công nghệ "bay cao" nhất trong bong bóng dot-com thập niên 1990. Công ty đang xây dựng một mạng cáp quang ngầm dưới biển để kết nối hơn 200 thành phố trên bốn châu lục, và các nhà đầu tư có vẻ rất phấn khích trước triển vọng của nó. Tuy nhiên, khi dự án gần hoàn thành vào năm 2000 và đầu năm 2001, giới phê bình bắt đầu tự hỏi liệu Global Crossing có bao giờ bán đủ dung lượng mạng để thu hồi chi phí khổng lồ của dự án và trả hết khoản nợ khổng lồ của mình hay không.</w:t>
      </w:r>
    </w:p>
    <w:p>
      <w:pPr>
        <w:spacing w:after="80"/>
      </w:pPr>
      <w:r>
        <w:rPr>
          <w:b w:val="0"/>
          <w:i w:val="0"/>
        </w:rPr>
        <w:t>Khi bị chất vấn, Global Crossing dường như luôn có một lời phản bác tuyệt vời cho những người hoài nghi này: "Hãy nhìn số tiền mặt chúng tôi đang tạo ra kìa." Global Crossing đã ký nhiều hợp đồng lớn, trong đó họ bán dung lượng trong tương lai để lấy tiền mặt từ khách hàng trả trước—và họ có CFFO để chứng minh điều đó. Vào năm 2000, bất chấp khoản lợi nhuận âm 1,7 tỷ đô la, công ty báo cáo với nhà đầu tư dòng tiền hoạt động dương 911 triệu đô la. (Xem Bảng 11-1.)</w:t>
      </w:r>
    </w:p>
    <w:p>
      <w:pPr>
        <w:spacing w:after="80"/>
      </w:pPr>
      <w:r>
        <w:rPr>
          <w:b/>
          <w:i w:val="0"/>
        </w:rPr>
        <w:t>Bảng 11-1</w:t>
      </w:r>
      <w:r>
        <w:rPr>
          <w:b w:val="0"/>
          <w:i w:val="0"/>
        </w:rPr>
        <w:t xml:space="preserve"> Dòng tiền từ hoạt động kinh doanh của Global Crossing so với lợi nhuận ròng</w:t>
      </w:r>
    </w:p>
    <w:p>
      <w:pPr>
        <w:jc w:val="center"/>
      </w:pPr>
      <w:r>
        <w:drawing>
          <wp:inline xmlns:a="http://schemas.openxmlformats.org/drawingml/2006/main" xmlns:pic="http://schemas.openxmlformats.org/drawingml/2006/picture">
            <wp:extent cx="5486400" cy="1014340"/>
            <wp:docPr id="38" name="Picture 38"/>
            <wp:cNvGraphicFramePr>
              <a:graphicFrameLocks noChangeAspect="1"/>
            </wp:cNvGraphicFramePr>
            <a:graphic>
              <a:graphicData uri="http://schemas.openxmlformats.org/drawingml/2006/picture">
                <pic:pic>
                  <pic:nvPicPr>
                    <pic:cNvPr id="0" name="00053.jpeg"/>
                    <pic:cNvPicPr/>
                  </pic:nvPicPr>
                  <pic:blipFill>
                    <a:blip r:embed="rId46"/>
                    <a:stretch>
                      <a:fillRect/>
                    </a:stretch>
                  </pic:blipFill>
                  <pic:spPr>
                    <a:xfrm>
                      <a:off x="0" y="0"/>
                      <a:ext cx="5486400" cy="1014340"/>
                    </a:xfrm>
                    <a:prstGeom prst="rect"/>
                  </pic:spPr>
                </pic:pic>
              </a:graphicData>
            </a:graphic>
          </wp:inline>
        </w:drawing>
      </w:r>
    </w:p>
    <w:p>
      <w:pPr>
        <w:spacing w:after="80"/>
      </w:pPr>
      <w:r>
        <w:rPr>
          <w:b w:val="0"/>
          <w:i w:val="0"/>
        </w:rPr>
        <w:t>Thông thường, nhà đầu tư sẽ vô cùng vui mừng về một công ty tạo ra CFFO lớn hơn đáng kể so với lợi nhuận ròng. Thật vậy, một phần của khoản chênh lệch này được giải thích một cách hợp lý bởi các khoản tiền ứng trước nhận được từ khách hàng. Tuy nhiên, một phần đáng kể liên quan đến một kế hoạch boomerang (bumerang) để thao túng CFFO của công ty.</w:t>
      </w:r>
    </w:p>
    <w:p>
      <w:pPr>
        <w:spacing w:after="80"/>
      </w:pPr>
      <w:r>
        <w:rPr>
          <w:b w:val="0"/>
          <w:i w:val="0"/>
        </w:rPr>
        <w:t>Khi ngành công nghệ đang đối mặt với sự suy thoái, Global Crossing và các ông lớn viễn thông khác đã nghĩ ra một kế hoạch để thực chất là bán sản phẩm cho nhau và qua đó đẩy doanh thu lên. Từ góc độ kinh tế thuần túy, nó giống như lấy tiền từ túi phải bỏ vào túi trái: thực sự chẳng có gì thay đổi.</w:t>
      </w:r>
    </w:p>
    <w:p>
      <w:pPr>
        <w:spacing w:after="80"/>
      </w:pPr>
      <w:r>
        <w:rPr>
          <w:b w:val="0"/>
          <w:i w:val="0"/>
        </w:rPr>
        <w:t xml:space="preserve">Đây là cách nó hoạt động: Global Crossing bán những khối dung lượng mạng tương lai lớn cho khách hàng viễn thông. Đồng thời, công ty mua một lượng dung lượng tương đương về giá trị đô la từ chính những khách hàng này. Nói cách khác, Global Crossing sẽ bán dung lượng cho một khách hàng và </w:t>
      </w:r>
      <w:r>
        <w:rPr>
          <w:b w:val="0"/>
          <w:i/>
        </w:rPr>
        <w:t>đồng thời mua một lượng dung lượng tương tự</w:t>
      </w:r>
      <w:r>
        <w:rPr>
          <w:b w:val="0"/>
          <w:i w:val="0"/>
        </w:rPr>
        <w:t xml:space="preserve"> trên một mạng khác. Đây là một giao dịch </w:t>
      </w:r>
      <w:r>
        <w:rPr>
          <w:b w:val="0"/>
          <w:i/>
        </w:rPr>
        <w:t>boomerang</w:t>
      </w:r>
      <w:r>
        <w:rPr>
          <w:b w:val="0"/>
          <w:i w:val="0"/>
        </w:rPr>
        <w:t xml:space="preserve"> kinh điển. Bạn gần như có thể hình dung một vị lãnh đạo nào đó của Global Crossing nói với khách hàng của công ty: "Anh giúp tôi, tôi giúp anh."</w:t>
      </w:r>
    </w:p>
    <w:p>
      <w:pPr>
        <w:spacing w:after="80"/>
      </w:pPr>
      <w:r>
        <w:rPr>
          <w:b w:val="0"/>
          <w:i w:val="0"/>
        </w:rPr>
        <w:t xml:space="preserve">Vậy điều này liên quan gì đến dòng tiền? À, Global Crossing đã ghi nhận những giao dịch boomerang này theo cách thổi phồng CFFO một cách nhân tạo. Công ty ghi nhận tiền mặt nhận được từ khách hàng trong các giao dịch này như một dòng tiền vào từ hoạt động kinh doanh; tuy nhiên, tiền mặt mà công ty trả cho chính những khách hàng đó lại được ghi nhận như một dòng tiền ra từ hoạt động đầu tư. Về cơ bản, Global Crossing thổi phồng dòng tiền từ hoạt động kinh doanh bằng cách hạ thấp dòng tiền từ hoạt động đầu tư. Điều này cho phép công ty thể hiện CFFO mạnh mẽ vượt xa thực tế kinh tế của giao dịch. Việc CFFO bị phóng đại được bù đắp bởi dòng tiền từ hoạt động đầu tư bị hạ thấp chẳng quan trọng gì mấy, bởi vì </w:t>
      </w:r>
      <w:r>
        <w:rPr>
          <w:b w:val="0"/>
          <w:i/>
        </w:rPr>
        <w:t>CFFO chính là chỉ số dòng tiền then chốt mà nhà đầu tư đang tập trung vào</w:t>
      </w:r>
      <w:r>
        <w:rPr>
          <w:b w:val="0"/>
          <w:i w:val="0"/>
        </w:rPr>
        <w:t>. Chúng ta đã nhắc đến từ "chutzpah" (trơ tráo) chưa nhỉ?</w:t>
      </w:r>
    </w:p>
    <w:p>
      <w:pPr>
        <w:pStyle w:val="Heading5"/>
      </w:pPr>
      <w:r>
        <w:rPr>
          <w:rFonts w:ascii="Calibri" w:hAnsi="Calibri"/>
          <w:b/>
          <w:i/>
          <w:sz w:val="22"/>
        </w:rPr>
        <w:t>Hãy Cảnh Giác với các Giao dịch Boomerang</w:t>
      </w:r>
    </w:p>
    <w:p>
      <w:pPr>
        <w:spacing w:after="80"/>
      </w:pPr>
      <w:r>
        <w:rPr>
          <w:b w:val="0"/>
          <w:i w:val="0"/>
        </w:rPr>
        <w:t>Đây là những giao dịch rất tinh vi, khiến bạn phải đặt câu hỏi về bản chất kinh tế của các thỏa thuận này. Nhà đầu tư cẩn trọng phần lớn thời gian sẽ có thể phát hiện ra những giao dịch này; hãy tìm kiếm sự công bố về chúng trong các hồ sơ 10-Q và 10-K, nhưng đừng mong rằng các công ty sẽ dùng thuật ngữ "boomerang." Tất nhiên, các công ty sẽ khiến nhà đầu tư phải vất vả mới tìm ra chúng, chứ không dâng chúng lên đĩa bạc. Tuy nhiên, thường có rất nhiều chi tiết về những giao dịch này, đặc biệt khi chúng có quy mô đáng kể. Hãy xem xét sự công bố của Global Crossing về các giao dịch boomerang của mình trong hồ sơ 10-Q tháng 3 năm 2001.</w:t>
      </w:r>
    </w:p>
    <w:p>
      <w:pPr>
        <w:spacing w:after="80"/>
      </w:pPr>
      <w:r>
        <w:rPr>
          <w:b w:val="0"/>
          <w:i w:val="0"/>
        </w:rPr>
        <w:t>Chỉ riêng sự công bố này lẽ ra đã đủ khiến nhà đầu tư giật mình. Ở trang 11, Global Crossing công bố rằng 375 triệu đô la trong số 441 triệu đô la EBITDA của mình đến từ việc bán cho các khách hàng "mà Công ty đã thực hiện các cam kết vốn đáng kể trong quý." Trang 16 nhắc nhở người đọc rằng Global Crossing đã mua dung lượng từ khách hàng và nêu rõ rằng "các cam kết vốn mới tổng cộng ước tính 625 triệu đô la."</w:t>
      </w:r>
    </w:p>
    <w:p>
      <w:pPr>
        <w:spacing w:after="80"/>
      </w:pPr>
      <w:r>
        <w:rPr>
          <w:b w:val="0"/>
          <w:i w:val="0"/>
        </w:rPr>
        <w:t>CÔNG BỐ VỀ CÁC GIAO DỊCH BOOMERANG TRONG HỒ SƠ 10-Q THÁNG 3 NĂM 2001 CỦA GLOBAL CROSSING</w:t>
      </w:r>
    </w:p>
    <w:p>
      <w:pPr>
        <w:spacing w:after="80"/>
      </w:pPr>
      <w:r>
        <w:rPr>
          <w:b/>
          <w:i w:val="0"/>
        </w:rPr>
        <w:t>Trang 11:</w:t>
      </w:r>
      <w:r>
        <w:rPr>
          <w:b w:val="0"/>
          <w:i w:val="0"/>
        </w:rPr>
        <w:t xml:space="preserve"> Đối với quý tháng 3, 375 đô la tiền đền bù, được bao gồm trong 441 đô la Recurring Adjusted EBITDA bên dưới và trong 1.613 đô la doanh thu tiền mặt ở trên, </w:t>
      </w:r>
      <w:r>
        <w:rPr>
          <w:b w:val="0"/>
          <w:i/>
        </w:rPr>
        <w:t>được nhận từ các khách hàng Carrier quan trọng, những người đã ký hợp đồng trong quý để mua 500 đô la dung lượng trên Mạng Global Crossing, và những người mà Công ty đã thực hiện các cam kết vốn đáng kể trong quý.</w:t>
      </w:r>
      <w:r>
        <w:rPr>
          <w:b w:val="0"/>
          <w:i w:val="0"/>
        </w:rPr>
        <w:t xml:space="preserve"> [Chữ in nghiêng được thêm vào để nhấn mạnh]</w:t>
      </w:r>
    </w:p>
    <w:p>
      <w:pPr>
        <w:spacing w:after="80"/>
      </w:pPr>
      <w:r>
        <w:rPr>
          <w:b/>
          <w:i w:val="0"/>
        </w:rPr>
        <w:t>Trang 16:</w:t>
      </w:r>
      <w:r>
        <w:rPr>
          <w:b w:val="0"/>
          <w:i w:val="0"/>
        </w:rPr>
        <w:t xml:space="preserve"> Trong quý, </w:t>
      </w:r>
      <w:r>
        <w:rPr>
          <w:b w:val="0"/>
          <w:i/>
        </w:rPr>
        <w:t>Công ty cũng đã ký kết một số thỏa thuận với nhiều khách hàng Carrier khác nhau để mua dung lượng và không gian co-location.</w:t>
      </w:r>
      <w:r>
        <w:rPr>
          <w:b w:val="0"/>
          <w:i w:val="0"/>
        </w:rPr>
        <w:t xml:space="preserve"> Những giao dịch này được thực hiện nhằm mua lại các đợt mở rộng mạng lưới cục bộ hiệu quả về chi phí; nhằm cung cấp các phương án thay thế hiệu quả về chi phí cho việc xây dựng mới ở một số thị trường mà Công ty dự đoán sẽ thiếu hụt dung lượng; và nhằm cung cấp thêm các mức độ đa dạng vật lý trong mạng lưới khi Công ty triển khai kiến trúc lưới toàn cầu của mình. </w:t>
      </w:r>
      <w:r>
        <w:rPr>
          <w:b w:val="0"/>
          <w:i/>
        </w:rPr>
        <w:t>Các cam kết vốn mới này tổng cộng ước tính 625</w:t>
      </w:r>
      <w:r>
        <w:rPr>
          <w:b w:val="0"/>
          <w:i w:val="0"/>
        </w:rPr>
        <w:t>, bao gồm chi phí xây dựng khả thi của hệ thống Caribbean. [Chữ in nghiêng được thêm vào để nhấn mạnh]</w:t>
      </w:r>
    </w:p>
    <w:p>
      <w:pPr>
        <w:pStyle w:val="Heading5"/>
      </w:pPr>
      <w:r>
        <w:rPr>
          <w:rFonts w:ascii="Calibri" w:hAnsi="Calibri"/>
          <w:b/>
          <w:i/>
          <w:sz w:val="22"/>
        </w:rPr>
        <w:t>Hãy Dựng Ăng-ten Khi Bạn Thấy một Giao dịch Boomerang</w:t>
      </w:r>
    </w:p>
    <w:p>
      <w:pPr>
        <w:spacing w:after="80"/>
      </w:pPr>
      <w:r>
        <w:rPr>
          <w:b w:val="0"/>
          <w:i w:val="0"/>
        </w:rPr>
        <w:t>Một khi bạn đã nhận diện được một giao dịch boomerang, điều bắt buộc là bạn phải đào sâu và hiểu rõ bản chất kinh tế thực sự của thỏa thuận đó. Hãy tìm kiếm sự công bố thêm. Hãy gọi cho công ty và yêu cầu ban lãnh đạo giải thích thỏa thuận cho bạn. Hãy đánh giá khía cạnh kinh tế của giao dịch và hiểu cách nó đóng góp vào kết quả của công ty. Hãy cân nhắc liệu công ty có đang cố tình né tránh hoặc làm phức tạp hóa sự công bố hay không—có thể họ không muốn bạn hiểu cách các giao dịch boomerang của họ vận hành. Nếu bạn không thể thấy thoải mái với một giao dịch boomerang, hãy tránh xa công ty đó.</w:t>
      </w:r>
    </w:p>
    <w:p>
      <w:pPr>
        <w:pStyle w:val="Heading5"/>
      </w:pPr>
      <w:r>
        <w:rPr>
          <w:rFonts w:ascii="Calibri" w:hAnsi="Calibri"/>
          <w:b/>
          <w:i/>
          <w:sz w:val="22"/>
        </w:rPr>
        <w:t>Những Thủ Thuật với Chỉ Số Then Chốt</w:t>
      </w:r>
    </w:p>
    <w:p>
      <w:pPr>
        <w:spacing w:after="80"/>
      </w:pPr>
      <w:r>
        <w:rPr>
          <w:b w:val="0"/>
          <w:i w:val="0"/>
        </w:rPr>
        <w:t>Bạn có thể đang thắc mắc về những chỉ số kỳ lạ mà Global Crossing nhấn mạnh trong các đoạn trích được trình bày: “doanh thu tiền mặt” (cash revenue) và “EBITDA điều chỉnh định kỳ” (recurring adjusted EBITDA). Công ty đã sử dụng những chỉ số này trong các thông tin liên lạc với nhà đầu tư và quảng cáo chúng như là những thước đo hiệu suất tốt hơn so với doanh thu và lợi nhuận theo GAAP. Như bạn có thể hình dung, những chỉ số này được định nghĩa theo cách lách qua GAAP. Các định nghĩa này cho phép Global Crossing ghi nhận tiền mặt nhận được trong những giao dịch boomerang này — thứ không thể được công nhận hợp pháp là doanh thu cho đến tận tương lai xa. Toàn bộ khái niệm ban lãnh đạo cố tình lách qua GAAP để đánh lừa nhà đầu tư thực sự rất đáng báo động và cực kỳ quan trọng cần phải hiểu rõ. Chúng ta sẽ tiếp tục chủ đề này và bàn sâu hơn nhiều trong Phần Bốn, “Những chiêu trò với chỉ số then chốt” (Key Metric Shenanigans).</w:t>
      </w:r>
    </w:p>
    <w:p>
      <w:pPr>
        <w:pStyle w:val="Heading4"/>
      </w:pPr>
      <w:r>
        <w:rPr>
          <w:rFonts w:ascii="Calibri" w:hAnsi="Calibri"/>
          <w:b/>
          <w:i w:val="0"/>
          <w:sz w:val="23"/>
        </w:rPr>
        <w:t>2. Vốn hóa sai các chi phí hoạt động thông thường</w:t>
      </w:r>
    </w:p>
    <w:p>
      <w:pPr>
        <w:spacing w:after="80"/>
      </w:pPr>
      <w:r>
        <w:rPr>
          <w:b w:val="0"/>
          <w:i w:val="0"/>
        </w:rPr>
        <w:t>Ghi nhận chi phí hoạt động thông thường như một tài sản thay vì một khoản chi phí nghe có vẻ đơn giản, và thật lòng mà nói, nó khá dễ làm. Tuy nhiên, đây là một trong những chiêu trò đáng sợ và nguy hiểm nhất. Tại sao? Bởi vì đó là một mánh khóe đơn giản không chỉ tô vẽ lợi nhuận — mà còn thổi phồng cả dòng tiền hoạt động nữa.</w:t>
      </w:r>
    </w:p>
    <w:p>
      <w:pPr>
        <w:spacing w:after="80"/>
      </w:pPr>
      <w:r>
        <w:rPr>
          <w:b w:val="0"/>
          <w:i w:val="0"/>
        </w:rPr>
        <w:t>Không hề ngẫu nhiên khi WorldCom, kẻ gây ra một trong những vụ gian lận kế toán lớn nhất và gây sốc nhất trong lịch sử, lại là kẻ bán loại dầu rắn này. Bằng cách phân loại hàng tỷ đô la chi phí hoạt động thông thường thành các khoản mua sắm thiết bị vốn, WorldCom không chỉ thổi phồng lợi nhuận một cách giả tạo, mà còn khai khống cả CFFO của mình.</w:t>
      </w:r>
    </w:p>
    <w:p>
      <w:pPr>
        <w:spacing w:after="80"/>
      </w:pPr>
      <w:r>
        <w:rPr>
          <w:b w:val="0"/>
          <w:i w:val="0"/>
        </w:rPr>
        <w:t>MẸO</w:t>
      </w:r>
    </w:p>
    <w:p>
      <w:pPr>
        <w:spacing w:after="80"/>
      </w:pPr>
      <w:r>
        <w:rPr>
          <w:b w:val="0"/>
          <w:i w:val="0"/>
        </w:rPr>
        <w:t>Nếu bạn nghi ngờ một công ty đang hưởng lợi từ việc vốn hóa sai, đừng quên rằng dòng tiền hoạt động cũng có thể được đẩy lên.</w:t>
      </w:r>
    </w:p>
    <w:p>
      <w:pPr>
        <w:pStyle w:val="Heading5"/>
      </w:pPr>
      <w:r>
        <w:rPr>
          <w:rFonts w:ascii="Calibri" w:hAnsi="Calibri"/>
          <w:b/>
          <w:i/>
          <w:sz w:val="22"/>
        </w:rPr>
        <w:t>Ghi nhận chi phí hoạt động thông thường như một tài sản vốn thay vì một khoản chi phí</w:t>
      </w:r>
    </w:p>
    <w:p>
      <w:pPr>
        <w:spacing w:after="80"/>
      </w:pPr>
      <w:r>
        <w:rPr>
          <w:b w:val="0"/>
          <w:i w:val="0"/>
        </w:rPr>
        <w:t>Nhớ lại phần thảo luận của chúng ta về việc WorldCom đã thổi phồng lợi nhuận một cách sai trái bằng cách ghi nhận chi phí đường truyền (một khoản chi phí hoạt động rõ ràng) như một tài sản thay vì một khoản chi phí như thế nào không? Chiêu đơn giản này giúp công ty tự tô vẽ mình như một công ty sinh lời thay vì nói với nhà đầu tư rằng rắc rối đang âm ỉ.</w:t>
      </w:r>
    </w:p>
    <w:p>
      <w:pPr>
        <w:spacing w:after="80"/>
      </w:pPr>
      <w:r>
        <w:rPr>
          <w:b w:val="0"/>
          <w:i w:val="0"/>
        </w:rPr>
        <w:t>Động thái này cũng cho phép WorldCom trình bày dòng tiền hoạt động mạnh mẽ. Việc mua tài sản vốn (“chi tiêu vốn”) được phân loại trên Báo cáo Lưu chuyển Tiền tệ là hoạt động đầu tư. Bằng cách phân loại chi phí đường truyền như một tài sản vốn, WorldCom đã chuyển một dòng tiền ra rất lớn từ phần Hoạt động sang phần Đầu tư.</w:t>
      </w:r>
    </w:p>
    <w:p>
      <w:pPr>
        <w:spacing w:after="80"/>
      </w:pPr>
      <w:r>
        <w:rPr>
          <w:b w:val="0"/>
          <w:i w:val="0"/>
        </w:rPr>
        <w:t>Theo bản điều chỉnh lại của công ty, chiêu trò với chi phí đường truyền này đã thổi phồng CFFO của WorldCom thêm gần 5 tỷ đô la trong năm 2000 và 2001. Cùng với các chi phí bị vốn hóa sai khác và các khoản đẩy CFFO lên, dòng tiền hoạt động của WorldCom đã bị khai khống lên tới 8,6 tỷ đô la trong hai năm này (như thể hiện trong Bảng 11-2, chênh lệch giữa 15,7 tỷ đô la được báo cáo và 7,1 tỷ đô la sau khi điều chỉnh lại).</w:t>
      </w:r>
    </w:p>
    <w:p>
      <w:pPr>
        <w:spacing w:after="80"/>
      </w:pPr>
      <w:r>
        <w:rPr>
          <w:b/>
          <w:i w:val="0"/>
        </w:rPr>
        <w:t>Bảng 11-2</w:t>
      </w:r>
      <w:r>
        <w:rPr>
          <w:b w:val="0"/>
          <w:i w:val="0"/>
        </w:rPr>
        <w:t xml:space="preserve"> CFFO của WorldCom, Báo cáo so với Điều chỉnh lại, 2000–2001</w:t>
      </w:r>
    </w:p>
    <w:p>
      <w:pPr>
        <w:jc w:val="center"/>
      </w:pPr>
      <w:r>
        <w:drawing>
          <wp:inline xmlns:a="http://schemas.openxmlformats.org/drawingml/2006/main" xmlns:pic="http://schemas.openxmlformats.org/drawingml/2006/picture">
            <wp:extent cx="5486400" cy="1255788"/>
            <wp:docPr id="39" name="Picture 39"/>
            <wp:cNvGraphicFramePr>
              <a:graphicFrameLocks noChangeAspect="1"/>
            </wp:cNvGraphicFramePr>
            <a:graphic>
              <a:graphicData uri="http://schemas.openxmlformats.org/drawingml/2006/picture">
                <pic:pic>
                  <pic:nvPicPr>
                    <pic:cNvPr id="0" name="00028.jpeg"/>
                    <pic:cNvPicPr/>
                  </pic:nvPicPr>
                  <pic:blipFill>
                    <a:blip r:embed="rId47"/>
                    <a:stretch>
                      <a:fillRect/>
                    </a:stretch>
                  </pic:blipFill>
                  <pic:spPr>
                    <a:xfrm>
                      <a:off x="0" y="0"/>
                      <a:ext cx="5486400" cy="1255788"/>
                    </a:xfrm>
                    <a:prstGeom prst="rect"/>
                  </pic:spPr>
                </pic:pic>
              </a:graphicData>
            </a:graphic>
          </wp:inline>
        </w:drawing>
      </w:r>
    </w:p>
    <w:p>
      <w:pPr>
        <w:spacing w:after="80"/>
      </w:pPr>
      <w:r>
        <w:rPr>
          <w:b w:val="0"/>
          <w:i w:val="0"/>
        </w:rPr>
        <w:t>Trong Chương 6 (Chiêu trò EM số 4), chúng ta đã thảo luận một số cách để nhận diện các công ty đang thực hiện vốn hóa quá mức. Các giám đốc điều hành công ty không trung thực có thể tìm cách vốn hóa sai bất kỳ chi phí hoạt động thông thường nào; tuy nhiên, những khoản phổ biến nhất thường liên quan đến các thỏa thuận dài hạn, chẳng hạn như nghiên cứu và phát triển, nhân công và chi phí chung liên quan đến một dự án dài hạn, phát triển phần mềm, và chi phí để giành được hợp đồng hoặc khách hàng. Hãy theo dõi những tài khoản này để có cơ hội tốt nhất phát hiện việc vốn hóa quá mức.</w:t>
      </w:r>
    </w:p>
    <w:p>
      <w:pPr>
        <w:spacing w:after="80"/>
      </w:pPr>
      <w:r>
        <w:rPr>
          <w:b w:val="0"/>
          <w:i w:val="0"/>
        </w:rPr>
        <w:t>MẸO</w:t>
      </w:r>
    </w:p>
    <w:p>
      <w:pPr>
        <w:spacing w:after="80"/>
      </w:pPr>
      <w:r>
        <w:rPr>
          <w:b w:val="0"/>
          <w:i w:val="0"/>
        </w:rPr>
        <w:t>Các tài khoản tài sản “mềm” tăng nhanh chóng (ví dụ: “chi phí trả trước”, “tài sản khác”) có thể là dấu hiệu của việc vốn hóa quá mức.</w:t>
      </w:r>
    </w:p>
    <w:p>
      <w:pPr>
        <w:spacing w:after="80"/>
      </w:pPr>
      <w:r>
        <w:rPr>
          <w:b/>
          <w:i/>
        </w:rPr>
        <w:t>Cũng hãy chú ý đến dòng tiền tự do</w:t>
      </w:r>
      <w:r>
        <w:rPr>
          <w:b w:val="0"/>
          <w:i w:val="0"/>
        </w:rPr>
        <w:t xml:space="preserve"> Khi một công ty ghi nhận sai chi phí như một tài sản thay vì một khoản chi phí, CFFO sẽ bị khai khống. Tuy nhiên, như chúng ta đã thảo luận trong Chương 1, dòng tiền tự do có thể không bị ảnh hưởng vì nó là thước đo dòng tiền sau chi tiêu vốn. Như thể hiện trong Bảng 11-3, việc tính dòng tiền tự do tại WorldCom cho thấy mức độ nghiêm trọng của các vấn đề của công ty — sự suy giảm 6,1 tỷ đô la từ năm 1999 đến 2000.</w:t>
      </w:r>
    </w:p>
    <w:p>
      <w:pPr>
        <w:spacing w:after="80"/>
      </w:pPr>
      <w:r>
        <w:rPr>
          <w:b/>
          <w:i w:val="0"/>
        </w:rPr>
        <w:t>Bảng 11-3</w:t>
      </w:r>
      <w:r>
        <w:rPr>
          <w:b w:val="0"/>
          <w:i w:val="0"/>
        </w:rPr>
        <w:t xml:space="preserve"> Dòng tiền tự do của WorldCom</w:t>
      </w:r>
    </w:p>
    <w:p>
      <w:pPr>
        <w:jc w:val="center"/>
      </w:pPr>
      <w:r>
        <w:drawing>
          <wp:inline xmlns:a="http://schemas.openxmlformats.org/drawingml/2006/main" xmlns:pic="http://schemas.openxmlformats.org/drawingml/2006/picture">
            <wp:extent cx="5486400" cy="1011241"/>
            <wp:docPr id="40" name="Picture 40"/>
            <wp:cNvGraphicFramePr>
              <a:graphicFrameLocks noChangeAspect="1"/>
            </wp:cNvGraphicFramePr>
            <a:graphic>
              <a:graphicData uri="http://schemas.openxmlformats.org/drawingml/2006/picture">
                <pic:pic>
                  <pic:nvPicPr>
                    <pic:cNvPr id="0" name="00001.jpeg"/>
                    <pic:cNvPicPr/>
                  </pic:nvPicPr>
                  <pic:blipFill>
                    <a:blip r:embed="rId48"/>
                    <a:stretch>
                      <a:fillRect/>
                    </a:stretch>
                  </pic:blipFill>
                  <pic:spPr>
                    <a:xfrm>
                      <a:off x="0" y="0"/>
                      <a:ext cx="5486400" cy="1011241"/>
                    </a:xfrm>
                    <a:prstGeom prst="rect"/>
                  </pic:spPr>
                </pic:pic>
              </a:graphicData>
            </a:graphic>
          </wp:inline>
        </w:drawing>
      </w:r>
    </w:p>
    <w:p>
      <w:pPr>
        <w:spacing w:after="80"/>
      </w:pPr>
      <w:r>
        <w:rPr>
          <w:b w:val="0"/>
          <w:i w:val="0"/>
        </w:rPr>
        <w:t>Một số công ty cực kỳ khôn khéo đã tìm ra cách biến những khoản chi phí hoạt động thông thường từ chỗ làm hao hụt dòng tiền tự do thành những khoản gần như không tốn kém gì, cả ở hiện tại lẫn trong tương lai. Chẳng hạn, vào năm 2013, Salesforce.com bắt đầu áp dụng một thủ thuật kế toán khác thường: hạch toán một giấy phép phần mềm nhiều năm có giá trị lớn như một "hợp đồng thuê tài chính" (capital lease). Trong tất cả các năm trước đó, những loại giấy phép này đều được xử lý như chi phí hoạt động, cả trên Báo cáo Kết quả Hoạt động (Statement of Operations) lẫn trong phần Hoạt động được báo cáo của Báo cáo Lưu chuyển Tiền tệ (Statement of Cash Flows).</w:t>
      </w:r>
    </w:p>
    <w:p>
      <w:pPr>
        <w:spacing w:after="80"/>
      </w:pPr>
      <w:r>
        <w:rPr>
          <w:b w:val="0"/>
          <w:i w:val="0"/>
        </w:rPr>
        <w:t>Tuy nhiên, bằng cách phân loại hợp đồng giấy phép như một hợp đồng thuê, Salesforce.com đã chuyển phần lớn các khoản thanh toán cho nhà cung cấp phần mềm từ phần Hoạt động của Báo cáo Lưu chuyển Tiền tệ sang phần Tài chính, dưới mục "Các khoản thanh toán gốc của nghĩa vụ thuê tài chính". Dòng mục này, nằm ở vị trí áp chót của toàn bộ SCF, khó có khả năng thu hút sự chú ý của các nhà phân tích, những người sẽ nhìn thấy dòng tiền được báo cáo bị thổi phồng một cách nhân tạo lên tới hàng chục triệu đô la.</w:t>
      </w:r>
    </w:p>
    <w:p>
      <w:pPr>
        <w:spacing w:after="80"/>
      </w:pPr>
      <w:r>
        <w:rPr>
          <w:b w:val="0"/>
          <w:i w:val="0"/>
        </w:rPr>
        <w:t>Hộp Kiến thức Kế toán: Dòng tiền tự do</w:t>
      </w:r>
    </w:p>
    <w:p>
      <w:pPr>
        <w:spacing w:after="80"/>
      </w:pPr>
      <w:r>
        <w:rPr>
          <w:b w:val="0"/>
          <w:i w:val="0"/>
        </w:rPr>
        <w:t>Dòng tiền tự do (free cash flow) đo lường lượng tiền mặt mà một công ty tạo ra, bao gồm cả tác động của tiền mặt chi ra để duy trì hoặc mở rộng cơ sở tài sản của mình (tức là mua sắm thiết bị vốn). Dòng tiền tự do thường được tính như sau:</w:t>
      </w:r>
    </w:p>
    <w:p>
      <w:pPr>
        <w:spacing w:after="80"/>
      </w:pPr>
      <w:r>
        <w:rPr>
          <w:b w:val="0"/>
          <w:i w:val="0"/>
        </w:rPr>
        <w:t xml:space="preserve">Dòng tiền từ hoạt động kinh doanh </w:t>
      </w:r>
      <w:r>
        <w:rPr>
          <w:b w:val="0"/>
          <w:i/>
        </w:rPr>
        <w:t>trừ đi</w:t>
      </w:r>
      <w:r>
        <w:rPr>
          <w:b w:val="0"/>
          <w:i w:val="0"/>
        </w:rPr>
        <w:t xml:space="preserve"> chi tiêu vốn</w:t>
      </w:r>
    </w:p>
    <w:p>
      <w:pPr>
        <w:pStyle w:val="Heading4"/>
      </w:pPr>
      <w:r>
        <w:rPr>
          <w:rFonts w:ascii="Calibri" w:hAnsi="Calibri"/>
          <w:b/>
          <w:i w:val="0"/>
          <w:sz w:val="23"/>
        </w:rPr>
        <w:t>3. Ghi nhận Việc Mua Hàng tồn kho như một Dòng tiền ra từ Hoạt động Đầu tư</w:t>
      </w:r>
    </w:p>
    <w:p>
      <w:pPr>
        <w:spacing w:after="80"/>
      </w:pPr>
      <w:r>
        <w:rPr>
          <w:b w:val="0"/>
          <w:i/>
        </w:rPr>
        <w:t>Giá vốn hàng bán</w:t>
      </w:r>
      <w:r>
        <w:rPr>
          <w:b w:val="0"/>
          <w:i w:val="0"/>
        </w:rPr>
        <w:t xml:space="preserve"> (COGS) là một cái tên rất thích hợp cho các chi phí trực tiếp mà công ty phải chịu để mua hoặc sản xuất hàng tồn kho bán cho khách hàng. Trên Báo cáo Kết quả Hoạt động, COGS được trừ khỏi doanh thu để ra lợi nhuận gộp của công ty, một thước đo quan trọng về khả năng sinh lời của các sản phẩm mà công ty bán ra.</w:t>
      </w:r>
    </w:p>
    <w:p>
      <w:pPr>
        <w:spacing w:after="80"/>
      </w:pPr>
      <w:r>
        <w:rPr>
          <w:b w:val="0"/>
          <w:i w:val="0"/>
        </w:rPr>
        <w:t>Báo cáo Lưu chuyển Tiền tệ đôi khi lại không rõ ràng như vậy. Về mặt kinh tế, việc mua hàng hóa để bán cho khách hàng cho thấy những khoản mua này nên được phân loại là hoạt động kinh doanh trên Báo cáo Lưu chuyển Tiền tệ. Thông thường thì đúng là như vậy. Điều đáng ngạc nhiên là một số công ty lại xử lý những khoản mua này như một dòng tiền ra từ hoạt động Đầu tư.</w:t>
      </w:r>
    </w:p>
    <w:p>
      <w:pPr>
        <w:pStyle w:val="Heading5"/>
      </w:pPr>
      <w:r>
        <w:rPr>
          <w:rFonts w:ascii="Calibri" w:hAnsi="Calibri"/>
          <w:b/>
          <w:i/>
          <w:sz w:val="22"/>
        </w:rPr>
        <w:t>Mua DVD: Hoạt động Kinh doanh hay Đầu tư?</w:t>
      </w:r>
    </w:p>
    <w:p>
      <w:pPr>
        <w:spacing w:after="80"/>
      </w:pPr>
      <w:r>
        <w:rPr>
          <w:b w:val="0"/>
          <w:i w:val="0"/>
        </w:rPr>
        <w:t>Trong những ngày đầu (trước thời kỳ phát trực tuyến), Netflix Inc. là một công ty cho thuê phim qua đường bưu điện. Như bạn có thể hình dung, một trong những khoản chi lớn nhất của công ty là mua đĩa DVD để cho khách hàng thuê. DVD về cơ bản chính là hàng tồn kho của Netflix, và do đó công ty ghi nhận thư viện DVD của mình như một tài sản trên Bảng Cân đối Kế toán (Balance Sheet). Tài sản này sau đó được khấu hao (trong vòng một năm đối với phim mới phát hành và ba năm đối với phim cũ trong kho), và như bạn có thể đoán, chi phí khấu hao này được trình bày trên Báo cáo Thu nhập như một khoản giá vốn hàng bán. Năm 2007, khoản khấu hao thư viện DVD của Netflix lên tới 203 triệu đô la trên doanh thu 1,2 tỷ đô la.</w:t>
      </w:r>
    </w:p>
    <w:p>
      <w:pPr>
        <w:spacing w:after="80"/>
      </w:pPr>
      <w:r>
        <w:rPr>
          <w:b w:val="0"/>
          <w:i w:val="0"/>
        </w:rPr>
        <w:t>Trong khi Báo cáo Thu nhập của Netflix phản ánh đúng bản chất kinh tế của chi phí DVD, thì Báo cáo Lưu chuyển Tiền tệ lại không làm được điều đó. Bạn sẽ nghĩ rằng việc mua DVD lẽ ra phải được trình bày trên SCF như một dòng tiền ra từ hoạt động kinh doanh, giống như việc mua bất kỳ hàng tồn kho nào (đặc biệt là việc mua các phim mới phát hành chỉ được khấu hao trong một năm). Tuy nhiên, Netflix lại không nghĩ như vậy. Thay vào đó, công ty coi việc mua DVD là việc mua một tài sản vốn, và do đó các dòng tiền ra được trình bày trong phần Đầu tư. Cách xử lý này đã thực sự chuyển một khoản tiền ra lớn (thanh toán cho DVD) từ phần Hoạt động sang phần Đầu tư, qua đó thổi phồng CFFO.</w:t>
      </w:r>
    </w:p>
    <w:p>
      <w:pPr>
        <w:spacing w:after="80"/>
      </w:pPr>
      <w:r>
        <w:rPr>
          <w:b w:val="0"/>
          <w:i w:val="0"/>
        </w:rPr>
        <w:t>Điều thú vị là đối thủ cạnh tranh của Netflix vào thời điểm đó, Blockbuster Inc., một công ty không nổi tiếng về tính thận trọng trong kế toán, đã thay đổi cách hạch toán việc mua DVD vào cuối năm 2005. Trước đó, Blockbuster cũng trình bày việc mua DVD như một dòng tiền ra từ hoạt động đầu tư, giống hệt Netflix. Tuy nhiên, sau khi tham khảo ý kiến các nhà quản lý tại Ủy ban Chứng khoán và Giao dịch (SEC), Blockbuster bắt đầu phân loại việc mua DVD là dòng tiền ra từ hoạt động kinh doanh và điều chỉnh lại các số liệu trong quá khứ.</w:t>
      </w:r>
    </w:p>
    <w:p>
      <w:pPr>
        <w:spacing w:after="80"/>
      </w:pPr>
      <w:r>
        <w:rPr>
          <w:b/>
          <w:i/>
        </w:rPr>
        <w:t>Hãy Xem xét Sự Khác biệt trong Chính sách Kế toán khi So sánh các Đối thủ Cạnh tranh</w:t>
      </w:r>
      <w:r>
        <w:rPr>
          <w:b w:val="0"/>
          <w:i w:val="0"/>
        </w:rPr>
        <w:t xml:space="preserve"> Vì Netflix đưa việc mua DVD vào phần Đầu tư còn Blockbuster đưa vào phần Hoạt động, nên các nhà đầu tư gần như không thể so sánh CFFO của hai công ty nếu không thực hiện điều chỉnh. Như thể hiện trong Bảng 11-4, dòng tiền từ hoạt động kinh doanh của Netflix mạnh hơn nhiều so với Blockbuster vào năm 2007; tuy nhiên, sự khác biệt này trở nên ít rõ rệt hơn nhiều sau khi điều chỉnh cho các khoản mua DVD.</w:t>
      </w:r>
    </w:p>
    <w:p>
      <w:pPr>
        <w:spacing w:after="80"/>
      </w:pPr>
      <w:r>
        <w:rPr>
          <w:b/>
          <w:i w:val="0"/>
        </w:rPr>
        <w:t>Bảng 11-4</w:t>
      </w:r>
      <w:r>
        <w:rPr>
          <w:b w:val="0"/>
          <w:i w:val="0"/>
        </w:rPr>
        <w:t xml:space="preserve"> CFFO của Netflix và Blockbuster (Năm tài chính 2007), theo Báo cáo và sau Điều chỉnh để Loại bỏ các Khoản mua DVD khỏi CFFO của Netflix</w:t>
      </w:r>
    </w:p>
    <w:p>
      <w:pPr>
        <w:jc w:val="center"/>
      </w:pPr>
      <w:r>
        <w:drawing>
          <wp:inline xmlns:a="http://schemas.openxmlformats.org/drawingml/2006/main" xmlns:pic="http://schemas.openxmlformats.org/drawingml/2006/picture">
            <wp:extent cx="5486400" cy="1441437"/>
            <wp:docPr id="41" name="Picture 41"/>
            <wp:cNvGraphicFramePr>
              <a:graphicFrameLocks noChangeAspect="1"/>
            </wp:cNvGraphicFramePr>
            <a:graphic>
              <a:graphicData uri="http://schemas.openxmlformats.org/drawingml/2006/picture">
                <pic:pic>
                  <pic:nvPicPr>
                    <pic:cNvPr id="0" name="00047.jpeg"/>
                    <pic:cNvPicPr/>
                  </pic:nvPicPr>
                  <pic:blipFill>
                    <a:blip r:embed="rId49"/>
                    <a:stretch>
                      <a:fillRect/>
                    </a:stretch>
                  </pic:blipFill>
                  <pic:spPr>
                    <a:xfrm>
                      <a:off x="0" y="0"/>
                      <a:ext cx="5486400" cy="1441437"/>
                    </a:xfrm>
                    <a:prstGeom prst="rect"/>
                  </pic:spPr>
                </pic:pic>
              </a:graphicData>
            </a:graphic>
          </wp:inline>
        </w:drawing>
      </w:r>
    </w:p>
    <w:p>
      <w:pPr>
        <w:spacing w:after="80"/>
      </w:pPr>
      <w:r>
        <w:rPr>
          <w:b/>
          <w:i/>
        </w:rPr>
        <w:t>Hãy Đặt Câu hỏi cho Bất kỳ Dòng tiền ra từ Đầu tư nào Nghe giống như một Chi phí Hoạt động Bình thường</w:t>
      </w:r>
      <w:r>
        <w:rPr>
          <w:b w:val="0"/>
          <w:i w:val="0"/>
        </w:rPr>
        <w:t xml:space="preserve"> Mặc dù nhiều nhà phân tích khẳng định rằng việc đọc Báo cáo Lưu chuyển Tiền tệ là một phần thiết yếu trong phân tích của họ, nhưng nhiều người lại không đọc kỹ phần bên dưới mục Hoạt động. Chỉ cần lướt qua phần Đầu tư của Netflix cũng đủ để phát hiện ra rằng công ty đã phân loại "Mua thư viện DVD" như một hoạt động đầu tư. Ngay cả những nhà đầu tư chỉ có kiến thức cơ bản về hoạt động kinh doanh của Netflix cũng đủ hiểu rằng việc mua DVD chính là một chi phí hoạt động bình thường của Netflix.</w:t>
      </w:r>
    </w:p>
    <w:p>
      <w:pPr>
        <w:pStyle w:val="Heading5"/>
      </w:pPr>
      <w:r>
        <w:rPr>
          <w:rFonts w:ascii="Calibri" w:hAnsi="Calibri"/>
          <w:b/>
          <w:i/>
          <w:sz w:val="22"/>
        </w:rPr>
        <w:t>Mua Bằng sáng chế và Các Công nghệ Mới được Phát triển</w:t>
      </w:r>
    </w:p>
    <w:p>
      <w:pPr>
        <w:spacing w:after="80"/>
      </w:pPr>
      <w:r>
        <w:rPr>
          <w:b w:val="0"/>
          <w:i w:val="0"/>
        </w:rPr>
        <w:t>Một số đội thể thao chuyên nghiệp lấp đầy đội hình của họ bằng những cầu thủ mà họ đã tuyển trạch, chọn trong kỳ tuyển chọn (draft) và phát triển trong chính tổ chức của mình. Những đội khác lại dựa vào thị trường "cầu thủ tự do" (free agent) để ký hợp đồng với những cầu thủ đã khẳng định được năng lực (dù thường phải trả giá cao hơn nhiều). Cũng theo cách tương tự, một số công ty dựa vào các dự án nghiên cứu và phát triển nội bộ để phát triển hoạt động kinh doanh một cách hữu cơ, trong khi những công ty khác lại chọn cách phát triển vô cơ bằng việc mua lại các công nghệ đang trong giai đoạn phát triển, bằng sáng chế và giấy phép. Dù những chiến lược kinh doanh khác nhau này đều nhằm cùng một mục đích, các khoản chi tiêu thường được xử lý khác nhau trên Báo cáo Lưu chuyển Tiền tệ (Statement of Cash Flows). Cụ thể, tiền mặt trả cho nhân viên và nhà cung cấp cho hoạt động nghiên cứu và phát triển nội bộ sẽ được báo cáo như một dòng tiền ra từ hoạt động kinh doanh (operating outflow). Tuy nhiên, một số công ty lại báo cáo tiền mặt trả để mua các sản phẩm đã được nghiên cứu và phát triển sẵn như một dòng tiền ra từ hoạt động đầu tư (Investing outflow).</w:t>
      </w:r>
    </w:p>
    <w:p>
      <w:pPr>
        <w:spacing w:after="80"/>
      </w:pPr>
      <w:r>
        <w:rPr>
          <w:b w:val="0"/>
          <w:i w:val="0"/>
        </w:rPr>
        <w:t>Trong một số ngành nhất định, việc mua lại các công nghệ đang trong giai đoạn phát triển được coi là chuyện bình thường. Ví dụ, các công ty nghiên cứu công nghệ sinh học nhỏ thường phát triển các loại thuốc mới rồi bán quyền đối với những loại thuốc này cho các công ty dược phẩm lớn hơn khi gần đến thời điểm FDA phê duyệt. Sau đó, với tư cách là chủ sở hữu loại thuốc, các công ty dược phẩm lớn hơn sẽ thu về toàn bộ lợi nhuận. Khi phân tích hoạt động kinh doanh của công ty dược phẩm, bạn chắc chắn nên xem xét khoản tiền mặt đã trả để mua quyền đối với loại thuốc đó. Tuy nhiên, vì khoản thanh toán này sẽ được phân loại vào mục Đầu tư (Investing), nhiều nhà đầu tư sẽ không hề biết rằng nó tồn tại.</w:t>
      </w:r>
    </w:p>
    <w:p>
      <w:pPr>
        <w:spacing w:after="80"/>
      </w:pPr>
      <w:r>
        <w:rPr>
          <w:b w:val="0"/>
          <w:i w:val="0"/>
        </w:rPr>
        <w:t>Hãy xem trường hợp của công ty dược phẩm sinh học Cephalon. Với mong muốn tiếp tục đà tăng trưởng nhanh chóng, Cephalon đã thực hiện một cuộc mua sắm trị giá 1 tỷ đô la trong các năm 2004 và 2005, thâu tóm các bằng sáng chế, quyền và giấy phép liên quan đến một số loại thuốc mới được phát triển. Cephalon trình bày các khoản thanh toán tiền mặt này như những "khoản mua lại" (acquisitions) và tống chúng vào mục Đầu tư của Báo cáo Lưu chuyển Tiền tệ. Nếu chúng được phân loại vào mục Hoạt động kinh doanh (Operating), thì CFFO (dòng tiền từ hoạt động kinh doanh) lẽ ra đã âm nghiêm trọng trong cả hai năm. (Xem Bảng 11-5.)</w:t>
      </w:r>
    </w:p>
    <w:p>
      <w:pPr>
        <w:spacing w:after="80"/>
      </w:pPr>
      <w:r>
        <w:rPr>
          <w:b/>
          <w:i w:val="0"/>
        </w:rPr>
        <w:t>Bảng 11-5</w:t>
      </w:r>
      <w:r>
        <w:rPr>
          <w:b w:val="0"/>
          <w:i w:val="0"/>
        </w:rPr>
        <w:t xml:space="preserve"> Dòng tiền từ hoạt động kinh doanh của Cephalon (đã điều chỉnh để trừ đi các khoản mua thuốc)</w:t>
      </w:r>
    </w:p>
    <w:p>
      <w:pPr>
        <w:jc w:val="center"/>
      </w:pPr>
      <w:r>
        <w:drawing>
          <wp:inline xmlns:a="http://schemas.openxmlformats.org/drawingml/2006/main" xmlns:pic="http://schemas.openxmlformats.org/drawingml/2006/picture">
            <wp:extent cx="5486400" cy="1004631"/>
            <wp:docPr id="42" name="Picture 42"/>
            <wp:cNvGraphicFramePr>
              <a:graphicFrameLocks noChangeAspect="1"/>
            </wp:cNvGraphicFramePr>
            <a:graphic>
              <a:graphicData uri="http://schemas.openxmlformats.org/drawingml/2006/picture">
                <pic:pic>
                  <pic:nvPicPr>
                    <pic:cNvPr id="0" name="00019.jpeg"/>
                    <pic:cNvPicPr/>
                  </pic:nvPicPr>
                  <pic:blipFill>
                    <a:blip r:embed="rId50"/>
                    <a:stretch>
                      <a:fillRect/>
                    </a:stretch>
                  </pic:blipFill>
                  <pic:spPr>
                    <a:xfrm>
                      <a:off x="0" y="0"/>
                      <a:ext cx="5486400" cy="1004631"/>
                    </a:xfrm>
                    <a:prstGeom prst="rect"/>
                  </pic:spPr>
                </pic:pic>
              </a:graphicData>
            </a:graphic>
          </wp:inline>
        </w:drawing>
      </w:r>
    </w:p>
    <w:p>
      <w:pPr>
        <w:spacing w:after="80"/>
      </w:pPr>
      <w:r>
        <w:rPr>
          <w:b w:val="0"/>
          <w:i w:val="0"/>
        </w:rPr>
        <w:t>Tương tự, Nuance Communications, một công ty phần mềm nhận dạng giọng nói, đã mua lại một lượng đáng kể công nghệ đang trong giai đoạn phát triển. Năm 2014, Nuance ghi nhận 253 triệu đô la cho "các khoản thanh toán để mua lại doanh nghiệp và công nghệ" như một dòng tiền ra từ hoạt động đầu tư trên Báo cáo Lưu chuyển Tiền tệ của mình. Đây là một khoản tiền ra rất lớn đối với công ty, đặc biệt là khi so với 358 triệu đô la dòng tiền từ hoạt động kinh doanh được tạo ra trong năm đó. Tuy nhiên, dù đã chi một khoản tiền lớn như vậy, Nuance vẫn coi mỗi thực thể mà mình mua lại là không trọng yếu và cung cấp rất ít chi tiết về những gì họ thực sự đã mua. Chắc chắn rằng khoản tiền mặt chi cho những tài sản này nên được xem xét khi phân tích dòng tiền của Nuance, vì nó có khả năng liên quan đến công nghệ được mua lại và các khoản chi cho phát triển khác.</w:t>
      </w:r>
    </w:p>
    <w:p>
      <w:pPr>
        <w:pStyle w:val="Heading5"/>
      </w:pPr>
      <w:r>
        <w:rPr>
          <w:rFonts w:ascii="Calibri" w:hAnsi="Calibri"/>
          <w:b/>
          <w:i/>
          <w:sz w:val="22"/>
        </w:rPr>
        <w:t>Tôi Sẽ Vui Vẻ Trả Bạn Vào Thứ Ba Để Đổi Lấy Một Chiếc Hamburger Hôm Nay</w:t>
      </w:r>
    </w:p>
    <w:p>
      <w:pPr>
        <w:spacing w:after="80"/>
      </w:pPr>
      <w:r>
        <w:rPr>
          <w:b w:val="0"/>
          <w:i w:val="0"/>
        </w:rPr>
        <w:t>Trong một tình huống thú vị, Biovail Corporation, công ty đã sáp nhập với Valeant vào năm 2010, đã giành được quyền sở hữu một số loại thuốc bằng cách mua lại quyền thông qua các giao dịch phi tiền mặt (noncash transactions). Thay vì trả tiền mặt vào thời điểm bán, Biovail đền bù cho người bán bằng cách phát hành một giấy nợ (note)—về cơ bản là một giấy ghi nợ dài hạn (IOU) mà theo đó công ty sẽ trả tiền mặt trong tương lai. Vì không có tiền mặt nào được chuyển giao vào thời điểm bán, nên không có tác động nào lên Báo cáo Lưu chuyển Tiền tệ. Và khi Biovail trả dần các giấy nợ này theo thời gian, các khoản thanh toán tiền mặt được trình bày trên SCF như việc trả nợ—một dòng tiền ra từ hoạt động tài chính (financing outflow).</w:t>
      </w:r>
    </w:p>
    <w:p>
      <w:pPr>
        <w:spacing w:after="80"/>
      </w:pPr>
      <w:r>
        <w:rPr>
          <w:b w:val="0"/>
          <w:i w:val="0"/>
        </w:rPr>
        <w:t>Các giao dịch phi tiền mặt của Biovail để mua quyền sản phẩm có thể được nhìn nhận theo cùng cách như các khoản mua bằng sáng chế của Cephalon và các khoản mua DVD của Netflix. Khía cạnh kinh tế cho thấy những khoản mua này liên quan đến hoạt động kinh doanh thông thường, vậy mà chúng lại được phản ánh rất khác nhau trên Báo cáo Lưu chuyển Tiền tệ. Khi phân tích khả năng tạo ra tiền mặt của Biovail, chắc chắn không nên bỏ qua những khoản mua này.</w:t>
      </w:r>
    </w:p>
    <w:p>
      <w:pPr>
        <w:spacing w:after="80"/>
      </w:pPr>
      <w:r>
        <w:rPr>
          <w:b/>
          <w:i/>
        </w:rPr>
        <w:t>Hãy tìm "Thông tin Lưu chuyển Tiền tệ Bổ sung" (Supplemental Cash Flow Information)</w:t>
      </w:r>
      <w:r>
        <w:rPr>
          <w:b w:val="0"/>
          <w:i w:val="0"/>
        </w:rPr>
        <w:t xml:space="preserve"> Các công ty thường cung cấp thông tin về các hoạt động phi tiền mặt trong phần thuyết minh gọi là "Thông tin Lưu chuyển Tiền tệ Bổ sung". Phần thuyết minh này đôi khi được đặt ngay sau Báo cáo Lưu chuyển Tiền tệ; tuy nhiên, đôi khi các công ty lại chôn phần thuyết minh này sâu trong các ghi chú (footnotes). Ví dụ, Biovail đã cung cấp phần thuyết minh về các khoản mua phi tiền mặt của mình trong một ghi chú lưu chuyển tiền tệ bổ sung nằm tận 30 trang sau Báo cáo Lưu chuyển Tiền tệ.</w:t>
      </w:r>
    </w:p>
    <w:p>
      <w:pPr>
        <w:spacing w:after="80"/>
      </w:pPr>
      <w:r>
        <w:rPr>
          <w:b w:val="0"/>
          <w:i w:val="0"/>
        </w:rPr>
        <w:t>THUYẾT MINH LƯU CHUYỂN TIỀN TỆ BỔ SUNG CỦA BIOVAIL</w:t>
      </w:r>
    </w:p>
    <w:p>
      <w:pPr>
        <w:spacing w:after="80"/>
      </w:pPr>
      <w:r>
        <w:rPr>
          <w:b w:val="0"/>
          <w:i w:val="0"/>
        </w:rPr>
        <w:t xml:space="preserve">Năm 2003, </w:t>
      </w:r>
      <w:r>
        <w:rPr>
          <w:b w:val="0"/>
          <w:i/>
        </w:rPr>
        <w:t>các hoạt động đầu tư và tài chính phi tiền mặt</w:t>
      </w:r>
      <w:r>
        <w:rPr>
          <w:b w:val="0"/>
          <w:i w:val="0"/>
        </w:rPr>
        <w:t xml:space="preserve"> bao gồm nghĩa vụ dài hạn trị giá $17,497,000 liên quan đến việc mua lại Ativan và Isordil, và việc đăng ký mua $8,929,000 Series D Preferred Units của Reliant để trả một phần khoản cho vay phải thu từ Reliant. Năm 2002, các hoạt động đầu tư và tài chính phi tiền mặt bao gồm các nghĩa vụ dài hạn trị giá $99,620,000 và $69,961,000 liên quan đến việc mua lại Vasotec và Vaseretic, và Wellbutrin và Zyban, tương ứng, cũng như một nghĩa vụ dài hạn trị giá $80,656,000 liên quan đến các sửa đổi đối với thỏa thuận phân phối Zovirax. [Phần in nghiêng được thêm vào để nhấn mạnh]</w:t>
      </w:r>
    </w:p>
    <w:p>
      <w:pPr>
        <w:pStyle w:val="Heading4"/>
      </w:pPr>
      <w:r>
        <w:rPr>
          <w:rFonts w:ascii="Calibri" w:hAnsi="Calibri"/>
          <w:b/>
          <w:i w:val="0"/>
          <w:sz w:val="23"/>
        </w:rPr>
        <w:t>4. Chuyển các Dòng tiền ra từ Hoạt động Kinh doanh ra khỏi Báo cáo Lưu chuyển Tiền tệ</w:t>
      </w:r>
    </w:p>
    <w:p>
      <w:pPr>
        <w:spacing w:after="80"/>
      </w:pPr>
      <w:r>
        <w:rPr>
          <w:b w:val="0"/>
          <w:i w:val="0"/>
        </w:rPr>
        <w:t>Phần cuối của chương này cho thấy ban lãnh đạo sáng tạo đã tìm ra những cách để đưa các dòng tiền ra từ hoạt động kinh doanh không mong muốn ra thật xa khỏi Báo cáo Lưu chuyển Tiền tệ như thế nào.</w:t>
      </w:r>
    </w:p>
    <w:p>
      <w:pPr>
        <w:spacing w:after="80"/>
      </w:pPr>
      <w:r>
        <w:rPr>
          <w:b w:val="0"/>
          <w:i w:val="0"/>
        </w:rPr>
        <w:t>Hầu hết các công ty có kế hoạch lương hưu cho nhân viên đều tài trợ cho các kế hoạch đó bằng tiền mặt được đầu tư để sinh lời và đáp ứng các nghĩa vụ dài hạn dự kiến của công ty. Những khoản đóng góp này có tác dụng đáng tiếc là làm giảm dòng tiền được báo cáo. Sẽ thế nào nếu có thể tài trợ cho lương hưu mà không làm hao hụt dòng tiền quý giá?</w:t>
      </w:r>
    </w:p>
    <w:p>
      <w:pPr>
        <w:spacing w:after="80"/>
      </w:pPr>
      <w:r>
        <w:rPr>
          <w:b w:val="0"/>
          <w:i w:val="0"/>
        </w:rPr>
        <w:t>Năm 2011, Diageo (nhà sản xuất các loại rượu mạnh bao gồm Johnnie Walker, Smirnoff và Guinness) đã tài trợ cho chương trình lương hưu tại Vương quốc Anh của mình bằng 535 triệu GBP whiskey. Khi whiskey càng để lâu, giá trị của nó sẽ tăng lên, cải thiện tình trạng tài trợ của kế hoạch. Trong suốt thời gian đó, dòng tiền được báo cáo vẫn không bị ảnh hưởng. Tương tự, năm 2016, IBM đã đóng góp 295 triệu đô la chứng khoán Kho bạc Hoa Kỳ (U.S. Treasury securities) vào kế hoạch phúc lợi xác định (defined benefit plan) của mình, tiết kiệm được ngần ấy trong dòng tiền được báo cáo.</w:t>
      </w:r>
    </w:p>
    <w:p>
      <w:pPr>
        <w:pStyle w:val="Heading3"/>
      </w:pPr>
      <w:r>
        <w:rPr>
          <w:rFonts w:ascii="Calibri" w:hAnsi="Calibri"/>
          <w:b/>
          <w:i w:val="0"/>
          <w:sz w:val="26"/>
        </w:rPr>
        <w:t>Nhìn về Phía trước</w:t>
      </w:r>
    </w:p>
    <w:p>
      <w:pPr>
        <w:spacing w:after="80"/>
      </w:pPr>
      <w:r>
        <w:rPr>
          <w:b w:val="0"/>
          <w:i w:val="0"/>
        </w:rPr>
        <w:t>Như chương này đã cho thấy, việc chuyển dòng tiền chi ra từ hoạt động kinh doanh sang phần Đầu tư có thể khá hấp dẫn đối với ban lãnh đạo mong muốn gây ấn tượng với nhà đầu tư bằng dòng tiền mạnh hơn. Chà, có vẻ như ban lãnh đạo không bao giờ thấy đủ với một điều tốt đẹp.</w:t>
      </w:r>
    </w:p>
    <w:p>
      <w:pPr>
        <w:pStyle w:val="Heading2"/>
      </w:pPr>
      <w:r>
        <w:rPr>
          <w:rFonts w:ascii="Calibri" w:hAnsi="Calibri"/>
          <w:b/>
          <w:i w:val="0"/>
          <w:sz w:val="32"/>
        </w:rPr>
        <w:t>12</w:t>
      </w:r>
    </w:p>
    <w:p>
      <w:pPr>
        <w:pStyle w:val="Heading2"/>
      </w:pPr>
      <w:r>
        <w:rPr>
          <w:rFonts w:ascii="Calibri" w:hAnsi="Calibri"/>
          <w:b/>
          <w:i w:val="0"/>
          <w:sz w:val="32"/>
        </w:rPr>
        <w:t>Chiêu trò dòng tiền số 3: Thổi phồng dòng tiền từ hoạt động kinh doanh bằng các hoạt động không bền vững</w:t>
      </w:r>
    </w:p>
    <w:p>
      <w:pPr>
        <w:spacing w:after="80"/>
      </w:pPr>
      <w:r>
        <w:rPr>
          <w:b w:val="0"/>
          <w:i w:val="0"/>
        </w:rPr>
        <w:t xml:space="preserve">Với các phiên bản địa phương tại hơn 100 quốc gia, game show ăn khách </w:t>
      </w:r>
      <w:r>
        <w:rPr>
          <w:b w:val="0"/>
          <w:i/>
        </w:rPr>
        <w:t>Who Wants to Be a Millionaire?</w:t>
      </w:r>
      <w:r>
        <w:rPr>
          <w:b w:val="0"/>
          <w:i w:val="0"/>
        </w:rPr>
        <w:t xml:space="preserve"> đã trở thành một trong những thương hiệu truyền hình thành công nhất mọi thời đại. Trò chơi hấp dẫn ở chỗ đơn giản: người chơi được hỏi tối đa 15 câu hỏi kiến thức. Trả lời đúng tất cả các câu sẽ giành được giải thưởng lớn; tuy nhiên, nếu người chơi trả lời sai một câu, họ phải ra về.</w:t>
      </w:r>
    </w:p>
    <w:p>
      <w:pPr>
        <w:spacing w:after="80"/>
      </w:pPr>
      <w:r>
        <w:rPr>
          <w:b w:val="0"/>
          <w:i w:val="0"/>
        </w:rPr>
        <w:t>Nếu người chơi đang bí một câu hỏi, luật chơi cho phép sử dụng một "phao cứu sinh" (lifeline). Ví dụ, một phao cứu sinh cho phép người chơi gọi điện cho bạn bè để được giúp đỡ, và một phao khác cho phép người chơi thăm dò ý kiến khán giả trong trường học. Những phao cứu sinh này có thể rất quý giá và thường giúp những người chơi đang chật vật trụ lại. Tuy nhiên, phải sử dụng chúng một cách khôn ngoan, vì chỉ có ba phao, và một khi đã dùng hết thì hết.</w:t>
      </w:r>
    </w:p>
    <w:p>
      <w:pPr>
        <w:spacing w:after="80"/>
      </w:pPr>
      <w:r>
        <w:rPr>
          <w:b w:val="0"/>
          <w:i w:val="0"/>
        </w:rPr>
        <w:t>Tương tự, các công ty đang chật vật thường dùng những "phao cứu sinh" quý giá để giúp dòng tiền của họ trụ lại. Cũng như trong game show, việc các công ty sử dụng những phao cứu sinh này thường là khôn ngoan và chắc chắn là hợp pháp. Tuy nhiên, khác với game show, các công ty có thể không tiết lộ việc sử dụng những phao cứu sinh dòng tiền không thường xuyên này. Bạn phải tự mình phát hiện ra chúng, bởi vì một khi đã dùng hết thì hết.</w:t>
      </w:r>
    </w:p>
    <w:p>
      <w:pPr>
        <w:spacing w:after="80"/>
      </w:pPr>
      <w:r>
        <w:rPr>
          <w:b w:val="0"/>
          <w:i w:val="0"/>
        </w:rPr>
        <w:t>Trong chương này, chúng ta thảo luận về bốn phao cứu sinh không bền vững mà các công ty dùng để thổi phồng dòng tiền từ hoạt động kinh doanh.</w:t>
      </w:r>
    </w:p>
    <w:p>
      <w:pPr>
        <w:pStyle w:val="Heading3"/>
      </w:pPr>
      <w:r>
        <w:rPr>
          <w:rFonts w:ascii="Calibri" w:hAnsi="Calibri"/>
          <w:b/>
          <w:i w:val="0"/>
          <w:sz w:val="26"/>
        </w:rPr>
        <w:t>Các kỹ thuật thổi phồng dòng tiền từ hoạt động kinh doanh bằng các hoạt động không bền vững</w:t>
      </w:r>
    </w:p>
    <w:p>
      <w:pPr>
        <w:spacing w:after="80"/>
      </w:pPr>
      <w:r>
        <w:rPr>
          <w:b w:val="0"/>
          <w:i w:val="0"/>
        </w:rPr>
        <w:t>1. Thổi phồng CFFO bằng cách trả tiền cho nhà cung cấp chậm hơn</w:t>
      </w:r>
    </w:p>
    <w:p>
      <w:pPr>
        <w:spacing w:after="80"/>
      </w:pPr>
      <w:r>
        <w:rPr>
          <w:b w:val="0"/>
          <w:i w:val="0"/>
        </w:rPr>
        <w:t>2. Thổi phồng CFFO bằng cách thu tiền từ khách hàng nhanh hơn</w:t>
      </w:r>
    </w:p>
    <w:p>
      <w:pPr>
        <w:spacing w:after="80"/>
      </w:pPr>
      <w:r>
        <w:rPr>
          <w:b w:val="0"/>
          <w:i w:val="0"/>
        </w:rPr>
        <w:t>3. Thổi phồng CFFO bằng cách mua ít hàng tồn kho hơn</w:t>
      </w:r>
    </w:p>
    <w:p>
      <w:pPr>
        <w:spacing w:after="80"/>
      </w:pPr>
      <w:r>
        <w:rPr>
          <w:b w:val="0"/>
          <w:i w:val="0"/>
        </w:rPr>
        <w:t>4. Thổi phồng CFFO bằng lợi ích một lần</w:t>
      </w:r>
    </w:p>
    <w:p>
      <w:pPr>
        <w:pStyle w:val="Heading4"/>
      </w:pPr>
      <w:r>
        <w:rPr>
          <w:rFonts w:ascii="Calibri" w:hAnsi="Calibri"/>
          <w:b/>
          <w:i w:val="0"/>
          <w:sz w:val="23"/>
        </w:rPr>
        <w:t>1. Thổi phồng CFFO bằng cách trả tiền cho nhà cung cấp chậm hơn</w:t>
      </w:r>
    </w:p>
    <w:p>
      <w:pPr>
        <w:spacing w:after="80"/>
      </w:pPr>
      <w:r>
        <w:rPr>
          <w:b w:val="0"/>
          <w:i w:val="0"/>
        </w:rPr>
        <w:t>Muốn tiết kiệm thêm chút tiền mặt trong năm nay? Hãy dùng "phao cứu sinh trì hoãn thanh toán" của bạn: đợi đến đầu tháng Một mới trả các hóa đơn tháng Mười Hai. Nếu bạn đẩy các khoản thanh toán lùi lại một tháng, số dư ngân hàng cuối năm của bạn sẽ cao hơn, và về mặt hình thức sẽ có vẻ như bạn đã tạo ra nhiều tiền mặt hơn trong năm nay. Tuy nhiên, chắc chắn bạn sẽ không tự huyễn hoặc rằng mình đã tìm ra cách tăng dòng tiền lặp đi lặp lại mỗi năm; thay vào đó, bạn sẽ nhận ra đây là lợi ích một lần. Để tăng dòng tiền trở lại vào năm sau, bạn sẽ phải đẩy hai tháng tiền thanh toán sang tháng Một năm sau.</w:t>
      </w:r>
    </w:p>
    <w:p>
      <w:pPr>
        <w:spacing w:after="80"/>
      </w:pPr>
      <w:r>
        <w:rPr>
          <w:b w:val="0"/>
          <w:i w:val="0"/>
        </w:rPr>
        <w:t>"Phao cứu sinh trì hoãn thanh toán" của bạn có thể là một chiến lược quản lý tiền mặt hữu ích, và chắc chắn không có gì sai khi giữ tiền của mình lâu hơn một tháng. Theo cách tương tự, việc một công ty mất nhiều thời gian hơn để trả tiền cho nhà cung cấp và gặt hái lợi ích quản lý tiền mặt trước mắt là hoàn toàn hợp lý. Tuy nhiên, cũng giống như bạn, các công ty không thể tiếp tục trì hoãn thanh toán đến vô tận. Lợi ích tiền mặt từ việc đẩy lùi thanh toán (tức là sự gia tăng các khoản phải trả) nên được coi là hoạt động một lần, không phải dấu hiệu cho thấy công ty đã tìm ra cách lâu dài để tạo ra nhiều tiền mặt hơn. Dù điều này có vẻ như là lẽ thường, bạn sẽ ngạc nhiên khi biết có bao nhiêu công ty ca ngợi sức mạnh CFFO của mình mà quên nhắc đến bí mật nhỏ của họ: rằng họ đã tăng CFFO bằng cách kéo dài thời gian trả tiền cho nhà cung cấp và không thanh toán đúng hạn.</w:t>
      </w:r>
    </w:p>
    <w:p>
      <w:pPr>
        <w:pStyle w:val="Heading5"/>
      </w:pPr>
      <w:r>
        <w:rPr>
          <w:rFonts w:ascii="Calibri" w:hAnsi="Calibri"/>
          <w:b/>
          <w:i/>
          <w:sz w:val="22"/>
        </w:rPr>
        <w:t>Home Depot bóp nghẹt nhà cung cấp của mình</w:t>
      </w:r>
    </w:p>
    <w:p>
      <w:pPr>
        <w:spacing w:after="80"/>
      </w:pPr>
      <w:r>
        <w:rPr>
          <w:b w:val="0"/>
          <w:i w:val="0"/>
        </w:rPr>
        <w:t>Chỉ vài ngày sau khi thua trong cuộc chiến kế nhiệm nội bộ để thay thế huyền thoại Jack Welch tại GE, Bob Nardelli nhận được một phần thưởng an ủi: vị trí cao nhất tại Home Depot. Được bổ nhiệm vào tháng 12 năm 2000, Nardelli ngay lập tức được ca ngợi là chuyên gia điều hành bậc thầy mà chuỗi bán lẻ cải tạo nhà cửa đang chật vật này vô cùng cần đến. Hội đồng quản trị yêu thích xuất thân GE của ông và thưởng cho ông ngay từ đầu bằng một gói thù lao cực kỳ hào phóng. Và Nardelli chắc chắn biết cách làm hài lòng người khác. Trong năm đầu tiên đảm nhiệm, ông đã tăng hơn gấp đôi CFFO—từ 2,8 tỷ đô la lên gần 6 tỷ đô la. Các nhà đầu tư không quá bận tâm đến chi tiết của đà tăng này đều vô cùng phấn khích.</w:t>
      </w:r>
    </w:p>
    <w:p>
      <w:pPr>
        <w:spacing w:after="80"/>
      </w:pPr>
      <w:r>
        <w:rPr>
          <w:b w:val="0"/>
          <w:i w:val="0"/>
        </w:rPr>
        <w:t>Tuy nhiên, đà tăng dòng tiền này hóa ra lại không bền vững và không liên quan đến việc gia tăng doanh số của doanh nghiệp. Trong năm đầu tiên đó, Nardelli đã làm rất xuất sắc việc định nghĩa lại cách Home Depot giao dịch với các nhà cung cấp. Cụ thể, công ty bắt đầu đối xử rất tệ với nhà cung cấp bằng cách trả tiền cho họ chậm hơn nhiều. Đến cuối năm tài chính 2001, Home Depot đã kéo dài thành công khoản phải trả người bán lên 34 ngày từ mức 22 ngày của năm trước. Báo cáo Lưu chuyển Tiền tệ của công ty (được trình bày trong Bảng 12-1) cho thấy sự thay đổi tưởng chừng nhỏ nhặt này trong khoản phải trả người bán chính là động lực chính thúc đẩy mức tăng dòng tiền ấn tượng của công ty. Một thành phần lớn khác của tăng trưởng CFFO là việc giảm lượng hàng tồn kho nắm giữ tại mỗi cửa hàng (như chúng ta sẽ thảo luận ở phần sau của chương này).</w:t>
      </w:r>
    </w:p>
    <w:p>
      <w:pPr>
        <w:spacing w:after="80"/>
      </w:pPr>
      <w:r>
        <w:rPr>
          <w:b/>
          <w:i w:val="0"/>
        </w:rPr>
        <w:t>Bảng 12-1</w:t>
      </w:r>
      <w:r>
        <w:rPr>
          <w:b w:val="0"/>
          <w:i w:val="0"/>
        </w:rPr>
        <w:t xml:space="preserve"> Báo cáo Lưu chuyển Tiền tệ của Home Depot, 2000–2002</w:t>
      </w:r>
    </w:p>
    <w:p>
      <w:pPr>
        <w:jc w:val="center"/>
      </w:pPr>
      <w:r>
        <w:drawing>
          <wp:inline xmlns:a="http://schemas.openxmlformats.org/drawingml/2006/main" xmlns:pic="http://schemas.openxmlformats.org/drawingml/2006/picture">
            <wp:extent cx="5486400" cy="3011374"/>
            <wp:docPr id="43" name="Picture 43"/>
            <wp:cNvGraphicFramePr>
              <a:graphicFrameLocks noChangeAspect="1"/>
            </wp:cNvGraphicFramePr>
            <a:graphic>
              <a:graphicData uri="http://schemas.openxmlformats.org/drawingml/2006/picture">
                <pic:pic>
                  <pic:nvPicPr>
                    <pic:cNvPr id="0" name="00014.jpeg"/>
                    <pic:cNvPicPr/>
                  </pic:nvPicPr>
                  <pic:blipFill>
                    <a:blip r:embed="rId51"/>
                    <a:stretch>
                      <a:fillRect/>
                    </a:stretch>
                  </pic:blipFill>
                  <pic:spPr>
                    <a:xfrm>
                      <a:off x="0" y="0"/>
                      <a:ext cx="5486400" cy="3011374"/>
                    </a:xfrm>
                    <a:prstGeom prst="rect"/>
                  </pic:spPr>
                </pic:pic>
              </a:graphicData>
            </a:graphic>
          </wp:inline>
        </w:drawing>
      </w:r>
    </w:p>
    <w:p>
      <w:pPr>
        <w:spacing w:after="80"/>
      </w:pPr>
      <w:r>
        <w:rPr>
          <w:b w:val="0"/>
          <w:i w:val="0"/>
        </w:rPr>
        <w:t>Được rồi, nhiệm vụ năm 2001 đã hoàn thành. Năm tiếp theo, Home Depot phải đối mặt với thách thức là phải cải thiện so với một năm 2001 đáng kinh ngạc. Tuy nhiên, để tăng CFFO một lần nữa, trước tiên công ty phải tái tạo được mức tăng của năm 2001 mà nó sẽ không còn nhận được trong năm 2002. Công ty có thể kéo dài khoản phải trả một lần nữa trong năm 2002, nhưng không đến mức như năm trước (khi khoản phải trả đạt 41 ngày từ 34 ngày). CFFO năm 2002 giảm xuống còn 4,8 tỷ đô la từ 6,0 tỷ đô la năm 2001.</w:t>
      </w:r>
    </w:p>
    <w:p>
      <w:pPr>
        <w:spacing w:after="80"/>
      </w:pPr>
      <w:r>
        <w:rPr>
          <w:b w:val="0"/>
          <w:i w:val="0"/>
        </w:rPr>
        <w:t>Hộp Kiến thức Kế toán: Số Ngày Phải Trả Người Bán</w:t>
      </w:r>
    </w:p>
    <w:p>
      <w:pPr>
        <w:spacing w:after="80"/>
      </w:pPr>
      <w:r>
        <w:rPr>
          <w:b w:val="0"/>
          <w:i w:val="0"/>
        </w:rPr>
        <w:t>Số ngày phải trả người bán (days payable outstanding - DPO) thường được tính như sau:</w:t>
      </w:r>
    </w:p>
    <w:p>
      <w:pPr>
        <w:jc w:val="center"/>
      </w:pPr>
      <w:r>
        <w:drawing>
          <wp:inline xmlns:a="http://schemas.openxmlformats.org/drawingml/2006/main" xmlns:pic="http://schemas.openxmlformats.org/drawingml/2006/picture">
            <wp:extent cx="5486400" cy="435429"/>
            <wp:docPr id="44" name="Picture 44"/>
            <wp:cNvGraphicFramePr>
              <a:graphicFrameLocks noChangeAspect="1"/>
            </wp:cNvGraphicFramePr>
            <a:graphic>
              <a:graphicData uri="http://schemas.openxmlformats.org/drawingml/2006/picture">
                <pic:pic>
                  <pic:nvPicPr>
                    <pic:cNvPr id="0" name="00029.jpeg"/>
                    <pic:cNvPicPr/>
                  </pic:nvPicPr>
                  <pic:blipFill>
                    <a:blip r:embed="rId52"/>
                    <a:stretch>
                      <a:fillRect/>
                    </a:stretch>
                  </pic:blipFill>
                  <pic:spPr>
                    <a:xfrm>
                      <a:off x="0" y="0"/>
                      <a:ext cx="5486400" cy="435429"/>
                    </a:xfrm>
                    <a:prstGeom prst="rect"/>
                  </pic:spPr>
                </pic:pic>
              </a:graphicData>
            </a:graphic>
          </wp:inline>
        </w:drawing>
      </w:r>
    </w:p>
    <w:p>
      <w:pPr>
        <w:spacing w:after="80"/>
      </w:pPr>
      <w:r>
        <w:rPr>
          <w:b w:val="0"/>
          <w:i w:val="0"/>
        </w:rPr>
        <w:t>Các nhà đầu tư nên phân tích khoản phải trả theo số ngày chưa thanh toán giống như cách họ phân tích khoản phải thu (số ngày bán chịu, hay DSO) và hàng tồn kho (số ngày bán hàng tồn kho, hay DSI). DPO tăng nghĩa là công ty đang thanh toán các khoản phải trả trong thời gian dài hơn. DPO giảm nghĩa là công ty đang thanh toán hóa đơn nhanh hơn.</w:t>
      </w:r>
    </w:p>
    <w:p>
      <w:pPr>
        <w:spacing w:after="80"/>
      </w:pPr>
      <w:r>
        <w:rPr>
          <w:b w:val="0"/>
          <w:i w:val="0"/>
        </w:rPr>
        <w:t>Các nhà đầu tư nên lưu ý rằng các kỹ thuật quản lý tiền mặt của Nardelli chắc chắn không phải là không phù hợp và dường như có lợi cho hoạt động của công ty. Tuy nhiên, điểm mấu chốt ở đây là mức tăng 3 tỷ đô la trong CFFO năm 2001 lẽ ra phải được xem là không thường xuyên. Những nhà đầu tư tinh ý sẽ dự đoán đúng rằng CFFO sẽ thu hẹp trong năm 2002.</w:t>
      </w:r>
    </w:p>
    <w:p>
      <w:pPr>
        <w:spacing w:after="80"/>
      </w:pPr>
      <w:r>
        <w:rPr>
          <w:b/>
          <w:i/>
        </w:rPr>
        <w:t>Cảnh giác với những mức tăng lớn và đáng ngờ trong khoản phải trả</w:t>
      </w:r>
      <w:r>
        <w:rPr>
          <w:b w:val="0"/>
          <w:i w:val="0"/>
        </w:rPr>
        <w:t xml:space="preserve"> Việc khoản phải trả tăng so với giá vốn hàng bán cho bạn biết rằng công ty có lẽ đã kéo dài thời gian thanh toán cho nhà cung cấp. Hãy đánh giá mức độ mà tăng trưởng CFFO bắt nguồn từ việc kéo dài thanh toán cho nhà cung cấp và coi khoản đó là mức tăng không bền vững, không liên quan đến hoạt động kinh doanh được cải thiện.</w:t>
      </w:r>
    </w:p>
    <w:p>
      <w:pPr>
        <w:spacing w:after="80"/>
      </w:pPr>
      <w:r>
        <w:rPr>
          <w:b/>
          <w:i/>
        </w:rPr>
        <w:t>Tìm kiếm những biến động dương lớn trên Báo cáo Lưu chuyển Tiền tệ</w:t>
      </w:r>
      <w:r>
        <w:rPr>
          <w:b w:val="0"/>
          <w:i w:val="0"/>
        </w:rPr>
        <w:t xml:space="preserve"> Chỉ cần xem nhanh CFFO của Home Depot năm 2001 là thấy rõ những cải thiện trong khoản phải trả người bán và hàng tồn kho chính là động lực chính của tăng trưởng CFFO. (Xem Bảng 12-1.) Trong năm tiếp theo, rõ ràng việc Home Depot không thể duy trì được sự cải thiện đó chính là nguyên nhân chính khiến CFFO suy giảm.</w:t>
      </w:r>
    </w:p>
    <w:p>
      <w:pPr>
        <w:spacing w:after="80"/>
      </w:pPr>
      <w:r>
        <w:rPr>
          <w:b/>
          <w:i/>
        </w:rPr>
        <w:t>Hãy cảnh giác khi các công ty sử dụng khoản phải trả người bán để "tài trợ"</w:t>
      </w:r>
      <w:r>
        <w:rPr>
          <w:b w:val="0"/>
          <w:i w:val="0"/>
        </w:rPr>
        <w:t xml:space="preserve"> Một số công ty chọn cách "tài trợ" khoản phải trả người bán bằng việc lôi kéo một ngân hàng vào các giao dịch với nhà cung cấp. Trong những thỏa thuận gọi là tài trợ nhà cung cấp này, công ty không trả tiền trực tiếp cho nhà cung cấp; thay vào đó, một ngân hàng thanh toán hóa đơn của nhà cung cấp, và công ty hoàn trả lại ngân hàng vào một ngày sau đó. Những giao dịch này dẫn đến việc hình thành khoản nợ ngân hàng trên Bảng Cân đối Kế toán của công ty thay cho khoản phải trả người bán. Vì việc trả nợ ngân hàng được phân loại trên Báo cáo Lưu chuyển Tiền tệ là hoạt động tài trợ, nên tiền mặt trả cho hàng tồn kho này sẽ không bao giờ được thể hiện như một dòng tiền ra từ hoạt động kinh doanh.</w:t>
      </w:r>
    </w:p>
    <w:p>
      <w:pPr>
        <w:spacing w:after="80"/>
      </w:pPr>
      <w:r>
        <w:rPr>
          <w:b w:val="0"/>
          <w:i w:val="0"/>
        </w:rPr>
        <w:t>Ví dụ, nhà mạng không dây T-Mobile đã đưa ra các thỏa thuận tài trợ nhà cung cấp cho các nhà cung cấp thiết bị cầm tay và thiết bị mạng của mình. Chỉ riêng trong năm 2015, T-Mobile đã trả 564 triệu đô la nợ ngắn hạn được dùng để mua hàng tồn kho thiết bị cầm tay và thiết bị mạng. Thật tiện lợi, dòng tiền ra này được chôn giấu trên Báo cáo Lưu chuyển Tiền tệ của T-Mobile như một hoạt động tài trợ.</w:t>
      </w:r>
    </w:p>
    <w:p>
      <w:pPr>
        <w:spacing w:after="80"/>
      </w:pPr>
      <w:r>
        <w:rPr>
          <w:b w:val="0"/>
          <w:i w:val="0"/>
        </w:rPr>
        <w:t>Giai thoại này cho thấy quyền tự quyết khổng lồ của ban quản lý trong việc phân loại một giao dịch đơn giản trên Báo cáo Lưu chuyển Tiền tệ. Để so sánh chính xác việc tạo ra dòng tiền ở các đối thủ cạnh tranh này, nhà đầu tư phải điều chỉnh cho sự khác biệt về chính sách này. Mỗi công ty đều cung cấp đầy đủ thông tin công bố để hiểu cách phân loại SCF của mình. Những nhà đầu tư cần mẫn sẽ sử dụng những thông tin công bố này để phản ánh cả hai mặt của giao dịch vay (dòng tiền vào và dòng tiền ra) là hoạt động tài trợ, chứ không phải hoạt động kinh doanh.</w:t>
      </w:r>
    </w:p>
    <w:p>
      <w:pPr>
        <w:spacing w:after="80"/>
      </w:pPr>
      <w:r>
        <w:rPr>
          <w:b w:val="0"/>
          <w:i w:val="0"/>
        </w:rPr>
        <w:t>MẸO</w:t>
      </w:r>
    </w:p>
    <w:p>
      <w:pPr>
        <w:spacing w:after="80"/>
      </w:pPr>
      <w:r>
        <w:rPr>
          <w:b w:val="0"/>
          <w:i w:val="0"/>
        </w:rPr>
        <w:t>Khoản phải trả người bán là một tài khoản tương đối đơn giản. Nếu bạn thấy một đoạn thảo luận về khoản phải trả người bán dài hơn vài câu, thì có lẽ trong đó có điều gì đó mà bạn muốn biết (ví dụ, các thỏa thuận tài trợ khoản phải trả người bán).</w:t>
      </w:r>
    </w:p>
    <w:p>
      <w:pPr>
        <w:spacing w:after="80"/>
      </w:pPr>
      <w:r>
        <w:rPr>
          <w:b/>
          <w:i/>
        </w:rPr>
        <w:t>Cảnh giác với những biến động trong các tài khoản phải trả khác</w:t>
      </w:r>
      <w:r>
        <w:rPr>
          <w:b w:val="0"/>
          <w:i w:val="0"/>
        </w:rPr>
        <w:t xml:space="preserve"> Khoản phải trả người bán không phải là nghĩa vụ duy nhất mà các công ty có thể dùng để quản lý dòng tiền của mình. CFFO có thể bị ảnh hưởng bởi thời điểm thanh toán trên nhiều tài khoản nợ phải trả, bao gồm các khoản nộp thuế, thanh toán lương hoặc tiền thưởng, và các khoản đóng góp vào quỹ hưu trí. Hãy xem xét việc tình hình thuế của Callaway Golf Company dẫn đến CFFO mạnh một cách không bền vững trong năm 2005.</w:t>
      </w:r>
    </w:p>
    <w:p>
      <w:pPr>
        <w:spacing w:after="80"/>
      </w:pPr>
      <w:r>
        <w:rPr>
          <w:b w:val="0"/>
          <w:i w:val="0"/>
        </w:rPr>
        <w:t>Callaway đã dành cả mùa giải nghỉ để cải thiện "cú đánh dài" của mình. Sự tận tâm ấy dường như đã được đền đáp. Năm 2005, Callaway đẩy CFFO lên tới 70,3 triệu đô la—một bước tiến đáng kể so với con số khiêm tốn 8,5 triệu đô la được báo cáo năm 2004. Chỉ cần liếc nhanh qua Báo cáo Lưu chuyển Tiền tệ là thấy rõ đà tăng trưởng CFFO đến từ một "cú vung gậy" được cải thiện—cụ thể là mức "dao động" 55,8 triệu đô la trong tác động của các khoản thuế phải trả và phải thu (có vẻ là nhờ các khoản hoàn thuế và thanh toán ròng). Với nhà đầu tư, việc phát hiện cú dao động thuế này trên Báo cáo Lưu chuyển Tiền tệ và suy ra rằng đà tăng trưởng CFFO mạnh mẽ của Callaway sẽ không lặp lại hẳn không quá khó.</w:t>
      </w:r>
    </w:p>
    <w:p>
      <w:pPr>
        <w:pStyle w:val="Heading4"/>
      </w:pPr>
      <w:r>
        <w:rPr>
          <w:rFonts w:ascii="Calibri" w:hAnsi="Calibri"/>
          <w:b/>
          <w:i w:val="0"/>
          <w:sz w:val="23"/>
        </w:rPr>
        <w:t>2. Đẩy CFFO lên bằng cách thu tiền từ khách hàng nhanh hơn</w:t>
      </w:r>
    </w:p>
    <w:p>
      <w:pPr>
        <w:spacing w:after="80"/>
      </w:pPr>
      <w:r>
        <w:rPr>
          <w:b w:val="0"/>
          <w:i w:val="0"/>
        </w:rPr>
        <w:t>Một cách khác để các công ty tạo ra mức tăng CFFO không lặp lại là thuyết phục khách hàng trả tiền cho mình nhanh hơn. Điều này chắc chắn không phải là chuyện xấu, thậm chí còn cho thấy công ty có đòn bẩy đáng kể đối với khách hàng. Tuy nhiên, cũng như phần thảo luận về việc kéo dài các khoản phải trả, công ty không thể tiếp tục thu tiền với tốc độ nhanh hơn mãi mãi. Kết quả là, mức tăng trưởng CFFO nhờ đẩy nhanh thu tiền nên được coi là không bền vững.</w:t>
      </w:r>
    </w:p>
    <w:p>
      <w:pPr>
        <w:pStyle w:val="Heading5"/>
      </w:pPr>
      <w:r>
        <w:rPr>
          <w:rFonts w:ascii="Calibri" w:hAnsi="Calibri"/>
          <w:b/>
          <w:i/>
          <w:sz w:val="22"/>
        </w:rPr>
        <w:t>Để ý những cú tăng CFFO từ các khoản trả trước cao hơn</w:t>
      </w:r>
    </w:p>
    <w:p>
      <w:pPr>
        <w:spacing w:after="80"/>
      </w:pPr>
      <w:r>
        <w:rPr>
          <w:b w:val="0"/>
          <w:i w:val="0"/>
        </w:rPr>
        <w:t xml:space="preserve">Với hãng xe điện cao cấp Tesla Motors, thanh khoản và dòng tiền là những chỉ số đặc biệt quan trọng đối với nhà đầu tư và bên cho vay. Kể từ khi thành lập năm 2003, Tesla chưa từng có một năm trọn vẹn nào dòng tiền tự do dương, và do đó công ty hoàn toàn phụ thuộc vào tài trợ nợ và phát hành cổ phiếu để tiếp tục tài trợ hoạt động. Năm 2016, dòng tiền ra từ hoạt động kinh doanh của Tesla có vẻ đã cải thiện, với mức ròng âm 124 triệu đô la, giảm so với mức âm 524 triệu đô la năm 2015. Tuy nhiên, điều thay đổi đáng kể nhất về dòng tiền năm đó là công ty </w:t>
      </w:r>
      <w:r>
        <w:rPr>
          <w:b w:val="0"/>
          <w:i/>
        </w:rPr>
        <w:t>bắt đầu nhận đơn đặt hàng và tiền đặt cọc có thể hoàn lại từ khách hàng</w:t>
      </w:r>
      <w:r>
        <w:rPr>
          <w:b w:val="0"/>
          <w:i w:val="0"/>
        </w:rPr>
        <w:t xml:space="preserve"> cho mẫu sedan Model 3, vốn mới chỉ được giới thiệu dưới dạng ý tưởng. Những khoản đặt cọc này đóng góp 350 triệu đô la dòng tiền vào bổ sung, tương đương 88 phần trăm mức cải thiện được báo cáo năm 2016. Nhà đầu tư hoài nghi sẽ nhận ra rằng về cơ bản doanh nghiệp vẫn đốt tiền với tốc độ như trước, nhưng nhờ một chiến dịch marketing thành công, nó có thể "vay mượn" từ các kỳ tương lai và đẩy nhanh thanh toán của khách hàng để báo cáo kết quả đẹp hơn.</w:t>
      </w:r>
    </w:p>
    <w:p>
      <w:pPr>
        <w:pStyle w:val="Heading5"/>
      </w:pPr>
      <w:r>
        <w:rPr>
          <w:rFonts w:ascii="Calibri" w:hAnsi="Calibri"/>
          <w:b/>
          <w:i/>
          <w:sz w:val="22"/>
        </w:rPr>
        <w:t>Để ý những chiến lược công phu nhằm tác động đến thời điểm dòng tiền</w:t>
      </w:r>
    </w:p>
    <w:p>
      <w:pPr>
        <w:spacing w:after="80"/>
      </w:pPr>
      <w:r>
        <w:rPr>
          <w:b w:val="0"/>
          <w:i w:val="0"/>
        </w:rPr>
        <w:t>Những dấu hiệu cảnh báo về việc đẩy nhanh thu tiền lẽ ra đã có thể bị phát hiện ở Silicon Graphics từ vài quý trước khi công ty phá sản vào tháng 5 năm 2006. Công ty ngập trong nợ và làm mọi cách trong khả năng để phô ra vị thế thanh khoản mạnh hơn trước nhà đầu tư. Khác với những công ty có thể dùng vị thế quyền lực với khách hàng để đẩy nhanh thu tiền, sức khỏe suy yếu của Silicon Graphics buộc nó phải đưa ra chiết khấu để dụ khách trả tiền sớm. Hãy xem công bố dưới đây từ báo cáo 10-Q tháng 9 năm 2005 của công ty. Đồng thời, để ý một chiêu quản lý tiền mặt khác mà Silicon Graphics đang chơi—giữ lại các khoản thanh toán cho nhà cung cấp và mua hàng tồn kho vào cuối quý—để cho thấy tiền mặt trên Bảng cân đối kế toán ở mức cao nhất vào ngày cuối cùng của quý. Nhà đầu tư cẩn trọng sẽ nhận ra những vấn đề này và biết rằng thảm họa không còn xa.</w:t>
      </w:r>
    </w:p>
    <w:p>
      <w:pPr>
        <w:spacing w:after="80"/>
      </w:pPr>
      <w:r>
        <w:rPr>
          <w:b w:val="0"/>
          <w:i w:val="0"/>
        </w:rPr>
        <w:t>SILICON GRAPHICS INC. BÁO CÁO 10-Q THÁNG 9 NĂM 2005</w:t>
      </w:r>
    </w:p>
    <w:p>
      <w:pPr>
        <w:spacing w:after="80"/>
      </w:pPr>
      <w:r>
        <w:rPr>
          <w:b w:val="0"/>
          <w:i w:val="0"/>
        </w:rPr>
        <w:t xml:space="preserve">Trong quý đầu tiên của năm tài chính 2006, chúng tôi duy trì tập trung vào việc thu tiền từ khách hàng và </w:t>
      </w:r>
      <w:r>
        <w:rPr>
          <w:b w:val="0"/>
          <w:i/>
        </w:rPr>
        <w:t>đưa ra điều khoản chiết khấu cho một số khách hàng nếu trả tiền sớm</w:t>
      </w:r>
      <w:r>
        <w:rPr>
          <w:b w:val="0"/>
          <w:i w:val="0"/>
        </w:rPr>
        <w:t>. Kết quả là, số ngày thu tiền bình quân của chúng tôi là 37 ngày vào ngày 30 tháng 9 năm 2005, giảm từ 49 ngày vào ngày 24 tháng 6 năm 2005 và 39 ngày vào ngày 24 tháng 9 năm 2004. Chúng tôi kỳ vọng số ngày thu tiền bình quân sẽ gần với mức lịch sử hơn trong quý thứ hai của năm tài chính 2006.</w:t>
      </w:r>
    </w:p>
    <w:p>
      <w:pPr>
        <w:spacing w:after="80"/>
      </w:pPr>
      <w:r>
        <w:rPr>
          <w:b w:val="0"/>
          <w:i w:val="0"/>
        </w:rPr>
        <w:t xml:space="preserve">Chúng tôi cũng trải qua những biến động đáng kể về mức tiền mặt trong nội bộ quý, dẫn đến việc </w:t>
      </w:r>
      <w:r>
        <w:rPr>
          <w:b w:val="0"/>
          <w:i/>
        </w:rPr>
        <w:t>số dư tiền mặt của chúng tôi thường ở mức cao nhất vào cuối mỗi quý và thấp hơn đáng kể vào những thời điểm khác.</w:t>
      </w:r>
      <w:r>
        <w:rPr>
          <w:b w:val="0"/>
          <w:i w:val="0"/>
        </w:rPr>
        <w:t xml:space="preserve"> Những biến động trong nội bộ quý này phản ánh chu kỳ kinh doanh của chúng tôi, với nhu cầu mua hàng tồn kho lớn vào đầu quý và phần lớn doanh số chốt vào vài tuần cuối quý. </w:t>
      </w:r>
      <w:r>
        <w:rPr>
          <w:b w:val="0"/>
          <w:i/>
        </w:rPr>
        <w:t>Để duy trì mức tiền mặt không bị hạn chế đầy đủ trong mỗi quý, chúng tôi đưa ra điều khoản chiết khấu cho một số khách hàng nếu trả tiền sớm và giữ lại một số khoản thanh toán cho nhà cung cấp đến đầu quý sau.</w:t>
      </w:r>
      <w:r>
        <w:rPr>
          <w:b w:val="0"/>
          <w:i w:val="0"/>
        </w:rPr>
        <w:t xml:space="preserve"> [Phần in nghiêng được thêm vào để nhấn mạnh]</w:t>
      </w:r>
    </w:p>
    <w:p>
      <w:pPr>
        <w:pStyle w:val="Heading5"/>
      </w:pPr>
      <w:r>
        <w:rPr>
          <w:rFonts w:ascii="Calibri" w:hAnsi="Calibri"/>
          <w:b/>
          <w:i/>
          <w:sz w:val="22"/>
        </w:rPr>
        <w:t>Hãy cảnh giác với những cải thiện chóng mặt về CFFO</w:t>
      </w:r>
    </w:p>
    <w:p>
      <w:pPr>
        <w:spacing w:after="80"/>
      </w:pPr>
      <w:r>
        <w:rPr>
          <w:b w:val="0"/>
          <w:i w:val="0"/>
        </w:rPr>
        <w:t>Nhà sản xuất thiết bị viễn thông Trung Quốc UTStarcom báo cáo CFFO cải thiện rõ rệt vào đầu năm 2008. Sau một năm 2007 ảm đạm với bốn quý liên tiếp CFFO âm (tổng cộng đốt 218 triệu đô la tiền mặt), công ty bỗng nhiên báo cáo dòng tiền dương 97 triệu đô la vào tháng 3 năm 2008. Nhà đầu tư có thể dễ dàng nhận ra rằng cú đảo chiều dòng tiền này đến từ hàng loạt hành động vốn lưu động đặc biệt hung hăng. Liếc nhanh qua Bảng cân đối kế toán là thấy khoản phải thu giảm 65 triệu đô la và khoản phải trả tăng 66 triệu đô la. Báo cáo 10-Q cho thêm thông tin và nhắc đến một trong những "quyết định của ban lãnh đạo" mà chúng tôi đã cảnh báo ở Chương 10, "Chiêu trò dòng tiền số 1, Chuyển dòng tiền vào từ hoạt động tài trợ sang phần hoạt động kinh doanh," với vụ Computer Associates khét tiếng. (Xem công bố kèm theo từ báo cáo 10-Q tháng 3 năm 2008 của UTStarcom.)</w:t>
      </w:r>
    </w:p>
    <w:p>
      <w:pPr>
        <w:spacing w:after="80"/>
      </w:pPr>
      <w:r>
        <w:rPr>
          <w:b w:val="0"/>
          <w:i w:val="0"/>
        </w:rPr>
        <w:t>CÔNG BỐ TRONG BÁO CÁO 10-Q THÁNG 3 NĂM 2008 CỦA UTSTARCOM ĐÃ KỂ CÂU CHUYỆN</w:t>
      </w:r>
    </w:p>
    <w:p>
      <w:pPr>
        <w:spacing w:after="80"/>
      </w:pPr>
      <w:r>
        <w:rPr>
          <w:b w:val="0"/>
          <w:i w:val="0"/>
        </w:rPr>
        <w:t xml:space="preserve">Khoản phải thu giảm chủ yếu do việc thu tiền từ khách hàng mạnh mẽ trong phân khúc kinh doanh PCD của chúng tôi. Khoản phải trả tăng do hoạt động mua hàng tồn kho đáng kể vào cuối quý đầu tiên của năm 2008, cũng như </w:t>
      </w:r>
      <w:r>
        <w:rPr>
          <w:b w:val="0"/>
          <w:i/>
        </w:rPr>
        <w:t>quyết định của ban lãnh đạo từ bỏ chiết khấu thanh toán sớm với một nhà cung cấp lớn</w:t>
      </w:r>
      <w:r>
        <w:rPr>
          <w:b w:val="0"/>
          <w:i w:val="0"/>
        </w:rPr>
        <w:t>. [Phần in nghiêng được thêm vào để nhấn mạnh]</w:t>
      </w:r>
    </w:p>
    <w:p>
      <w:pPr>
        <w:spacing w:after="80"/>
      </w:pPr>
      <w:r>
        <w:rPr>
          <w:b w:val="0"/>
          <w:i w:val="0"/>
        </w:rPr>
        <w:t>UTStarcom tiếp tục báo cáo dòng tiền hoạt động kinh doanh âm suốt phần còn lại của năm 2008. Bất chấp 97 triệu đô la CFFO dương trong quý đầu tiên, công ty kết thúc năm trong tình trạng âm, đã đốt hết 55 triệu đô la dòng tiền hoạt động kinh doanh.</w:t>
      </w:r>
    </w:p>
    <w:p>
      <w:pPr>
        <w:spacing w:after="80"/>
      </w:pPr>
      <w:r>
        <w:rPr>
          <w:b w:val="0"/>
          <w:i w:val="0"/>
        </w:rPr>
        <w:t>MẸO</w:t>
      </w:r>
    </w:p>
    <w:p>
      <w:pPr>
        <w:spacing w:after="80"/>
      </w:pPr>
      <w:r>
        <w:rPr>
          <w:b w:val="0"/>
          <w:i w:val="0"/>
        </w:rPr>
        <w:t>Trong khi nhiều nhà đầu tư tỏ ra hài lòng khi ban lãnh đạo nói rằng họ đang “quản lý vốn lưu động một cách quyết liệt,” bạn nên coi đây là một dấu hiệu cảnh báo rằng đà tăng CFFO gần đây có thể không bền vững.</w:t>
      </w:r>
    </w:p>
    <w:p>
      <w:pPr>
        <w:pStyle w:val="Heading4"/>
      </w:pPr>
      <w:r>
        <w:rPr>
          <w:rFonts w:ascii="Calibri" w:hAnsi="Calibri"/>
          <w:b/>
          <w:i w:val="0"/>
          <w:sz w:val="23"/>
        </w:rPr>
        <w:t>3. Thúc đẩy CFFO bằng cách mua ít hàng tồn kho hơn</w:t>
      </w:r>
    </w:p>
    <w:p>
      <w:pPr>
        <w:spacing w:after="80"/>
      </w:pPr>
      <w:r>
        <w:rPr>
          <w:b w:val="0"/>
          <w:i w:val="0"/>
        </w:rPr>
        <w:t>Home Depot, như bạn còn nhớ, đã nhận được một cú hích CFFO không bền vững vào năm 2001 nhờ kéo dài thời gian thanh toán cho các nhà cung cấp. Chà, công ty còn có một chiêu khác để cải thiện CFFO trong tay áo: mua ít hàng tồn kho hơn.</w:t>
      </w:r>
    </w:p>
    <w:p>
      <w:pPr>
        <w:spacing w:after="80"/>
      </w:pPr>
      <w:r>
        <w:rPr>
          <w:b w:val="0"/>
          <w:i w:val="0"/>
        </w:rPr>
        <w:t>Ở phần trước của chương này, chúng ta đã thảo luận về việc Bob Nardelli đã tăng gấp đôi dòng tiền hoạt động của Home Depot trong năm đầu tiên đảm nhiệm cương vị của mình bằng cách kéo dài thời gian thanh toán cho nhà cung cấp và giảm lượng hàng tồn kho tại mỗi cửa hàng. Home Depot hạ mức tồn kho đơn giản bằng cách không bổ sung hàng lên kệ sau khi hàng đã được bán. Nói cách khác, công ty chỉ đơn giản là không mua nhiều hàng tồn kho từ các nhà cung cấp như những năm trước.</w:t>
      </w:r>
    </w:p>
    <w:p>
      <w:pPr>
        <w:spacing w:after="80"/>
      </w:pPr>
      <w:r>
        <w:rPr>
          <w:b w:val="0"/>
          <w:i w:val="0"/>
        </w:rPr>
        <w:t>Cũng giống như cách Home Depot của Nardelli “cải thiện ngoại hình” CFFO (bằng cách trả tiền cho nhà cung cấp chậm hơn), một công ty chọn mua ít hàng tồn kho hơn cũng sẽ tạo ra một cú hích nhân tạo và không bền vững cho CFFO. Hãy cùng xem lại Báo cáo Lưu chuyển Tiền tệ của Home Depot trong Bảng 12-1 để thấy sự đảo chiều của hàng tồn kho từ dòng tiền ra 1,1 tỷ đô la vào năm 2000 xuống chỉ còn dòng tiền ra 166 triệu đô la vào năm 2001 (rồi sau đó quay trở lại dòng tiền ra 1,6 tỷ đô la vào năm 2002 khi lợi ích này đảo ngược).</w:t>
      </w:r>
    </w:p>
    <w:p>
      <w:pPr>
        <w:spacing w:after="80"/>
      </w:pPr>
      <w:r>
        <w:rPr>
          <w:b w:val="0"/>
          <w:i w:val="0"/>
        </w:rPr>
        <w:t>Công bằng mà nói, Home Depot đã rất rõ ràng trong phần công bố thông tin thuộc mục Thanh khoản và Nguồn vốn (Liquidity and Capital Resources) trong hồ sơ 10-K của mình, nêu rằng tăng trưởng CFFO chủ yếu được thúc đẩy bởi việc kéo dài thời gian thanh toán cho nhà cung cấp và giảm hàng tồn kho trên mỗi cửa hàng (xem phần công bố trong khung đi kèm). Nhà đầu tư sẽ được phục vụ tốt nếu đọc hết toàn bộ tài liệu, bởi vì những thông tin quý giá như vậy có thể được tìm thấy sâu bên trong hồ sơ.</w:t>
      </w:r>
    </w:p>
    <w:p>
      <w:pPr>
        <w:spacing w:after="80"/>
      </w:pPr>
      <w:r>
        <w:rPr>
          <w:b w:val="0"/>
          <w:i w:val="0"/>
        </w:rPr>
        <w:t>10-K NĂM 2002 CỦA HOME DEPOT</w:t>
      </w:r>
    </w:p>
    <w:p>
      <w:pPr>
        <w:spacing w:after="80"/>
      </w:pPr>
      <w:r>
        <w:rPr>
          <w:b w:val="0"/>
          <w:i w:val="0"/>
        </w:rPr>
        <w:t>Đối với năm tài chính 2001, tiền do hoạt động kinh doanh cung cấp đã tăng lên 6,0 tỷ đô la từ 2,8 tỷ đô la trong năm tài chính 2000. Mức tăng chủ yếu là do sự tăng trưởng đáng kể về số ngày phải trả (days payable outstanding) từ 23 ngày vào cuối năm tài chính 2000 lên 34 ngày vào cuối năm tài chính 2001, mức giảm 12,7% hàng tồn kho bình quân trên mỗi cửa hàng tính đến cuối năm tài chính 2001 và thu nhập hoạt động tăng.</w:t>
      </w:r>
    </w:p>
    <w:p>
      <w:pPr>
        <w:spacing w:after="80"/>
      </w:pPr>
      <w:r>
        <w:rPr>
          <w:b w:val="0"/>
          <w:i w:val="0"/>
        </w:rPr>
        <w:t>Vào năm tiếp theo, Home Depot không được hưởng lợi từ việc giảm hàng tồn kho. Tuy nhiên, công ty đã đưa ra một cách diễn giải hay ho về điều này trong mục Thanh khoản và Nguồn vốn, ngụ ý rằng họ đã cắt giảm hàng tồn kho quá nhiều trong năm trước.</w:t>
      </w:r>
    </w:p>
    <w:p>
      <w:pPr>
        <w:spacing w:after="80"/>
      </w:pPr>
      <w:r>
        <w:rPr>
          <w:b w:val="0"/>
          <w:i w:val="0"/>
        </w:rPr>
        <w:t>10-K NĂM 2003 CỦA HOME DEPOT</w:t>
      </w:r>
    </w:p>
    <w:p>
      <w:pPr>
        <w:spacing w:after="80"/>
      </w:pPr>
      <w:r>
        <w:rPr>
          <w:b w:val="0"/>
          <w:i w:val="0"/>
        </w:rPr>
        <w:t xml:space="preserve">Đối với năm tài chính 2002, tiền do hoạt động kinh doanh cung cấp đã giảm xuống 4,8 tỷ đô la từ 6,0 tỷ đô la trong năm tài chính 2001. Mức giảm chủ yếu là do </w:t>
      </w:r>
      <w:r>
        <w:rPr>
          <w:b w:val="0"/>
          <w:i/>
        </w:rPr>
        <w:t>hàng tồn kho bình quân trên mỗi cửa hàng tăng 7,9% xuất phát từ việc chúng tôi tập trung cải thiện tình trạng sẵn có hàng hóa của mình trong năm tài chính 2002.</w:t>
      </w:r>
      <w:r>
        <w:rPr>
          <w:b w:val="0"/>
          <w:i w:val="0"/>
        </w:rPr>
        <w:t xml:space="preserve"> [In nghiêng được thêm vào để nhấn mạnh]</w:t>
      </w:r>
    </w:p>
    <w:p>
      <w:pPr>
        <w:spacing w:after="80"/>
      </w:pPr>
      <w:r>
        <w:rPr>
          <w:b w:val="0"/>
          <w:i w:val="0"/>
        </w:rPr>
        <w:t>MẸO</w:t>
      </w:r>
    </w:p>
    <w:p>
      <w:pPr>
        <w:spacing w:after="80"/>
      </w:pPr>
      <w:r>
        <w:rPr>
          <w:b w:val="0"/>
          <w:i w:val="0"/>
        </w:rPr>
        <w:t>Ẩn sâu trong các báo cáo 10-Q và 10-K là một số hiểu biết thêm về các yếu tố thúc đẩy dòng tiền. Đây là một trong những mục quan trọng nhất của hồ sơ, nhưng nhiều nhà đầu tư không biết rằng nó tồn tại. Để tìm thấy nó, hãy chuyển đến phần Thảo luận và Phân tích của Ban lãnh đạo (Management Discussion and Analysis – MD&amp;A) — trong một mục thường được gọi là “Thanh khoản và Nguồn vốn.” Mục này là phần bắt buộc phải đọc đối với mọi công ty bạn phân tích.</w:t>
      </w:r>
    </w:p>
    <w:p>
      <w:pPr>
        <w:pStyle w:val="Heading5"/>
      </w:pPr>
      <w:r>
        <w:rPr>
          <w:rFonts w:ascii="Calibri" w:hAnsi="Calibri"/>
          <w:b/>
          <w:i/>
          <w:sz w:val="22"/>
        </w:rPr>
        <w:t>Hãy để ý đến phần công bố về thời điểm mua hàng tồn kho trong mỗi quý</w:t>
      </w:r>
    </w:p>
    <w:p>
      <w:pPr>
        <w:spacing w:after="80"/>
      </w:pPr>
      <w:r>
        <w:rPr>
          <w:b w:val="0"/>
          <w:i w:val="0"/>
        </w:rPr>
        <w:t>Silicon Graphics mua hàng tồn kho vào ngay đầu mỗi quý rồi sau đó giảm bớt càng nhiều càng tốt vào cuối kỳ, để rồi lại mua thêm một khi quý đóng lại. (Xem phần công bố trong 10-Q trong phần thảo luận trước đó của chúng ta về Silicon Graphics.) Cũng như các kế hoạch quản lý khoản phải thu và khoản phải trả của mình, công ty đã sử dụng chiến lược này để thao túng nhận thức của nhà đầu tư rằng thanh khoản của nó là đầy đủ trong khi nó đang chênh vênh bên bờ vực phá sản.</w:t>
      </w:r>
    </w:p>
    <w:p>
      <w:pPr>
        <w:pStyle w:val="Heading4"/>
      </w:pPr>
      <w:r>
        <w:rPr>
          <w:rFonts w:ascii="Calibri" w:hAnsi="Calibri"/>
          <w:b/>
          <w:i w:val="0"/>
          <w:sz w:val="23"/>
        </w:rPr>
        <w:t>4. Thúc đẩy CFFO bằng các lợi ích một lần</w:t>
      </w:r>
    </w:p>
    <w:p>
      <w:pPr>
        <w:spacing w:after="80"/>
      </w:pPr>
      <w:r>
        <w:rPr>
          <w:b w:val="0"/>
          <w:i w:val="0"/>
        </w:rPr>
        <w:t>Microsoft đã chi ra hàng tỷ đô la để dàn xếp các vụ kiện chống độc quyền từ năm 2004 đến 2007. Một trong những bên nhận được nhiều nhất, Sun Microsystems, đã bỏ túi gần 2 tỷ đô la từ Microsoft vào năm 2004 (trong đó 1,6 tỷ đô la được ghi nhận ngay là thu nhập). Sun đã trình bày khoản mục một lần lớn này một cách rõ ràng trên Báo cáo Hoạt động của mình, liệt kê riêng nó là "thu nhập từ dàn xếp." Việc công bố của Sun khiến nhà đầu tư rất dễ hiểu rằng thu nhập từ vụ dàn xếp này là không thường xuyên và không liên quan đến hoạt động bình thường của công ty; nó được báo cáo "dưới dòng" như thu nhập ngoài hoạt động.</w:t>
      </w:r>
    </w:p>
    <w:p>
      <w:pPr>
        <w:spacing w:after="80"/>
      </w:pPr>
      <w:r>
        <w:rPr>
          <w:b w:val="0"/>
          <w:i w:val="0"/>
        </w:rPr>
        <w:t>Tuy nhiên, Báo cáo Lưu chuyển Tiền tệ của Sun lại kém rõ ràng hơn. Công ty ghi nhận 2 tỷ đô la tiền mặt như một dòng tiền vào từ hoạt động (điều này là phù hợp theo phương pháp gián tiếp), nhưng nó không được liệt kê riêng trên SCF; thay vào đó, nó chỉ được gộp chung với thu nhập ròng. Như bạn có thể hình dung, một vụ dàn xếp trị giá 2 tỷ đô la là khá trọng yếu đối với kết quả của Sun—CFFO cho cả năm 2004 là 2,2 tỷ đô la, tăng từ 1,0 tỷ đô la vào năm 2003. Những nhà đầu tư cẩn thận sẽ nhận thấy vụ dàn xếp này được phản ánh trên Báo cáo Hoạt động và ngay lập tức nhận ra rằng đó là một nguồn CFFO không bền vững.</w:t>
      </w:r>
    </w:p>
    <w:p>
      <w:pPr>
        <w:spacing w:after="80"/>
      </w:pPr>
      <w:r>
        <w:rPr>
          <w:b w:val="0"/>
          <w:i w:val="0"/>
        </w:rPr>
        <w:t>MẸO</w:t>
      </w:r>
    </w:p>
    <w:p>
      <w:pPr>
        <w:spacing w:after="80"/>
      </w:pPr>
      <w:r>
        <w:rPr>
          <w:b w:val="0"/>
          <w:i w:val="0"/>
        </w:rPr>
        <w:t>Những khoản tăng CFFO không thường xuyên thường không được công bố rõ ràng trên Báo cáo Lưu chuyển Tiền tệ. Mỗi khi bạn phát hiện bất kỳ loại lợi ích thu nhập một lần nào, hãy tự hỏi: "Khoản tăng này ảnh hưởng thế nào đến Báo cáo Lưu chuyển Tiền tệ?"</w:t>
      </w:r>
    </w:p>
    <w:p>
      <w:pPr>
        <w:pStyle w:val="Heading3"/>
      </w:pPr>
      <w:r>
        <w:rPr>
          <w:rFonts w:ascii="Calibri" w:hAnsi="Calibri"/>
          <w:b/>
          <w:i w:val="0"/>
          <w:sz w:val="26"/>
        </w:rPr>
        <w:t>Nhìn về phía trước</w:t>
      </w:r>
    </w:p>
    <w:p>
      <w:pPr>
        <w:spacing w:after="80"/>
      </w:pPr>
      <w:r>
        <w:rPr>
          <w:b w:val="0"/>
          <w:i w:val="0"/>
        </w:rPr>
        <w:t>Đến đây là kết thúc đơn vị của chúng ta về các Thủ thuật Dòng tiền—những kỹ thuật được dùng để thổi phồng dòng tiền từ hoạt động. Tổng thể, Phần Hai và Phần Ba tập trung vào những chiêu trò gây ấn tượng với nhà đầu tư bằng thu nhập được báo cáo cao hơn hoặc dòng tiền từ hoạt động cao hơn. Trong Phần Bốn, chúng ta sẽ chỉ ra cách các thủ thuật kế toán cũng có thể làm ô nhiễm các chỉ số phi GAAP và các chỉ số hiệu suất chính của ban lãnh đạo.</w:t>
      </w:r>
    </w:p>
    <w:p>
      <w:pPr>
        <w:pStyle w:val="Heading1"/>
      </w:pPr>
      <w:r>
        <w:rPr>
          <w:rFonts w:ascii="Calibri" w:hAnsi="Calibri"/>
          <w:b/>
          <w:i w:val="0"/>
          <w:sz w:val="40"/>
        </w:rPr>
        <w:t>PHẦN BỐN</w:t>
      </w:r>
    </w:p>
    <w:p>
      <w:pPr>
        <w:pStyle w:val="Heading1"/>
      </w:pPr>
      <w:r>
        <w:rPr>
          <w:rFonts w:ascii="Calibri" w:hAnsi="Calibri"/>
          <w:b/>
          <w:i w:val="0"/>
          <w:sz w:val="40"/>
        </w:rPr>
        <w:t>CÁC THỦ THUẬT VỚI CHỈ SỐ CHÍNH</w:t>
      </w:r>
    </w:p>
    <w:p>
      <w:pPr>
        <w:spacing w:after="80"/>
      </w:pPr>
      <w:r>
        <w:rPr>
          <w:b w:val="0"/>
          <w:i w:val="0"/>
        </w:rPr>
        <w:t>Chúng ta đã leo được hai ngọn núi đầu tiên trong hành trình chinh phục các thủ thuật tài chính, còn hai ngọn núi nữa phía trước. Cho đến nay, chúng ta đã tập trung vào việc đánh giá hiệu suất của các công ty bằng hai chỉ số riêng biệt: thu nhập và dòng tiền.</w:t>
      </w:r>
    </w:p>
    <w:p>
      <w:pPr>
        <w:spacing w:after="80"/>
      </w:pPr>
      <w:r>
        <w:rPr>
          <w:b w:val="0"/>
          <w:i w:val="0"/>
        </w:rPr>
        <w:t>Phần Hai, "Các Thủ thuật Thao túng Thu nhập," đã thảo luận về các kỹ thuật thao túng các con số hiệu suất dựa trên cơ sở dồn tích bằng cách mày mò với doanh thu và chi phí hoặc chuyển chúng sang sai mục hoặc sai báo cáo tài chính hoàn toàn. Chúng tôi đã chỉ ra những hạn chế của các chỉ số hiệu suất dựa trên cơ sở dồn tích như thu nhập ròng, và chúng tôi đề xuất rằng nhà đầu tư nên mở rộng phân tích của mình để đánh giá các chỉ số hiệu suất dòng tiền như dòng tiền từ hoạt động và dòng tiền tự do.</w:t>
      </w:r>
    </w:p>
    <w:p>
      <w:pPr>
        <w:spacing w:after="80"/>
      </w:pPr>
      <w:r>
        <w:rPr>
          <w:b w:val="0"/>
          <w:i w:val="0"/>
        </w:rPr>
        <w:t>Phần Ba, "Các Thủ thuật Dòng tiền," đã đề cập đến một hiện tượng tương đối mới và đáng lo ngại: xu hướng của ban lãnh đạo sử dụng các Thủ thuật Dòng tiền để tạo cho công ty vẻ ngoài gây nhầm lẫn rằng công ty có dòng tiền từ hoạt động và dòng tiền tự do mạnh mẽ. Chúng tôi cũng đã trình bày các chiến lược mà nhà đầu tư có thể dùng để phát hiện các Thủ thuật Dòng tiền và điều chỉnh các con số được báo cáo để loại bỏ những khoản tăng không bền vững này.</w:t>
      </w:r>
    </w:p>
    <w:p>
      <w:pPr>
        <w:spacing w:after="80"/>
      </w:pPr>
      <w:r>
        <w:rPr>
          <w:b w:val="0"/>
          <w:i w:val="0"/>
        </w:rPr>
        <w:t>Đến đây, bạn có thể hít một hơi thật sâu và cảm thấy hài lòng về khả năng đánh giá hiệu suất "kinh tế" của một công ty thông qua các mô hình dựa trên cơ sở dồn tích (Báo cáo Thu nhập) và dựa trên tiền mặt (Báo cáo Lưu chuyển Tiền tệ), ngay cả khi ban lãnh đạo dùng thủ thuật để che giấu sự thật với nhà đầu tư. Bạn cũng đã học được cách phát hiện hàng chục chiêu trò mà ban lãnh đạo sử dụng.</w:t>
      </w:r>
    </w:p>
    <w:p>
      <w:pPr>
        <w:spacing w:after="80"/>
      </w:pPr>
      <w:r>
        <w:rPr>
          <w:b w:val="0"/>
          <w:i w:val="0"/>
        </w:rPr>
        <w:t>Tuy nhiên, hành trình của bạn mới chỉ đi được một nửa. Trong Phần Bốn, "Các Thủ thuật với Chỉ số Chính," chúng ta thảo luận về tầm quan trọng của việc sử dụng các "chỉ số chính" khác để đánh giá hiệu suất và sức khỏe kinh tế của một công ty, và chúng ta phơi bày những chiêu trò mà các công ty có thể dùng để làm mờ bức tranh và đánh lừa nhà đầu tư.</w:t>
      </w:r>
    </w:p>
    <w:p>
      <w:pPr>
        <w:pStyle w:val="Heading3"/>
      </w:pPr>
      <w:r>
        <w:rPr>
          <w:rFonts w:ascii="Calibri" w:hAnsi="Calibri"/>
          <w:b/>
          <w:i w:val="0"/>
          <w:sz w:val="26"/>
        </w:rPr>
        <w:t>Hai Thủ thuật với Chỉ số Chính</w:t>
      </w:r>
    </w:p>
    <w:p>
      <w:pPr>
        <w:spacing w:after="80"/>
      </w:pPr>
      <w:r>
        <w:rPr>
          <w:b w:val="0"/>
          <w:i w:val="0"/>
        </w:rPr>
        <w:t>CÁC THỦ THUẬT VỚI CHỈ SỐ CHÍNH</w:t>
      </w:r>
    </w:p>
    <w:p>
      <w:pPr>
        <w:spacing w:after="80"/>
      </w:pPr>
      <w:r>
        <w:rPr>
          <w:b/>
          <w:i w:val="0"/>
        </w:rPr>
        <w:t>KM Số 1:</w:t>
      </w:r>
      <w:r>
        <w:rPr>
          <w:b w:val="0"/>
          <w:i w:val="0"/>
        </w:rPr>
        <w:t xml:space="preserve"> Trưng ra các chỉ số gây nhầm lẫn làm phóng đại hiệu suất (Chương 13)</w:t>
      </w:r>
    </w:p>
    <w:p>
      <w:pPr>
        <w:spacing w:after="80"/>
      </w:pPr>
      <w:r>
        <w:rPr>
          <w:b/>
          <w:i w:val="0"/>
        </w:rPr>
        <w:t>KM số 2:</w:t>
      </w:r>
      <w:r>
        <w:rPr>
          <w:b w:val="0"/>
          <w:i w:val="0"/>
        </w:rPr>
        <w:t xml:space="preserve"> Bóp méo các chỉ số trên Bảng cân đối kế toán để tránh cho thấy sự suy thoái (Chương 14)</w:t>
      </w:r>
    </w:p>
    <w:p>
      <w:pPr>
        <w:spacing w:after="80"/>
      </w:pPr>
      <w:r>
        <w:rPr>
          <w:b w:val="0"/>
          <w:i w:val="0"/>
        </w:rPr>
        <w:t>Đầu tư thành công đòi hỏi phải phân tích kỹ lưỡng một loạt các chỉ số về hiệu quả tài chính và sức khỏe kinh tế của một công ty. Một số thông tin liên quan có thể dễ dàng tìm thấy khi đọc Báo cáo kết quả kinh doanh, Báo cáo lưu chuyển tiền tệ và Bảng cân đối kế toán. Những thông tin quan trọng khác có thể thu thập được từ các tài liệu bổ sung (thông cáo báo chí của công ty, Báo cáo thu nhập, phần chú thích và phần Thảo luận và Phân tích của Ban quản lý đi kèm với báo cáo tài chính). Ngoài ra, nhà đầu tư nên nghiên cứu báo cáo tài chính của các đối thủ cạnh tranh, không chỉ để so sánh các chỉ số hiệu quả và sức khỏe, mà còn để đánh giá việc áp dụng các chuẩn mực kế toán và mức độ công bố thông tin.</w:t>
      </w:r>
    </w:p>
    <w:p>
      <w:pPr>
        <w:spacing w:after="80"/>
      </w:pPr>
      <w:r>
        <w:rPr>
          <w:b w:val="0"/>
          <w:i w:val="0"/>
        </w:rPr>
        <w:t>Giờ thì bạn đã có vô số dữ liệu để đọc và phân tích. Tuyệt vời, nhưng trước khi bắt tay vào, hãy nhớ đặt hai câu hỏi quan trọng sau:</w:t>
      </w:r>
    </w:p>
    <w:p>
      <w:pPr>
        <w:spacing w:after="80"/>
      </w:pPr>
      <w:r>
        <w:rPr>
          <w:b/>
          <w:i w:val="0"/>
        </w:rPr>
        <w:t>1.</w:t>
      </w:r>
      <w:r>
        <w:rPr>
          <w:b w:val="0"/>
          <w:i w:val="0"/>
        </w:rPr>
        <w:t xml:space="preserve"> Đâu là </w:t>
      </w:r>
      <w:r>
        <w:rPr>
          <w:b w:val="0"/>
          <w:i/>
        </w:rPr>
        <w:t>những chỉ số tốt nhất phản ánh hiệu quả hoạt động của chính công ty đó</w:t>
      </w:r>
      <w:r>
        <w:rPr>
          <w:b w:val="0"/>
          <w:i w:val="0"/>
        </w:rPr>
        <w:t>, và liệu ban quản lý có làm nổi bật, phớt lờ, bóp méo, hay thậm chí tự bịa ra phiên bản chỉ số của riêng mình không?</w:t>
      </w:r>
    </w:p>
    <w:p>
      <w:pPr>
        <w:spacing w:after="80"/>
      </w:pPr>
      <w:r>
        <w:rPr>
          <w:b/>
          <w:i w:val="0"/>
        </w:rPr>
        <w:t>2.</w:t>
      </w:r>
      <w:r>
        <w:rPr>
          <w:b w:val="0"/>
          <w:i w:val="0"/>
        </w:rPr>
        <w:t xml:space="preserve"> Đâu là </w:t>
      </w:r>
      <w:r>
        <w:rPr>
          <w:b w:val="0"/>
          <w:i/>
        </w:rPr>
        <w:t>những chỉ số tốt nhất có thể tiết lộ sức khỏe kinh tế đang suy thoái của một công ty cụ thể</w:t>
      </w:r>
      <w:r>
        <w:rPr>
          <w:b w:val="0"/>
          <w:i w:val="0"/>
        </w:rPr>
        <w:t>, và liệu ban quản lý có làm nổi bật, phớt lờ, bóp méo, hay thậm chí tự bịa ra phiên bản chỉ số của riêng mình không?</w:t>
      </w:r>
    </w:p>
    <w:p>
      <w:pPr>
        <w:spacing w:after="80"/>
      </w:pPr>
      <w:r>
        <w:rPr>
          <w:b w:val="0"/>
          <w:i w:val="0"/>
        </w:rPr>
        <w:t>Các nhà đầu tư ngày càng đánh giá công ty bằng cả các chỉ số liên quan đến hiệu quả hoạt động lẫn các chỉ số liên quan đến sức khỏe kinh tế. Không có gì ngạc nhiên khi với áp lực phải làm hài lòng nhà đầu tư lớn đến vậy, ban quản lý cung cấp nhiều thông tin hơn hẳn, nhưng họ thường cố gắng ngụy trang bất kỳ sự suy thoái nào trong hoạt động kinh doanh. Chúng tôi gọi nhóm thủ thuật này là Chiêu trò Chỉ số then chốt (Key Metric - KM). Chúng có thể được nhóm thành (1) các chỉ số hiệu quả hoạt động và (2) các chỉ số sức khỏe kinh tế.</w:t>
      </w:r>
    </w:p>
    <w:p>
      <w:pPr>
        <w:pStyle w:val="Heading4"/>
      </w:pPr>
      <w:r>
        <w:rPr>
          <w:rFonts w:ascii="Calibri" w:hAnsi="Calibri"/>
          <w:b/>
          <w:i w:val="0"/>
          <w:sz w:val="23"/>
        </w:rPr>
        <w:t>Đánh giá các chỉ số hiệu quả tài chính và sức khỏe kinh tế</w:t>
      </w:r>
    </w:p>
    <w:p>
      <w:pPr>
        <w:spacing w:after="80"/>
      </w:pPr>
      <w:r>
        <w:rPr>
          <w:b w:val="0"/>
          <w:i w:val="0"/>
        </w:rPr>
        <w:t>Với một ngành hoặc một công ty cụ thể, hãy bắt đầu bằng việc tìm hiểu những chỉ số tốt nhất để đánh giá hiệu quả kinh tế và sức khỏe kinh tế—cả trong quá khứ lẫn dự kiến trong ngắn hạn. (Các dự đoán hiệu quả hoạt động dài hạn thường cực kỳ thiếu chính xác và ít mang lại giá trị cho nhà đầu tư.)</w:t>
      </w:r>
    </w:p>
    <w:p>
      <w:pPr>
        <w:spacing w:after="80"/>
      </w:pPr>
      <w:r>
        <w:rPr>
          <w:b w:val="0"/>
          <w:i w:val="0"/>
        </w:rPr>
        <w:t xml:space="preserve">Hãy xét một doanh nghiệp dựa trên mô hình đăng ký thuê bao. Bắt đầu với các chỉ số hiệu quả truyền thống được báo cáo trên Báo cáo kết quả kinh doanh (doanh thu, lợi nhuận hoạt động, thu nhập ròng và thu nhập trên mỗi cổ phiếu [EPS]) và trên Báo cáo lưu chuyển tiền tệ (dòng tiền từ hoạt động kinh doanh và dòng tiền tự do). Không có gì sai với bất kỳ chỉ số nào trong số này—miễn là </w:t>
      </w:r>
      <w:r>
        <w:rPr>
          <w:b w:val="0"/>
          <w:i/>
        </w:rPr>
        <w:t>không</w:t>
      </w:r>
      <w:r>
        <w:rPr>
          <w:b w:val="0"/>
          <w:i w:val="0"/>
        </w:rPr>
        <w:t xml:space="preserve"> tồn tại Chiêu trò thao túng thu nhập hay Chiêu trò dòng tiền. Nhưng danh sách này sẽ thiếu ít nhất một mẩu thông tin cực kỳ quan trọng—những diễn biến gần đây trong hoạt động kinh doanh. Số lượng thuê bao gần đây có đang giảm không? Số doanh thu kiếm được từ mỗi thuê bao có giảm trong vài quý vừa qua không? Vì cả doanh thu dựa trên cơ sở dồn tích lẫn CFFO dựa trên dòng tiền đều tập trung vào </w:t>
      </w:r>
      <w:r>
        <w:rPr>
          <w:b w:val="0"/>
          <w:i/>
        </w:rPr>
        <w:t>doanh thu hay dòng tiền trong quá khứ, chứ không phải dự kiến</w:t>
      </w:r>
      <w:r>
        <w:rPr>
          <w:b w:val="0"/>
          <w:i w:val="0"/>
        </w:rPr>
        <w:t>, nhà đầu tư nên háo hức đón nhận và đánh giá các chỉ số dựa trên thuê bao. Thông tin này sẽ vô cùng giá trị.</w:t>
      </w:r>
    </w:p>
    <w:p>
      <w:pPr>
        <w:pStyle w:val="Heading4"/>
      </w:pPr>
      <w:r>
        <w:rPr>
          <w:rFonts w:ascii="Calibri" w:hAnsi="Calibri"/>
          <w:b/>
          <w:i w:val="0"/>
          <w:sz w:val="23"/>
        </w:rPr>
        <w:t>Các nhóm chỉ số hiệu quả hoạt động</w:t>
      </w:r>
    </w:p>
    <w:p>
      <w:pPr>
        <w:spacing w:after="80"/>
      </w:pPr>
      <w:r>
        <w:rPr>
          <w:b w:val="0"/>
          <w:i w:val="0"/>
        </w:rPr>
        <w:t xml:space="preserve">Hãy nghĩ về các chỉ số hiệu quả tài chính truyền thống của chúng ta (ví dụ: doanh thu, thu nhập ròng và dòng tiền) giống như </w:t>
      </w:r>
      <w:r>
        <w:rPr>
          <w:b w:val="0"/>
          <w:i/>
        </w:rPr>
        <w:t>bảng tỷ số</w:t>
      </w:r>
      <w:r>
        <w:rPr>
          <w:b w:val="0"/>
          <w:i w:val="0"/>
        </w:rPr>
        <w:t xml:space="preserve"> của trận bóng chày hôm qua. Dù thông tin phản ánh hiệu quả trong quá khứ, nó thường có thể cung cấp những chỉ dấu rất liên quan về sức mạnh của đội bóng, và trong nhiều trường hợp, nó có thể hé lộ điều ta nên kỳ vọng vào ngày mai. Tuy nhiên, vẫn tồn tại hoặc có thể suy ra được những mẩu thông tin bổ sung khác bị loại khỏi bảng tỷ số, nhưng lại thiết yếu cho việc phân tích đội bóng. Như nhà sử học bóng chày Bill James đã nhận ra khi ông tiên phong một hình thức phân tích thống kê bóng chày mới (và như Michael Lewis đã minh họa tuyệt đẹp trong cuốn sách </w:t>
      </w:r>
      <w:r>
        <w:rPr>
          <w:b w:val="0"/>
          <w:i/>
        </w:rPr>
        <w:t>Moneyball</w:t>
      </w:r>
      <w:r>
        <w:rPr>
          <w:b w:val="0"/>
          <w:i w:val="0"/>
        </w:rPr>
        <w:t xml:space="preserve"> của mình), nhiều thống kê bóng chày phi truyền thống có thể tiết lộ nhiều hơn các chỉ số truyền thống được liệt kê trong bảng tỷ số.</w:t>
      </w:r>
    </w:p>
    <w:p>
      <w:pPr>
        <w:spacing w:after="80"/>
      </w:pPr>
      <w:r>
        <w:rPr>
          <w:b w:val="0"/>
          <w:i w:val="0"/>
        </w:rPr>
        <w:t>Các chỉ số hiệu quả tài chính bổ sung tốt nhất nên cung cấp thêm hiểu biết về hiệu quả hoạt động gần đây của công ty (tốt hay xấu) song song với những gì được truyền đạt qua các chỉ số báo cáo tài chính truyền thống dựa trên các nguyên tắc kế toán được chấp nhận chung. Chúng tôi làm nổi bật những cách mà ban quản lý trình bày (1) các chỉ số thay thế cho doanh thu, (2) các chỉ số thay thế cho thu nhập, và (3) các chỉ số thay thế cho dòng tiền.</w:t>
      </w:r>
    </w:p>
    <w:p>
      <w:pPr>
        <w:pStyle w:val="Heading5"/>
      </w:pPr>
      <w:r>
        <w:rPr>
          <w:rFonts w:ascii="Calibri" w:hAnsi="Calibri"/>
          <w:b/>
          <w:i/>
          <w:sz w:val="22"/>
        </w:rPr>
        <w:t>Các chỉ số thay thế cho doanh thu</w:t>
      </w:r>
    </w:p>
    <w:p>
      <w:pPr>
        <w:spacing w:after="80"/>
      </w:pPr>
      <w:r>
        <w:rPr>
          <w:b w:val="0"/>
          <w:i w:val="0"/>
        </w:rPr>
        <w:t>Ban quản lý thường cố gắng làm rõ và mở rộng các công bố về doanh số bán cho khách hàng, đồng thời cung cấp hiểu biết về nhu cầu và sức mạnh định giá trong tương lai. Chẳng hạn, một nhà khai thác truyền hình cáp có thể công bố số lượng thuê bao của mình, một hãng hàng không công bố “hệ số tải” (tỷ lệ phần trăm tổng số ghế được lấp đầy), một cổng thông tin Internet công bố số “lượt nhấp trả tiền”, và một đơn vị vận hành khách sạn công bố “doanh thu trên mỗi phòng sẵn có”. Các ngành và công ty thường tạo ra những chỉ số độc đáo của riêng mình để giúp nhà đầu tư nắm bắt tốt hơn hiệu quả hoạt động của công ty. Một số chỉ số phổ biến được coi là thay thế cho doanh thu bao gồm doanh số bán hàng cùng cửa hàng, đơn hàng tồn đọng, đơn đặt hàng, số lượng thuê bao, doanh thu trung bình trên mỗi khách hàng và tăng trưởng doanh thu hữu cơ.</w:t>
      </w:r>
    </w:p>
    <w:p>
      <w:pPr>
        <w:pStyle w:val="Heading5"/>
      </w:pPr>
      <w:r>
        <w:rPr>
          <w:rFonts w:ascii="Calibri" w:hAnsi="Calibri"/>
          <w:b/>
          <w:i/>
          <w:sz w:val="22"/>
        </w:rPr>
        <w:t>Các chỉ số thay thế cho thu nhập</w:t>
      </w:r>
    </w:p>
    <w:p>
      <w:pPr>
        <w:spacing w:after="80"/>
      </w:pPr>
      <w:r>
        <w:rPr>
          <w:b w:val="0"/>
          <w:i w:val="0"/>
        </w:rPr>
        <w:t>Ban quản lý đôi khi cố gắng trình bày một phiên bản thu nhập “sạch sẽ” hơn để truyền đạt hiệu quả hoạt động thực sự của doanh nghiệp. Chẳng hạn, một nhà sản xuất hóa chất có thể loại bỏ một khoản lãi lớn một lần từ việc bán bất động sản khi trình bày thu nhập, nhằm truyền đạt hiệu quả hoạt động của mình theo cách có thể so sánh với cách đã dùng trong các kỳ trước và sau này. Các công ty thường có những tên gọi tương tự nhau cho các chỉ số thay thế thu nhập phi GAAP này, dù mỗi công ty có thể định nghĩa chúng khác nhau. Một số chỉ số phổ biến được sử dụng bao gồm thu nhập pro forma, EBITDA, thu nhập phi GAAP, thu nhập theo tỷ giá không đổi và tăng trưởng thu nhập hữu cơ.</w:t>
      </w:r>
    </w:p>
    <w:p>
      <w:pPr>
        <w:pStyle w:val="Heading5"/>
      </w:pPr>
      <w:r>
        <w:rPr>
          <w:rFonts w:ascii="Calibri" w:hAnsi="Calibri"/>
          <w:b/>
          <w:i/>
          <w:sz w:val="22"/>
        </w:rPr>
        <w:t>Các chỉ số thay thế cho Dòng tiền</w:t>
      </w:r>
    </w:p>
    <w:p>
      <w:pPr>
        <w:spacing w:after="80"/>
      </w:pPr>
      <w:r>
        <w:rPr>
          <w:b w:val="0"/>
          <w:i w:val="0"/>
        </w:rPr>
        <w:t>Cũng giống như các chỉ số thay thế cho lợi nhuận, ban lãnh đạo cũng có thể cố gắng trình bày một phiên bản "sạch sẽ hơn" cho dòng tiền của mình, mặc dù việc này có thể hơi khó hơn một chút và thường gây nhiều tranh cãi hơn. Ví dụ, một chuỗi bán lẻ có thể trình bày dòng tiền loại trừ một khoản thanh toán tiền mặt một lần đáng kể cho việc giải quyết tranh chấp pháp lý. Một số chỉ số phổ biến được sử dụng bao gồm dòng tiền hoạt động pro forma, dòng tiền hoạt động phi GAAP, dòng tiền tự do, lợi nhuận tiền mặt, doanh thu tiền mặt và nguồn vốn từ hoạt động kinh doanh.</w:t>
      </w:r>
    </w:p>
    <w:p>
      <w:pPr>
        <w:spacing w:after="80"/>
      </w:pPr>
      <w:r>
        <w:rPr>
          <w:b w:val="0"/>
          <w:i w:val="0"/>
        </w:rPr>
        <w:t>Hộp kiến thức kế toán: Số liệu Pro Forma—So sánh táo với táo</w:t>
      </w:r>
    </w:p>
    <w:p>
      <w:pPr>
        <w:spacing w:after="80"/>
      </w:pPr>
      <w:r>
        <w:rPr>
          <w:b w:val="0"/>
          <w:i w:val="0"/>
        </w:rPr>
        <w:t>Bất cứ khi nào ban lãnh đạo thực hiện những thay đổi đáng kể về kế toán hoặc phân loại, hoặc thậm chí thực hiện một thương vụ mua lại, việc so sánh với kết quả các kỳ trước có thể trở nên khó khăn, thậm chí là bất khả thi, đối với nhà đầu tư. Do đó, để cung cấp một sự so sánh táo với táo cho nhà đầu tư, các công ty đưa vào báo cáo tài chính điều chỉnh pro forma ("như thể") như thông tin bổ sung. Ví dụ, giả sử một công ty thay đổi chính sách ghi nhận doanh thu của mình. Các số liệu dựa trên GAAP đương nhiên sẽ thể hiện kết quả kỳ hiện tại với chính sách kế toán mới nhưng vẫn báo cáo song song kết quả kỳ trước đó bằng chính sách kế toán cũ, chắc chắn sẽ tạo ra sự nhầm lẫn. Để giúp nhà đầu tư có một sự so sánh hợp lý, một bản trình bày pro forma sẽ bao gồm kết quả của cả hai kỳ theo chính sách ghi nhận doanh thu mới.</w:t>
      </w:r>
    </w:p>
    <w:p>
      <w:pPr>
        <w:pStyle w:val="Heading4"/>
      </w:pPr>
      <w:r>
        <w:rPr>
          <w:rFonts w:ascii="Calibri" w:hAnsi="Calibri"/>
          <w:b/>
          <w:i w:val="0"/>
          <w:sz w:val="23"/>
        </w:rPr>
        <w:t>Các nhóm chỉ số về sức khỏe kinh tế</w:t>
      </w:r>
    </w:p>
    <w:p>
      <w:pPr>
        <w:spacing w:after="80"/>
      </w:pPr>
      <w:r>
        <w:rPr>
          <w:b w:val="0"/>
          <w:i w:val="0"/>
        </w:rPr>
        <w:t xml:space="preserve">Tiếp tục với phép so sánh bóng chày của chúng ta, nếu việc phân tích các chỉ số hiệu suất có thể được coi là tương tự như việc xem lại </w:t>
      </w:r>
      <w:r>
        <w:rPr>
          <w:b w:val="0"/>
          <w:i/>
        </w:rPr>
        <w:t>bảng điểm</w:t>
      </w:r>
      <w:r>
        <w:rPr>
          <w:b w:val="0"/>
          <w:i w:val="0"/>
        </w:rPr>
        <w:t xml:space="preserve"> của ngày hôm qua, thì việc phân tích các chỉ số sức khỏe kinh tế sẽ giống như xem </w:t>
      </w:r>
      <w:r>
        <w:rPr>
          <w:b w:val="0"/>
          <w:i/>
        </w:rPr>
        <w:t>bảng xếp hạng</w:t>
      </w:r>
      <w:r>
        <w:rPr>
          <w:b w:val="0"/>
          <w:i w:val="0"/>
        </w:rPr>
        <w:t xml:space="preserve"> bóng chày của ngày hôm nay, thể hiện thành tích tích lũy của một đội (thắng và thua trong cả mùa giải). Bảng cân đối kế toán có thể được coi là bản ghi hiện tại, cập nhật từng phút của một công ty, phản ánh thành tích tích lũy của nó kể từ khi thành lập. (Đối với một số công ty lâu đời, đó có thể là một "mùa giải" rất dài.) Trong khi Bảng cân đối kế toán phản ánh sự tích lũy của tất cả thành tích trong quá khứ, nó có thể làm sáng tỏ những gì có thể mong đợi vào ngày mai. Một đội bóng chày đang đứng đầu bảng xếp hạng thắng-thua và dẫn đầu giải đấu về số điểm ghi được trong mùa giải thường có sức khỏe tuyệt vời. Ở phía ngược lại của phổ, một đội đang ở gần cuối bảng xếp hạng, có chỉ số đánh bóng tích lũy thảm hại, và để cho nhiều điểm được ghi hơn bất kỳ đội nào khác có thể đang trong tình trạng sức khỏe kém và tương đối bất ổn.</w:t>
      </w:r>
    </w:p>
    <w:p>
      <w:pPr>
        <w:spacing w:after="80"/>
      </w:pPr>
      <w:r>
        <w:rPr>
          <w:b w:val="0"/>
          <w:i w:val="0"/>
        </w:rPr>
        <w:t>Như với cách tiếp cận đã mô tả cho hiệu suất, đối với một ngành nhất định, hãy bắt đầu bằng việc tìm hiểu những chỉ số tốt nhất để đánh giá sức khỏe kinh tế và sự ổn định—cả trong quá khứ và dự kiến trong ngắn hạn. Các chỉ số sức khỏe kinh tế bổ sung tốt nhất nên cung cấp thêm hiểu biết sâu sắc về sức mạnh của Bảng cân đối kế toán của một công ty, bao gồm mức độ công ty (1) quản lý việc thu tiền từ khách hàng, (2) duy trì mức tồn kho hợp lý, (3) duy trì tài sản tài chính ở giá trị thích hợp của chúng, và (4) kiểm soát rủi ro thanh khoản và khả năng thanh toán để ngăn chặn một cuộc khủng hoảng tiền mặt tàn khốc.</w:t>
      </w:r>
    </w:p>
    <w:p>
      <w:pPr>
        <w:pStyle w:val="Heading5"/>
      </w:pPr>
      <w:r>
        <w:rPr>
          <w:rFonts w:ascii="Calibri" w:hAnsi="Calibri"/>
          <w:b/>
          <w:i/>
          <w:sz w:val="22"/>
        </w:rPr>
        <w:t>Đánh giá việc quản lý các khoản phải thu</w:t>
      </w:r>
    </w:p>
    <w:p>
      <w:pPr>
        <w:spacing w:after="80"/>
      </w:pPr>
      <w:r>
        <w:rPr>
          <w:b w:val="0"/>
          <w:i w:val="0"/>
        </w:rPr>
        <w:t>Nhà đầu tư lo lắng nếu việc thu các khoản phải thu từ khách hàng bắt đầu bị kéo dài. Các nhà phân tích sử dụng chỉ số số ngày thu tiền bình quân (DSO) để phát hiện dấu hiệu của các vấn đề thu tiền. DSO cao hơn (như đã thảo luận trước đó) thường gợi ý rằng khách hàng đã thanh toán chậm hơn. Hoặc tệ hơn, có thể ban lãnh đạo đã sử dụng các thủ thuật Thao túng lợi nhuận để thổi phồng doanh thu và lợi nhuận. Bây giờ nếu ban lãnh đạo muốn che giấu những vấn đề này khỏi nhà đầu tư, họ có thể bóp méo số dư các khoản phải thu thực sự. Nhà đầu tư nên đánh giá các khoản phải thu để đánh giá liệu chỉ số DSO do ban lãnh đạo cung cấp có trình bày trung thực bản chất kinh tế cơ bản của doanh nghiệp hay không. Hãy nhớ rằng, việc bóp méo các chỉ số khoản phải thu thực sự có thể là một nỗ lực để che giấu các vấn đề doanh thu.</w:t>
      </w:r>
    </w:p>
    <w:p>
      <w:pPr>
        <w:pStyle w:val="Heading5"/>
      </w:pPr>
      <w:r>
        <w:rPr>
          <w:rFonts w:ascii="Calibri" w:hAnsi="Calibri"/>
          <w:b/>
          <w:i/>
          <w:sz w:val="22"/>
        </w:rPr>
        <w:t>Đánh giá việc quản lý hàng tồn kho</w:t>
      </w:r>
    </w:p>
    <w:p>
      <w:pPr>
        <w:spacing w:after="80"/>
      </w:pPr>
      <w:r>
        <w:rPr>
          <w:b w:val="0"/>
          <w:i w:val="0"/>
        </w:rPr>
        <w:t>Một mức tồn kho lành mạnh và hợp lý là điều thiết yếu cho một doanh nghiệp được điều hành tốt. Việc giữ hàng tồn kho gồm các sản phẩm không mong muốn dẫn đến việc giảm giá trị, và không có đủ những sản phẩm "hot" sẽ dẫn đến việc bỏ lỡ cơ hội bán hàng. Đương nhiên, nhà đầu tư theo dõi mức tồn kho chặt chẽ và sử dụng một chỉ số gọi là số ngày bán hàng tồn kho (DSI). Ban lãnh đạo có thể tạo ra các chỉ số tồn kho gây hiểu lầm để che giấu các vấn đề về lợi nhuận. Hoặc họ có thể chỉ đơn giản phân loại hàng tồn kho không đúng trên Bảng cân đối kế toán để lừa nhà đầu tư sử dụng sai dữ liệu đầu vào khi tính DSI.</w:t>
      </w:r>
    </w:p>
    <w:p>
      <w:pPr>
        <w:pStyle w:val="Heading5"/>
      </w:pPr>
      <w:r>
        <w:rPr>
          <w:rFonts w:ascii="Calibri" w:hAnsi="Calibri"/>
          <w:b/>
          <w:i/>
          <w:sz w:val="22"/>
        </w:rPr>
        <w:t>Đánh giá việc giảm giá trị tài sản đối với các công ty tài chính</w:t>
      </w:r>
    </w:p>
    <w:p>
      <w:pPr>
        <w:spacing w:after="80"/>
      </w:pPr>
      <w:r>
        <w:rPr>
          <w:b w:val="0"/>
          <w:i w:val="0"/>
        </w:rPr>
        <w:t>Các tổ chức tài chính cung cấp các chỉ số giúp nhà đầu tư hiểu rõ hơn về chất lượng hoặc sức mạnh của tài sản tài chính của họ. Ví dụ, các công ty có thể công bố tỷ lệ nợ quá hạn đối với các khoản vay thế chấp hoặc giá trị hợp lý của các khoản đầu tư của họ. Nhà đầu tư phải theo dõi dữ liệu bổ sung này để đảm bảo rằng các khoản dự phòng và giảm giá trị thích hợp đang được ghi nhận. Với cuộc khủng hoảng tài chính năm 2008, những nhà đầu tư không thể phát hiện ra các quyết định giảm giá trị tài sản lỏng lẻo đã chịu những tổn thất lớn.</w:t>
      </w:r>
    </w:p>
    <w:p>
      <w:pPr>
        <w:pStyle w:val="Heading5"/>
      </w:pPr>
      <w:r>
        <w:rPr>
          <w:rFonts w:ascii="Calibri" w:hAnsi="Calibri"/>
          <w:b/>
          <w:i/>
          <w:sz w:val="22"/>
        </w:rPr>
        <w:t>Đánh giá rủi ro thanh khoản và khả năng thanh toán</w:t>
      </w:r>
    </w:p>
    <w:p>
      <w:pPr>
        <w:spacing w:after="80"/>
      </w:pPr>
      <w:r>
        <w:rPr>
          <w:b w:val="0"/>
          <w:i w:val="0"/>
        </w:rPr>
        <w:t>Nhà đầu tư có thể phải đối mặt với những tổn thất tàn khốc, thường với rất ít cảnh báo, nếu họ không theo dõi các mối đe dọa sắp xảy ra về một cuộc khủng hoảng tiền mặt lớn. Sự sụp đổ của Enron đến rất nhanh chóng khi các tổ chức xếp hạng tín dụng nhanh chóng hạ xếp hạng trái phiếu của nó xuống mức "rác" và các nguồn thanh khoản của công ty ngay lập tức cạn kiệt. Tương tự, bất kỳ công ty nào không tuân thủ các điều khoản nợ của mình đều có thể phải đối mặt với những hậu quả khó chịu. Nếu một công ty không cung cấp dữ liệu về những mối đe dọa như vậy (hoặc tệ hơn, nếu họ cố ý che giấu chúng), nhà đầu tư sẽ gặp nguy hiểm nghiêm trọng.</w:t>
      </w:r>
    </w:p>
    <w:p>
      <w:pPr>
        <w:spacing w:after="80"/>
      </w:pPr>
      <w:r>
        <w:rPr>
          <w:b w:val="0"/>
          <w:i w:val="0"/>
        </w:rPr>
        <w:t>Hai chương tiếp theo đề cập đến hai thủ thuật Chỉ số quan trọng. Nhà đầu tư nên vui mừng nếu ban lãnh đạo cung cấp thông tin hữu ích bổ sung để giúp họ đánh giá tốt hơn hiệu suất và sức khỏe kinh tế của công ty. Thật không may, ban lãnh đạo có thể cung cấp thông tin không chỉ không mang lại giá trị mà còn có thể gây hiểu lầm. Chương 13 nêu bật các chỉ số che giấu các vấn đề về doanh thu, lợi nhuận hoặc dòng tiền hoặc chỉ đơn giản là tô vẽ quá tích cực cho những thành tựu khiêm tốn. Chương 14 mô tả các chỉ số sức khỏe kinh tế gây hiểu lầm che giấu các vấn đề.</w:t>
      </w:r>
    </w:p>
    <w:p>
      <w:pPr>
        <w:pStyle w:val="Heading2"/>
      </w:pPr>
      <w:r>
        <w:rPr>
          <w:rFonts w:ascii="Calibri" w:hAnsi="Calibri"/>
          <w:b/>
          <w:i w:val="0"/>
          <w:sz w:val="32"/>
        </w:rPr>
        <w:t>13</w:t>
      </w:r>
    </w:p>
    <w:p>
      <w:pPr>
        <w:pStyle w:val="Heading2"/>
      </w:pPr>
      <w:r>
        <w:rPr>
          <w:rFonts w:ascii="Calibri" w:hAnsi="Calibri"/>
          <w:b/>
          <w:i w:val="0"/>
          <w:sz w:val="32"/>
        </w:rPr>
        <w:t>Chiêu trò Số liệu Chính Yếu Số 1: Phô bày các chỉ số gây nhầm lẫn nhằm thổi phồng hiệu quả hoạt động</w:t>
      </w:r>
    </w:p>
    <w:p>
      <w:pPr>
        <w:spacing w:after="80"/>
      </w:pPr>
      <w:r>
        <w:rPr>
          <w:b w:val="0"/>
          <w:i w:val="0"/>
        </w:rPr>
        <w:t>Trên hết, đừng gây tổn hại.</w:t>
      </w:r>
    </w:p>
    <w:p>
      <w:pPr>
        <w:spacing w:after="80"/>
      </w:pPr>
      <w:r>
        <w:rPr>
          <w:b w:val="0"/>
          <w:i w:val="0"/>
        </w:rPr>
        <w:t>—HIPPOCRATES, CHA ĐẺ CỦA Y HỌC PHƯƠNG TÂY</w:t>
      </w:r>
    </w:p>
    <w:p>
      <w:pPr>
        <w:spacing w:after="80"/>
      </w:pPr>
      <w:r>
        <w:rPr>
          <w:b w:val="0"/>
          <w:i w:val="0"/>
        </w:rPr>
        <w:t>Các bác sĩ mới ra trường được yêu cầu tuyên thệ lời thề Hippocrates và cam kết hành nghề y một cách có đạo đức. Lời thề này được cho là của Hippocrates, cha đẻ của y học phương Tây, vào thế kỷ thứ tư trước Công nguyên, và ý chính của nó có thể tóm gọn lại là "Trên hết, đừng gây tổn hại."</w:t>
      </w:r>
    </w:p>
    <w:p>
      <w:pPr>
        <w:spacing w:after="80"/>
      </w:pPr>
      <w:r>
        <w:rPr>
          <w:b w:val="0"/>
          <w:i w:val="0"/>
        </w:rPr>
        <w:t>Có lẽ các nhà quản lý doanh nghiệp nên được yêu cầu học lời thề trang nghiêm mà các bác sĩ đã tuyên thệ này và áp dụng nó một cách nghiêm túc khi họ giao tiếp với nhà đầu tư. Làm như vậy, họ sẽ cam kết không bao giờ cố ý gây tổn hại cho nhà đầu tư và luôn tránh phô bày những chỉ số xuyên tạc hiệu quả hoạt động. Dựa trên những gì bạn đã thấy trong cuốn sách này, ngày đó có vẻ còn xa tít tắp. Chà, chúng ta chỉ có thể mơ rằng một ngày như vậy rồi cuối cùng cũng sẽ đến! Tuy nhiên, cho đến khi nó đến, nhà đầu tư phải cảnh giác với ba kỹ thuật sau đây mà ban lãnh đạo có thể dùng để làm mờ mịt hiệu quả hoạt động của công ty.</w:t>
      </w:r>
    </w:p>
    <w:p>
      <w:pPr>
        <w:pStyle w:val="Heading3"/>
      </w:pPr>
      <w:r>
        <w:rPr>
          <w:rFonts w:ascii="Calibri" w:hAnsi="Calibri"/>
          <w:b/>
          <w:i w:val="0"/>
          <w:sz w:val="26"/>
        </w:rPr>
        <w:t>Các kỹ thuật phô bày chỉ số gây nhầm lẫn nhằm thổi phồng hiệu quả hoạt động</w:t>
      </w:r>
    </w:p>
    <w:p>
      <w:pPr>
        <w:spacing w:after="80"/>
      </w:pPr>
      <w:r>
        <w:rPr>
          <w:b w:val="0"/>
          <w:i w:val="0"/>
        </w:rPr>
        <w:t>1. Nhấn mạnh một chỉ số gây nhầm lẫn như một thước đo thay thế cho doanh thu</w:t>
      </w:r>
    </w:p>
    <w:p>
      <w:pPr>
        <w:spacing w:after="80"/>
      </w:pPr>
      <w:r>
        <w:rPr>
          <w:b w:val="0"/>
          <w:i w:val="0"/>
        </w:rPr>
        <w:t>2. Nhấn mạnh một chỉ số gây nhầm lẫn như một thước đo thay thế cho lợi nhuận</w:t>
      </w:r>
    </w:p>
    <w:p>
      <w:pPr>
        <w:spacing w:after="80"/>
      </w:pPr>
      <w:r>
        <w:rPr>
          <w:b w:val="0"/>
          <w:i w:val="0"/>
        </w:rPr>
        <w:t>3. Nhấn mạnh một chỉ số gây nhầm lẫn như một thước đo thay thế cho dòng tiền</w:t>
      </w:r>
    </w:p>
    <w:p>
      <w:pPr>
        <w:pStyle w:val="Heading4"/>
      </w:pPr>
      <w:r>
        <w:rPr>
          <w:rFonts w:ascii="Calibri" w:hAnsi="Calibri"/>
          <w:b/>
          <w:i w:val="0"/>
          <w:sz w:val="23"/>
        </w:rPr>
        <w:t>1. Nhấn mạnh một chỉ số gây nhầm lẫn như một thước đo thay thế cho doanh thu</w:t>
      </w:r>
    </w:p>
    <w:p>
      <w:pPr>
        <w:spacing w:after="80"/>
      </w:pPr>
      <w:r>
        <w:rPr>
          <w:b w:val="0"/>
          <w:i w:val="0"/>
        </w:rPr>
        <w:t>Nhiều người coi tăng trưởng doanh thu là một thước đo quan trọng và đơn giản cho sự tăng trưởng tổng thể của một doanh nghiệp. Các công ty cũng thường cung cấp thêm các dữ liệu bổ sung cho doanh thu, mang lại cho nhà đầu tư cái nhìn sâu sắc hơn về nhu cầu sản phẩm và sức mạnh định giá. Như đã thảo luận trong chương trước, nhà đầu tư nên hoan nghênh thông tin bổ sung này và phân tích các chỉ số doanh thu phi GAAP bổ sung này để đánh giá tốt hơn hiệu quả hoạt động kinh doanh bền vững. Tuy nhiên, đôi khi những thước đo thay thế doanh thu này do ban lãnh đạo cung cấp có thể gây nhầm lẫn và có thể gây tổn hại cho nhà đầu tư nếu họ không đặt ra các biện pháp bảo vệ thích hợp. Trong phần đầu tiên này, chúng tôi nêu bật những cách mà các công ty có thể thiếu trung thực khi sử dụng các thước đo thay thế doanh thu phổ biến và cách những nhà đầu tư cẩn trọng có thể tự bảo vệ mình.</w:t>
      </w:r>
    </w:p>
    <w:p>
      <w:pPr>
        <w:pStyle w:val="Heading5"/>
      </w:pPr>
      <w:r>
        <w:rPr>
          <w:rFonts w:ascii="Calibri" w:hAnsi="Calibri"/>
          <w:b/>
          <w:i/>
          <w:sz w:val="22"/>
        </w:rPr>
        <w:t>Doanh số cửa hàng cùng kỳ</w:t>
      </w:r>
    </w:p>
    <w:p>
      <w:pPr>
        <w:spacing w:after="80"/>
      </w:pPr>
      <w:r>
        <w:rPr>
          <w:b w:val="0"/>
          <w:i w:val="0"/>
        </w:rPr>
        <w:t>Tăng trưởng doanh thu ở các nhà bán lẻ và nhà hàng thường được thúc đẩy bởi việc mở thêm cửa hàng. Về mặt logic, những công ty đang trong giai đoạn mở rộng cửa hàng nhanh chóng cho thấy tăng trưởng doanh thu vượt trội, vì năm nay họ có nhiều cửa hàng hơn hẳn so với năm trước. Trong khi tăng trưởng doanh thu tổng thể của công ty có thể cho một chút góc nhìn về quy mô của công ty, nó lại cung cấp rất ít thông tin về việc liệu từng cửa hàng riêng lẻ có đang hoạt động tốt hay không. Do đó, nhà đầu tư nên tập trung kỹ hơn vào một chỉ số đo lường mức độ hoạt động của các cửa hàng trong công ty.</w:t>
      </w:r>
    </w:p>
    <w:p>
      <w:pPr>
        <w:spacing w:after="80"/>
      </w:pPr>
      <w:r>
        <w:rPr>
          <w:b w:val="0"/>
          <w:i w:val="0"/>
        </w:rPr>
        <w:t xml:space="preserve">Để cung cấp cho nhà đầu tư cái nhìn sâu sắc đó, ban lãnh đạo thường báo cáo một chỉ số gọi là </w:t>
      </w:r>
      <w:r>
        <w:rPr>
          <w:b w:val="0"/>
          <w:i/>
        </w:rPr>
        <w:t>doanh số cửa hàng cùng kỳ</w:t>
      </w:r>
      <w:r>
        <w:rPr>
          <w:b w:val="0"/>
          <w:i w:val="0"/>
        </w:rPr>
        <w:t xml:space="preserve"> (SSS) hay </w:t>
      </w:r>
      <w:r>
        <w:rPr>
          <w:b w:val="0"/>
          <w:i/>
        </w:rPr>
        <w:t>doanh số cửa hàng tương đương</w:t>
      </w:r>
      <w:r>
        <w:rPr>
          <w:b w:val="0"/>
          <w:i w:val="0"/>
        </w:rPr>
        <w:t>. Chỉ số này thiết lập một cơ sở cửa hàng có thể so sánh được (gọi tắt là "comp base") để tính toán tăng trưởng doanh thu, cho phép phân tích phù hợp hơn về hiệu quả hoạt động thực sự. Ví dụ, một công ty có thể trình bày tăng trưởng doanh thu của mình cho các cửa hàng đã hoạt động ít nhất một năm. Các công ty thường công bố SSS một cách nổi bật trong Báo cáo Thu nhập của mình, và nhà đầu tư sử dụng nó như một chỉ báo then chốt về hiệu quả hoạt động của công ty. Nhiều người coi doanh số cửa hàng cùng kỳ là chỉ số quan trọng nhất khi phân tích một nhà bán lẻ hay nhà hàng. Chúng tôi đồng ý rằng nếu nó được báo cáo một cách hợp lý và nhất quán, SSS cực kỳ có giá trị đối với nhà đầu tư.</w:t>
      </w:r>
    </w:p>
    <w:p>
      <w:pPr>
        <w:spacing w:after="80"/>
      </w:pPr>
      <w:r>
        <w:rPr>
          <w:b w:val="0"/>
          <w:i w:val="0"/>
        </w:rPr>
        <w:t>Tuy nhiên, vì doanh số cửa hàng cùng kỳ (và các chỉ số khác được thảo luận trong Phần Bốn) nằm ngoài phạm vi bao phủ của GAAP, không tồn tại một định nghĩa được chấp nhận phổ quát, và cách tính toán có thể khác nhau giữa các công ty. Tệ hơn, cách tính SSS của chính một công ty trong một quý này có thể khác với cách tính được dùng trong kỳ trước đó. Trong khi hầu hết các công ty tính toán doanh số cửa hàng cùng kỳ của mình một cách trung thực và công bố chúng nhất quán, những "con sâu làm rầu nồi canh" lại cố tô điểm kết quả của mình bằng cách thường xuyên điều chỉnh định nghĩa về SSS. Do đó, nhà đầu tư nên luôn cảnh giác với cách trình bày doanh số cửa hàng cùng kỳ để đảm bảo rằng nó phản ánh một cách công bằng hiệu quả hoạt động của công ty.</w:t>
      </w:r>
    </w:p>
    <w:p>
      <w:pPr>
        <w:spacing w:after="80"/>
      </w:pPr>
      <w:r>
        <w:rPr>
          <w:b/>
          <w:i/>
        </w:rPr>
        <w:t>So sánh Doanh số Cùng cửa hàng với Sự thay đổi Doanh thu trên mỗi Cửa hàng</w:t>
      </w:r>
      <w:r>
        <w:rPr>
          <w:b w:val="0"/>
          <w:i w:val="0"/>
        </w:rPr>
        <w:t xml:space="preserve"> Khi một công ty có sự tăng trưởng ổn định, doanh số cùng cửa hàng (same-store sales - SSS) phải có xu hướng tăng đều đặn tương ứng với doanh thu trung bình tại mỗi cửa hàng. Bằng cách so sánh SSS với sự thay đổi doanh thu trên mỗi cửa hàng (tức là tổng doanh thu chia cho số cửa hàng trung bình), nhà đầu tư có thể nhanh chóng phát hiện những thay đổi tích cực hoặc tiêu cực trong hoạt động kinh doanh. Ví dụ, giả sử rằng mức tăng trưởng SSS của một công ty luôn bám sát tốt với mức tăng trưởng doanh thu trên mỗi cửa hàng. Nếu đột nhiên xuất hiện sự phân kỳ đáng kể trong xu hướng này, với SSS tăng tốc còn doanh thu trên mỗi cửa hàng lại thu hẹp, nhà đầu tư nên lo ngại. Sự phân kỳ này cho thấy một trong hai vấn đề: (1) các cửa hàng mới của công ty bắt đầu gặp khó khăn (kéo giảm doanh thu trên mỗi cửa hàng, nhưng không ảnh hưởng đến SSS vì chúng chưa nằm trong cơ sở so sánh), hoặc (2) công ty đã thay đổi định nghĩa về doanh số cùng cửa hàng (điều này ảnh hưởng đến cách tính SSS nhưng không ảnh hưởng đến tổng doanh thu trên mỗi cửa hàng).</w:t>
      </w:r>
    </w:p>
    <w:p>
      <w:pPr>
        <w:spacing w:after="80"/>
      </w:pPr>
      <w:r>
        <w:rPr>
          <w:b/>
          <w:i/>
        </w:rPr>
        <w:t>Để ý những Thay đổi trong Định nghĩa Doanh số Cùng cửa hàng</w:t>
      </w:r>
      <w:r>
        <w:rPr>
          <w:b w:val="0"/>
          <w:i w:val="0"/>
        </w:rPr>
        <w:t xml:space="preserve"> Các công ty thường công bố cách họ định nghĩa doanh số cùng cửa hàng. Một khi định nghĩa đã được công bố, nhà đầu tư sẽ ít gặp khó khăn trong việc theo dõi nó qua từng kỳ. Các công ty có thể thao túng doanh số cùng cửa hàng bằng cách điều chỉnh cơ sở so sánh theo hai cách. Cách thứ nhất chỉ đơn giản là thay đổi khoảng thời gian trước khi một cửa hàng được đưa vào cơ sở so sánh (ví dụ, yêu cầu một cửa hàng phải hoạt động 18 tháng, thay vì 12 tháng như trước đây). Thủ thuật thứ hai là thay đổi các loại cửa hàng được đưa vào cơ sở so sánh (ví dụ, loại trừ một số cửa hàng nhất định dựa trên vị trí địa lý, quy mô, loại hình kinh doanh, việc cải tạo, v.v.).</w:t>
      </w:r>
    </w:p>
    <w:p>
      <w:pPr>
        <w:spacing w:after="80"/>
      </w:pPr>
      <w:r>
        <w:rPr>
          <w:b w:val="0"/>
          <w:i w:val="0"/>
        </w:rPr>
        <w:t>Coach Inc., công ty thời trang có trụ sở tại Thành phố New York, đã thực hiện một thay đổi như vậy vào năm 2013. Trước đây, khi Coach mở rộng diện tích sàn của một cửa hàng thêm ít nhất 15 phần trăm, họ loại trừ doanh số của những cửa hàng này khỏi cơ sở so sánh cho đến một năm sau khi hoàn tất việc mở rộng. Điều này hợp lý vì các cửa hàng lớn hơn thường có doanh số cao hơn, và bất kỳ mức tăng trưởng nào liên quan đến việc mở rộng cửa hàng lớn thực sự không nên được coi là doanh số cùng cửa hàng. Tuy nhiên, Coach quyết định rằng bắt đầu từ năm 2014, họ sẽ không còn loại trừ những việc mở rộng cửa hàng này khỏi cơ sở so sánh nữa, nghĩa là chỉ số doanh số cùng cửa hàng của họ sẽ bao gồm một lợi ích không bền vững liên quan đến sự tăng trưởng về quy mô cửa hàng. Không có gì ngạc nhiên, thay đổi này đến đúng lúc doanh số cùng cửa hàng đang chậm lại và công ty đang bắt tay vào một kế hoạch nhiều năm để mở rộng một số cửa hàng có năng suất cao nhất của mình.</w:t>
      </w:r>
    </w:p>
    <w:p>
      <w:pPr>
        <w:spacing w:after="80"/>
      </w:pPr>
      <w:r>
        <w:rPr>
          <w:b/>
          <w:i/>
        </w:rPr>
        <w:t>Đặc biệt Chú ý đến Những Phần nào của Hoạt động Kinh doanh mà Mức Tăng trưởng được Báo cáo Phản ánh</w:t>
      </w:r>
      <w:r>
        <w:rPr>
          <w:b w:val="0"/>
          <w:i w:val="0"/>
        </w:rPr>
        <w:t xml:space="preserve"> Vào năm 2013, Thomson Reuters, gã khổng lồ truyền thông có trụ sở tại Toronto, báo cáo "tăng trưởng doanh thu trước ảnh hưởng tiền tệ" là 2 phần trăm. Con số này trái ngược với tỷ lệ thay đổi tiêu chuẩn hơn của doanh số được báo cáo so với năm trước, vốn là </w:t>
      </w:r>
      <w:r>
        <w:rPr>
          <w:b w:val="0"/>
          <w:i/>
        </w:rPr>
        <w:t>âm</w:t>
      </w:r>
      <w:r>
        <w:rPr>
          <w:b w:val="0"/>
          <w:i w:val="0"/>
        </w:rPr>
        <w:t xml:space="preserve"> 3 phần trăm. Thước đo nào chính xác hơn? Hóa ra con số tiêu đề không chỉ điều chỉnh theo ảnh hưởng của tiền tệ, mà còn chỉ xem xét "các hoạt động kinh doanh đang tiếp diễn"; đây không phải là sự phân biệt về mặt pháp lý hay kế toán theo cách mà một "hoạt động đã ngừng" là, mà đúng hơn là một sự phân biệt do ban lãnh đạo đưa ra một cách chủ quan. Điều đáng tò mò về phương pháp này là trong Báo cáo Thường niên 2013, doanh thu từ "các hoạt động kinh doanh đang tiếp diễn" trong năm 2012 đã giảm gần 500 triệu đô la so với doanh thu từ "các hoạt động kinh doanh đang tiếp diễn" được báo cáo ban đầu trong năm 2012. Chính việc phân loại lại hồi tố một số hoạt động kinh doanh nhất định thành không "đang tiếp diễn" đã cho phép Thomson Reuters báo cáo mức tăng trưởng doanh số dương trong năm 2013, một giai đoạn mà theo mọi thước đo khách quan thì công ty đã suy giảm. Thủ đoạn khéo léo này cũng mang lại những lợi ích tương tự trong năm 2011 và 2012.</w:t>
      </w:r>
    </w:p>
    <w:p>
      <w:pPr>
        <w:pStyle w:val="Heading5"/>
      </w:pPr>
      <w:r>
        <w:rPr>
          <w:rFonts w:ascii="Calibri" w:hAnsi="Calibri"/>
          <w:b/>
          <w:i/>
          <w:sz w:val="22"/>
        </w:rPr>
        <w:t>Doanh thu Trung bình trên mỗi Người dùng</w:t>
      </w:r>
    </w:p>
    <w:p>
      <w:pPr>
        <w:spacing w:after="80"/>
      </w:pPr>
      <w:r>
        <w:rPr>
          <w:b w:val="0"/>
          <w:i w:val="0"/>
        </w:rPr>
        <w:t>Khi so sánh các chỉ số phi GAAP quan trọng giữa một nhóm các công ty cùng ngành, điều quan trọng là phải đảm bảo rằng các chỉ số này được tính toán theo cùng một cách. Ví dụ, trong ngành phát sóng, một chỉ số phổ biến được phân tích là doanh thu trung bình trên mỗi người dùng (average revenue per user - ARPU), được tính bằng tổng doanh thu thuê bao chia cho số thuê bao trung bình. Việc tính doanh thu trung bình trên mỗi thuê bao nghe có vẻ đơn giản; tuy nhiên, có vô số định nghĩa khác nhau về ARPU. Hãy xem xét, ví dụ, các định nghĩa khác nhau tại hai đối thủ cạnh tranh Sirius Satellite Radio Inc. và XM Satellite Radio Holdings Inc. (trước khi họ sáp nhập vào năm 2008). Cách tính ARPU của Sirius bao gồm doanh thu từ thuê bao, quảng cáo và phí kích hoạt. Ngược lại, XM Radio tính ARPU chỉ sử dụng doanh thu từ thuê bao; doanh thu quảng cáo và phí kích hoạt bị loại trừ. (Xem hộp đi kèm.) Để so sánh ARPU tại hai công ty trên cơ sở tương đồng, nhà đầu tư sẽ phải hoặc điều chỉnh cách tính ARPU của Sirius để loại trừ doanh thu quảng cáo và phí kích hoạt, hoặc điều chỉnh cách tính ARPU của XM để bao gồm các nguồn doanh thu này.</w:t>
      </w:r>
    </w:p>
    <w:p>
      <w:pPr>
        <w:spacing w:after="80"/>
      </w:pPr>
      <w:r>
        <w:rPr>
          <w:b w:val="0"/>
          <w:i w:val="0"/>
        </w:rPr>
        <w:t>SỰ KHÁC BIỆT VỀ DOANH THU TRUNG BÌNH TRÊN MỖI NGƯỜI DÙNG (ARPU) TẠI SIRIUS VÀ XM RADIO</w:t>
      </w:r>
    </w:p>
    <w:p>
      <w:pPr>
        <w:spacing w:after="80"/>
      </w:pPr>
      <w:r>
        <w:rPr>
          <w:b/>
          <w:i w:val="0"/>
        </w:rPr>
        <w:t>Cách tính ARPU của Sirius:</w:t>
      </w:r>
      <w:r>
        <w:rPr>
          <w:b w:val="0"/>
          <w:i w:val="0"/>
        </w:rPr>
        <w:t xml:space="preserve"> Thuê bao (bao gồm khoản bù trừ cho các khoản giảm giá bán) </w:t>
      </w:r>
      <w:r>
        <w:rPr>
          <w:b w:val="0"/>
          <w:i/>
        </w:rPr>
        <w:t>doanh thu kích hoạt và quảng cáo</w:t>
      </w:r>
      <w:r>
        <w:rPr>
          <w:b w:val="0"/>
          <w:i w:val="0"/>
        </w:rPr>
        <w:t xml:space="preserve"> chia cho số thuê bao trung bình gia quyền theo ngày trong kỳ. [Chữ in nghiêng được thêm vào để nhấn mạnh]</w:t>
      </w:r>
    </w:p>
    <w:p>
      <w:pPr>
        <w:spacing w:after="80"/>
      </w:pPr>
      <w:r>
        <w:rPr>
          <w:b/>
          <w:i w:val="0"/>
        </w:rPr>
        <w:t>Cách tính ARPU của XM Radio:</w:t>
      </w:r>
      <w:r>
        <w:rPr>
          <w:b w:val="0"/>
          <w:i w:val="0"/>
        </w:rPr>
        <w:t xml:space="preserve"> Tổng doanh thu thuê bao kiếm được hàng tháng sau khi trừ các chương trình khuyến mãi và giảm giá chia cho số thuê bao trung bình gia quyền theo tháng trong kỳ được báo cáo.</w:t>
      </w:r>
    </w:p>
    <w:p>
      <w:pPr>
        <w:pStyle w:val="Heading5"/>
      </w:pPr>
      <w:r>
        <w:rPr>
          <w:rFonts w:ascii="Calibri" w:hAnsi="Calibri"/>
          <w:b/>
          <w:i/>
          <w:sz w:val="22"/>
        </w:rPr>
        <w:t>Số lượng Thuê bao Gia tăng và Tỷ lệ Rời bỏ</w:t>
      </w:r>
    </w:p>
    <w:p>
      <w:pPr>
        <w:spacing w:after="80"/>
      </w:pPr>
      <w:r>
        <w:rPr>
          <w:b w:val="0"/>
          <w:i w:val="0"/>
        </w:rPr>
        <w:t>Hãy quay lại phần thảo luận của chúng ta về các doanh nghiệp dựa trên thuê bao ở đầu chương này. Vì những loại công ty này (ví dụ: các nhà cung cấp dịch vụ nghiên cứu, công ty điện thoại, báo chí, câu lạc bộ thể hình, v.v.) dựa vào thuê bao mới để tăng trưởng, nhà đầu tư sẽ hữu ích khi theo dõi mức thuê bao để nắm bắt các xu hướng mới nhất trong hoạt động kinh doanh. Về mặt logic, số lượng thuê bao mới gia tăng mỗi quý thường là một chỉ báo dẫn dắt tốt cho doanh thu sắp tới. Tương tự, mức độ hủy dịch vụ (được gọi là "churn" - tỷ lệ rời bỏ) cũng quan trọng cần biết khi đánh giá hoạt động kinh doanh. Nếu một công ty cho thấy cơ sở thuê bao lành mạnh với sự gia tăng thuê bao mới và tỷ lệ rời bỏ thu hẹp, nhà đầu tư có thể kỳ vọng mức tăng trưởng doanh thu mạnh mẽ phía trước. Đó là, trừ khi công ty đang thao túng các chỉ số này.</w:t>
      </w:r>
    </w:p>
    <w:p>
      <w:pPr>
        <w:spacing w:after="80"/>
      </w:pPr>
      <w:r>
        <w:rPr>
          <w:b w:val="0"/>
          <w:i w:val="0"/>
        </w:rPr>
        <w:t>Vào cuối những năm 1990, chẳng hạn, AOL đã tìm ra một cách khéo léo để thổi phồng số lượng thuê bao dịch vụ Internet trực tuyến của mình. Một trong những cách mà AOL bán thuê bao là bán "thuê bao theo lô" cho các tập đoàn, sau đó các tập đoàn này sẽ phân phối những thuê bao này cho nhân viên như một phúc lợi. AOL không đưa những đơn bán thuê bao theo lô này vào số lượng thuê bao của mình vì họ biết rằng nhiều thuê bao trong số này sẽ không bao giờ thực sự được kích hoạt. Tuy nhiên, khi nhân viên thực sự đăng ký, họ đương nhiên được tính vào số lượng thuê bao.</w:t>
      </w:r>
    </w:p>
    <w:p>
      <w:pPr>
        <w:spacing w:after="80"/>
      </w:pPr>
      <w:r>
        <w:rPr>
          <w:b w:val="0"/>
          <w:i w:val="0"/>
        </w:rPr>
        <w:t>Vào năm 2001, AOL đang chật vật để đạt được các mục tiêu về thuê bao của mình. Vì vậy, công ty bắt đầu đưa số lượng đơn bán thuê bao theo lô vào số lượng thuê bao của mình, mặc dù hầu hết những thuê bao này không bao giờ được kích hoạt. Hơn nữa, AOL sẽ gửi những bộ dụng cụ thành viên thuê bao theo lô này đến khách hàng ngay trước khi kết thúc quý để đạt được các mục tiêu về số lượng thuê bao.</w:t>
      </w:r>
    </w:p>
    <w:p>
      <w:pPr>
        <w:pStyle w:val="Heading5"/>
      </w:pPr>
      <w:r>
        <w:rPr>
          <w:rFonts w:ascii="Calibri" w:hAnsi="Calibri"/>
          <w:b/>
          <w:i/>
          <w:sz w:val="22"/>
        </w:rPr>
        <w:t>Đơn đặt hàng và Đơn tồn đọng</w:t>
      </w:r>
    </w:p>
    <w:p>
      <w:pPr>
        <w:spacing w:after="80"/>
      </w:pPr>
      <w:r>
        <w:rPr>
          <w:b w:val="0"/>
          <w:i w:val="0"/>
        </w:rPr>
        <w:t xml:space="preserve">Nhiều công ty công bố "bookings" (đơn đặt hàng) hoặc "orders" (đơn hàng) hàng quý của họ, được cho là đại diện cho lượng công việc kinh doanh mới </w:t>
      </w:r>
      <w:r>
        <w:rPr>
          <w:b w:val="0"/>
          <w:i/>
        </w:rPr>
        <w:t>được đặt trong kỳ</w:t>
      </w:r>
      <w:r>
        <w:rPr>
          <w:b w:val="0"/>
          <w:i w:val="0"/>
        </w:rPr>
        <w:t>. Các công ty cũng có thể công bố backlog (đơn tồn đọng) của họ, về cơ bản đại diện cho khối lượng công việc kinh doanh còn tồn đọng của họ, hay nói cách khác, tất cả các đơn hàng trong quá khứ chưa được thực hiện (và ghi nhận là doanh thu). "Book to bill" (tỷ lệ đơn đặt hàng trên hóa đơn) cũng là một công bố phổ biến so sánh đơn đặt hàng trong kỳ hiện tại với doanh thu trong kỳ hiện tại và được tính bằng đơn đặt hàng chia cho doanh thu.</w:t>
      </w:r>
    </w:p>
    <w:p>
      <w:pPr>
        <w:spacing w:after="80"/>
      </w:pPr>
      <w:r>
        <w:rPr>
          <w:b w:val="0"/>
          <w:i w:val="0"/>
        </w:rPr>
        <w:t>Nếu được trình bày chính xác, đơn đặt hàng và đơn tồn đọng là những chỉ báo quan trọng, vì chúng cung cấp cho nhà đầu tư cái nhìn sâu sắc hơn về các xu hướng doanh thu sắp tới. Tuy nhiên, vì chúng là các chỉ số phi GAAP, các công ty có rất nhiều quyền tự do trong cách họ định nghĩa và công bố đơn đặt hàng và đơn tồn đọng. Bạn sẽ nghĩ rằng các phép tính này khá đơn giản, nhưng thực tế có rất nhiều sắc thái tinh tế về những gì nên và không nên được bao gồm. Ví dụ, các công ty khác nhau đưa các loại đơn hàng sau đây vào phần trình bày đơn đặt hàng và đơn tồn đọng của họ theo những cách khác nhau: các đơn hàng có thể hủy, các đơn hàng mà số lượng mua không được xác định, đơn đặt hàng cho các hợp đồng dịch vụ hoặc xây dựng dài hạn, các hợp đồng có điều khoản dự phòng hoặc điều khoản gia hạn, đơn đặt hàng cho các hoạt động không cốt lõi, v.v.</w:t>
      </w:r>
    </w:p>
    <w:p>
      <w:pPr>
        <w:spacing w:after="80"/>
      </w:pPr>
      <w:r>
        <w:rPr>
          <w:b w:val="0"/>
          <w:i w:val="0"/>
        </w:rPr>
        <w:t>Những định nghĩa khác nhau về đơn đặt hàng (bookings) và đơn hàng tồn đọng (backlog) giữa các công ty khiến việc nhà đầu tư hiểu chính xác chỉ số này đại diện cho điều gì trở nên cực kỳ quan trọng trước khi đặt bất kỳ niềm tin nào vào nó. Hơn nữa, nếu chỉ số này là một chỉ số hiệu suất chính (key performance indicator), nhà đầu tư nên đặc biệt thận trọng để đảm bảo rằng công ty không thay đổi định nghĩa của chính mình về đơn đặt hàng theo cách tô vẽ cho chỉ số này.</w:t>
      </w:r>
    </w:p>
    <w:p>
      <w:pPr>
        <w:spacing w:after="80"/>
      </w:pPr>
      <w:r>
        <w:rPr>
          <w:b w:val="0"/>
          <w:i w:val="0"/>
        </w:rPr>
        <w:t>Hộp kiến thức kế toán: Đơn đặt hàng và đơn hàng tồn đọng</w:t>
      </w:r>
    </w:p>
    <w:p>
      <w:pPr>
        <w:spacing w:after="80"/>
      </w:pPr>
      <w:r>
        <w:rPr>
          <w:b w:val="0"/>
          <w:i w:val="0"/>
        </w:rPr>
        <w:t>Công thức sau đây cho thấy mối quan hệ chung giữa đơn đặt hàng, đơn hàng tồn đọng và doanh thu (đối với tất cả các dòng doanh thu chạy qua đơn hàng tồn đọng). Công thức này rất hữu ích khi phân tích các công ty, vì nó có thể được dùng để kiểm tra tính xác thực hoặc tính nhất quán của các chỉ số phi GAAP này. Nó cũng có thể được dùng để tính đơn đặt hàng khi chỉ có đơn hàng tồn đọng được đưa ra.</w:t>
      </w:r>
    </w:p>
    <w:p>
      <w:pPr>
        <w:spacing w:after="80"/>
      </w:pPr>
      <w:r>
        <w:rPr>
          <w:b w:val="0"/>
          <w:i w:val="0"/>
        </w:rPr>
        <w:t>Đơn hàng tồn đọng đầu kỳ + đơn đặt hàng ròng – doanh thu = đơn hàng tồn đọng cuối kỳ</w:t>
      </w:r>
    </w:p>
    <w:p>
      <w:pPr>
        <w:spacing w:after="80"/>
      </w:pPr>
      <w:r>
        <w:rPr>
          <w:b w:val="0"/>
          <w:i w:val="0"/>
        </w:rPr>
        <w:t>trong đó đơn đặt hàng ròng là tổng đơn đặt hàng trừ đi các đơn hủy.</w:t>
      </w:r>
    </w:p>
    <w:p>
      <w:pPr>
        <w:spacing w:after="80"/>
      </w:pPr>
      <w:r>
        <w:rPr>
          <w:b w:val="0"/>
          <w:i w:val="0"/>
        </w:rPr>
        <w:t>Một số công ty sẽ trình bày các chỉ số đơn đặt hàng và đơn hàng tồn đọng có vẻ không phản ánh chính xác kinh tế học cơ bản của hoạt động kinh doanh. Ví dụ, First Solar, công ty mà bạn có thể còn nhớ những trò lắt léo về tỷ lệ phần trăm hoàn thành từ Chương 3, cũng chơi chiêu với cách trình bày đơn đặt hàng của mình. Trong bài trình bày kết quả kinh doanh tháng 3 năm 2014, First Solar trình bày một con số đơn đặt hàng “hàng quý” bao gồm nhiều hơn hẳn lượng đơn đặt hàng của một quý. Đọc kỹ phần chữ nhỏ sẽ thấy rằng chỉ số đơn đặt hàng này bao gồm tất cả các đơn đặt hàng mới từ đầu quý cho đến tận ngày công bố kết quả kinh doanh—tức là trọn vẹn 36 ngày sau khi quý kết thúc.</w:t>
      </w:r>
    </w:p>
    <w:p>
      <w:pPr>
        <w:spacing w:after="80"/>
      </w:pPr>
      <w:r>
        <w:rPr>
          <w:b w:val="0"/>
          <w:i w:val="0"/>
        </w:rPr>
        <w:t>Hãy cũng xem xét định nghĩa bất thường về đơn hàng tồn đọng mà công ty thanh toán điện tử ACI Worldwide sử dụng. ACI trình bày một chỉ số đơn hàng tồn đọng 60 tháng, trong đó tất cả các thỏa thuận cấp phép không định kỳ đều được giả định sẽ gia hạn thành các dòng doanh thu định kỳ. Một cái tên hay hơn cho chỉ số này sẽ là “đơn hàng tồn đọng kiểu mơ mộng.”</w:t>
      </w:r>
    </w:p>
    <w:p>
      <w:pPr>
        <w:pStyle w:val="Heading4"/>
      </w:pPr>
      <w:r>
        <w:rPr>
          <w:rFonts w:ascii="Calibri" w:hAnsi="Calibri"/>
          <w:b/>
          <w:i w:val="0"/>
          <w:sz w:val="23"/>
        </w:rPr>
        <w:t>2. Tô đậm một chỉ số gây nhầm lẫn như một vật thay thế cho lợi nhuận</w:t>
      </w:r>
    </w:p>
    <w:p>
      <w:pPr>
        <w:spacing w:after="80"/>
      </w:pPr>
      <w:r>
        <w:rPr>
          <w:b w:val="0"/>
          <w:i w:val="0"/>
        </w:rPr>
        <w:t xml:space="preserve">Warren Buffett từ lâu đã chế giễu các ban lãnh đạo tạo ra những chỉ số pro forma không trung thực. Ông đã có một so sánh đáng nhớ khi ví thực hành này với một cung thủ bắn mũi tên vào một tấm toan trắng rồi </w:t>
      </w:r>
      <w:r>
        <w:rPr>
          <w:b w:val="0"/>
          <w:i/>
        </w:rPr>
        <w:t>sau đó</w:t>
      </w:r>
      <w:r>
        <w:rPr>
          <w:b w:val="0"/>
          <w:i w:val="0"/>
        </w:rPr>
        <w:t xml:space="preserve"> mới vẽ một hồng tâm quanh mũi tên đã cắm vào đó.</w:t>
      </w:r>
    </w:p>
    <w:p>
      <w:pPr>
        <w:pStyle w:val="Heading5"/>
      </w:pPr>
      <w:r>
        <w:rPr>
          <w:rFonts w:ascii="Calibri" w:hAnsi="Calibri"/>
          <w:b/>
          <w:i/>
          <w:sz w:val="22"/>
        </w:rPr>
        <w:t>EBITDA và các biến thể của nó</w:t>
      </w:r>
    </w:p>
    <w:p>
      <w:pPr>
        <w:spacing w:after="80"/>
      </w:pPr>
      <w:r>
        <w:rPr>
          <w:b w:val="0"/>
          <w:i w:val="0"/>
        </w:rPr>
        <w:t xml:space="preserve">Hãy xem xét hồng tâm mà các cung thủ tại Global Crossing đã vẽ ra. Công ty báo cáo khoản lỗ ròng 120 triệu đô la trong quý tháng 3 năm 2007. Tuy nhiên, vì quá khao khát thể hiện có lãi, ban lãnh đạo đã loại bỏ các chi phí bằng một món pha chế pro forma gợi nhớ đến những trò sai trái của công ty thời bong bóng dot-com. Đầu tiên, ban lãnh đạo loại bỏ 97 triệu đô la chi phí cho lãi vay, thuế, khấu hao và một số khoản mục khác để đi đến một chỉ số mà họ gọi là </w:t>
      </w:r>
      <w:r>
        <w:rPr>
          <w:b w:val="0"/>
          <w:i/>
        </w:rPr>
        <w:t>EBITDA điều chỉnh</w:t>
      </w:r>
      <w:r>
        <w:rPr>
          <w:b w:val="0"/>
          <w:i w:val="0"/>
        </w:rPr>
        <w:t xml:space="preserve"> (lợi nhuận trước lãi vay, thuế, khấu hao và phân bổ). Sau đó, họ loại bỏ 15 triệu đô la chi phí thù lao cổ phiếu phi tiền mặt, đưa công ty đến EBITDA tiền mặt điều chỉnh ở mức </w:t>
      </w:r>
      <w:r>
        <w:rPr>
          <w:b w:val="0"/>
          <w:i/>
        </w:rPr>
        <w:t>âm</w:t>
      </w:r>
      <w:r>
        <w:rPr>
          <w:b w:val="0"/>
          <w:i w:val="0"/>
        </w:rPr>
        <w:t xml:space="preserve"> 8 triệu đô la. Gần đạt rồi, nhưng vẫn chưa hoàn toàn có lãi, ban lãnh đạo tiếp tục loại bỏ một loạt các khoản phí mà họ cho là mang tính chất một lần, đẩy công ty lên mức dương 4 triệu đô la trong cái mà họ gọi là </w:t>
      </w:r>
      <w:r>
        <w:rPr>
          <w:b w:val="0"/>
          <w:i/>
        </w:rPr>
        <w:t>EBITDA tiền mặt điều chỉnh trừ các khoản mục một lần</w:t>
      </w:r>
      <w:r>
        <w:rPr>
          <w:b w:val="0"/>
          <w:i w:val="0"/>
        </w:rPr>
        <w:t>. Hồng tâm!</w:t>
      </w:r>
    </w:p>
    <w:p>
      <w:pPr>
        <w:spacing w:after="80"/>
      </w:pPr>
      <w:r>
        <w:rPr>
          <w:b w:val="0"/>
          <w:i w:val="0"/>
        </w:rPr>
        <w:t>Thật dễ để hoài nghi về ba cấp độ pro forma của Global Crossing, và thật khó để không bật cười khi nhìn vào một số khoản phí “một lần” mà công ty đã loại bỏ. (Xem Bảng 13-1.) Lần cuối chúng tôi kiểm tra, chi phí cho việc “bảo trì” là một khoản chi phí bình thường của hoạt động kinh doanh và do đó không bao giờ nên bị loại khỏi một phép tính pro forma. Tương tự đối với các khoản khách hàng vỡ nợ (nợ khó đòi), thưởng giữ chân nhân viên và các khoản phí quản lý thông thường. Đừng để bị lừa mà nghĩ rằng những khoản mục này sẽ không tái diễn chỉ vì ban lãnh đạo quyết định trình bày chúng như thể mang tính chất một lần.</w:t>
      </w:r>
    </w:p>
    <w:p>
      <w:pPr>
        <w:spacing w:after="80"/>
      </w:pPr>
      <w:r>
        <w:rPr>
          <w:b/>
          <w:i w:val="0"/>
        </w:rPr>
        <w:t>Bảng 13-1</w:t>
      </w:r>
      <w:r>
        <w:rPr>
          <w:b w:val="0"/>
          <w:i w:val="0"/>
        </w:rPr>
        <w:t xml:space="preserve"> EBITDA tiền mặt điều chỉnh trừ các khoản mục một lần của Global Crossing</w:t>
      </w:r>
    </w:p>
    <w:p>
      <w:pPr>
        <w:jc w:val="center"/>
      </w:pPr>
      <w:r>
        <w:drawing>
          <wp:inline xmlns:a="http://schemas.openxmlformats.org/drawingml/2006/main" xmlns:pic="http://schemas.openxmlformats.org/drawingml/2006/picture">
            <wp:extent cx="5486400" cy="4225030"/>
            <wp:docPr id="45" name="Picture 45"/>
            <wp:cNvGraphicFramePr>
              <a:graphicFrameLocks noChangeAspect="1"/>
            </wp:cNvGraphicFramePr>
            <a:graphic>
              <a:graphicData uri="http://schemas.openxmlformats.org/drawingml/2006/picture">
                <pic:pic>
                  <pic:nvPicPr>
                    <pic:cNvPr id="0" name="00034.jpeg"/>
                    <pic:cNvPicPr/>
                  </pic:nvPicPr>
                  <pic:blipFill>
                    <a:blip r:embed="rId53"/>
                    <a:stretch>
                      <a:fillRect/>
                    </a:stretch>
                  </pic:blipFill>
                  <pic:spPr>
                    <a:xfrm>
                      <a:off x="0" y="0"/>
                      <a:ext cx="5486400" cy="4225030"/>
                    </a:xfrm>
                    <a:prstGeom prst="rect"/>
                  </pic:spPr>
                </pic:pic>
              </a:graphicData>
            </a:graphic>
          </wp:inline>
        </w:drawing>
      </w:r>
    </w:p>
    <w:p>
      <w:pPr>
        <w:pStyle w:val="Heading5"/>
      </w:pPr>
      <w:r>
        <w:rPr>
          <w:rFonts w:ascii="Calibri" w:hAnsi="Calibri"/>
          <w:b/>
          <w:i/>
          <w:sz w:val="22"/>
        </w:rPr>
        <w:t>Bây giờ bạn thấy nó, lát nữa thì không</w:t>
      </w:r>
    </w:p>
    <w:p>
      <w:pPr>
        <w:spacing w:after="80"/>
      </w:pPr>
      <w:r>
        <w:rPr>
          <w:b w:val="0"/>
          <w:i w:val="0"/>
        </w:rPr>
        <w:t>Trong cuộc gọi công bố kết quả kinh doanh tháng 6 năm 2007, nhà sản xuất bộ nhớ flash Spansion tự hào tuyên bố rằng EBITDA đã tăng lên 72 triệu đô la từ 61 triệu đô la của quý trước. Quý tiếp theo, Spansion báo cáo rằng EBITDA giảm xuống còn 71 triệu đô la; tuy nhiên, công ty đã trấn an các nhà đầu tư lo lắng bằng cách khẳng định rằng EBITDA đã tăng thêm 8 triệu đô la nếu bạn loại trừ khoản lãi một lần từ bất động sản nhận được trong quý trước. Thật tiện lợi, khoản lãi một lần này đã không bị loại khỏi EBITDA khi kết quả kinh doanh được báo cáo vào quý trước. Vậy nên Spansion về cơ bản đã bao gồm khoản lãi một lần để giúp thể hiện mức tăng trưởng EBITDA mạnh mẽ vào tháng 6, rồi lại loại trừ khoản lãi đó vào quý tiếp theo để thể hiện mức tăng trưởng EBITDA mạnh mẽ vào tháng 9. Bạn không thể vừa được cái này vừa được cái kia!</w:t>
      </w:r>
    </w:p>
    <w:p>
      <w:pPr>
        <w:pStyle w:val="Heading5"/>
      </w:pPr>
      <w:r>
        <w:rPr>
          <w:rFonts w:ascii="Calibri" w:hAnsi="Calibri"/>
          <w:b/>
          <w:i/>
          <w:sz w:val="22"/>
        </w:rPr>
        <w:t>Hãy coi chừng những chiêu trò khéo léo để thổi phồng EBITDA</w:t>
      </w:r>
    </w:p>
    <w:p>
      <w:pPr>
        <w:spacing w:after="80"/>
      </w:pPr>
      <w:r>
        <w:rPr>
          <w:b w:val="0"/>
          <w:i w:val="0"/>
        </w:rPr>
        <w:t>Công ty công nghệ du lịch Sabre Corporation đã tìm ra một cách khéo léo để thổi phồng EBITDA được báo cáo của mình bằng cách loại trừ một thành phần quan trọng trong cơ cấu chi phí. Sabre thường thanh toán trước cho các đại lý du lịch để dụ họ sử dụng hệ thống đặt chỗ du lịch của công ty; vào năm 2016, các khoản thanh toán này lên tới 71 triệu đô la. Vì những khoản giải ngân trả trước này liên quan đến các hợp đồng nhiều năm, chúng được vốn hóa và sau đó phân bổ dần trong suốt thời hạn hợp đồng. Do các chi phí này được ghi nhận vào Báo cáo thu nhập dưới dạng chi phí phân bổ, chúng được cộng ngược trở lại khi tính EBITDA. Nếu EBITDA được coi là một đại diện thay thế cho khả năng sinh lời bằng tiền mặt, thì thật khó để tìm ra lý lẽ biện minh cho việc loại trừ vĩnh viễn loại chi phí được trả bằng tiền mặt này mỗi kỳ.</w:t>
      </w:r>
    </w:p>
    <w:p>
      <w:pPr>
        <w:pStyle w:val="Heading5"/>
      </w:pPr>
      <w:r>
        <w:rPr>
          <w:rFonts w:ascii="Calibri" w:hAnsi="Calibri"/>
          <w:b/>
          <w:i/>
          <w:sz w:val="22"/>
        </w:rPr>
        <w:t>SEC siết chặt các chỉ số lợi nhuận hoạt động gây nhầm lẫn của Groupon</w:t>
      </w:r>
    </w:p>
    <w:p>
      <w:pPr>
        <w:spacing w:after="80"/>
      </w:pPr>
      <w:r>
        <w:rPr>
          <w:b w:val="0"/>
          <w:i w:val="0"/>
        </w:rPr>
        <w:t>Trong khi Global Crossing, Spansion và Sabre sử dụng những biến thể thú vị của EBITDA để khiến lợi nhuận trông dồi dào hơn, các công ty khác còn tiến xa hơn một bước—họ tạo ra chỉ số lợi nhuận của riêng mình. Và đó chính xác là điều Groupon đã làm.</w:t>
      </w:r>
    </w:p>
    <w:p>
      <w:pPr>
        <w:spacing w:after="80"/>
      </w:pPr>
      <w:r>
        <w:rPr>
          <w:b w:val="0"/>
          <w:i w:val="0"/>
        </w:rPr>
        <w:t>Hãy nhớ lại trong Chương 4 rằng IPO được mong đợi rất nhiều vào năm 2011 của Groupon đã gặp phải một số trở ngại ban đầu khi SEC buộc công ty phải điều chỉnh lại doanh thu. Việc điều chỉnh lại đó dẫn đến việc cắt giảm mạnh doanh thu được báo cáo trước đây trong mọi kỳ từ năm 2009 đến tháng 6 năm 2011 xuống hơn 50 phần trăm. Riêng biệt, SEC cũng buộc Groupon ngừng báo cáo thứ mà cơ quan này coi là một chỉ số phi GAAP rất gây nhầm lẫn, thu nhập hoạt động báo cáo phân khúc hợp nhất (CSOI). Trong Bảng 13-2, chúng tôi cho thấy Groupon đã cố lừa nhà đầu tư tin rằng công ty có lãi bằng cách loại bỏ một số khoản mục khỏi thu nhập từ hoạt động kinh doanh: (1) chi phí tiếp thị trực tuyến, (2) thù lao dựa trên cổ phiếu, và (3) chi phí liên quan đến mua lại. Chỉ số phi GAAP mà Groupon sử dụng, CSOI điều chỉnh, đã biến các khoản lỗ theo GAAP thành lãi.</w:t>
      </w:r>
    </w:p>
    <w:p>
      <w:pPr>
        <w:spacing w:after="80"/>
      </w:pPr>
      <w:r>
        <w:rPr>
          <w:b/>
          <w:i w:val="0"/>
        </w:rPr>
        <w:t>Bảng 13-2. Chỉ số phi GAAP gây nhầm lẫn của Groupon</w:t>
      </w:r>
    </w:p>
    <w:p>
      <w:pPr>
        <w:jc w:val="center"/>
      </w:pPr>
      <w:r>
        <w:drawing>
          <wp:inline xmlns:a="http://schemas.openxmlformats.org/drawingml/2006/main" xmlns:pic="http://schemas.openxmlformats.org/drawingml/2006/picture">
            <wp:extent cx="5486400" cy="2248250"/>
            <wp:docPr id="46" name="Picture 46"/>
            <wp:cNvGraphicFramePr>
              <a:graphicFrameLocks noChangeAspect="1"/>
            </wp:cNvGraphicFramePr>
            <a:graphic>
              <a:graphicData uri="http://schemas.openxmlformats.org/drawingml/2006/picture">
                <pic:pic>
                  <pic:nvPicPr>
                    <pic:cNvPr id="0" name="00030.jpeg"/>
                    <pic:cNvPicPr/>
                  </pic:nvPicPr>
                  <pic:blipFill>
                    <a:blip r:embed="rId54"/>
                    <a:stretch>
                      <a:fillRect/>
                    </a:stretch>
                  </pic:blipFill>
                  <pic:spPr>
                    <a:xfrm>
                      <a:off x="0" y="0"/>
                      <a:ext cx="5486400" cy="2248250"/>
                    </a:xfrm>
                    <a:prstGeom prst="rect"/>
                  </pic:spPr>
                </pic:pic>
              </a:graphicData>
            </a:graphic>
          </wp:inline>
        </w:drawing>
      </w:r>
    </w:p>
    <w:p>
      <w:pPr>
        <w:spacing w:after="80"/>
      </w:pPr>
      <w:r>
        <w:rPr>
          <w:b w:val="0"/>
          <w:i w:val="0"/>
        </w:rPr>
        <w:t>Trong 27 tháng bắt đầu từ tháng 1 năm 2009, Groupon báo cáo khoản lỗ hoạt động lũy kế theo GAAP tổng cộng 536 triệu đô la. Tuy nhiên, công ty muốn nhà đầu tư thay vào đó sử dụng chỉ số phi GAAP gây nhầm lẫn, CSOI điều chỉnh, cho thấy lợi nhuận lũy kế hơn 145 triệu đô la. May mắn thay, SEC đã thông báo cho Groupon ngừng sử dụng chỉ số gây nhầm lẫn này.</w:t>
      </w:r>
    </w:p>
    <w:p>
      <w:pPr>
        <w:pStyle w:val="Heading5"/>
      </w:pPr>
      <w:r>
        <w:rPr>
          <w:rFonts w:ascii="Calibri" w:hAnsi="Calibri"/>
          <w:b/>
          <w:i/>
          <w:sz w:val="22"/>
        </w:rPr>
        <w:t>Thu nhập Pro Forma/Thu nhập điều chỉnh/Thu nhập phi GAAP</w:t>
      </w:r>
    </w:p>
    <w:p>
      <w:pPr>
        <w:spacing w:after="80"/>
      </w:pPr>
      <w:r>
        <w:rPr>
          <w:b w:val="0"/>
          <w:i w:val="0"/>
        </w:rPr>
        <w:t>Cái tên có gì đâu? Thứ mà các công ty gọi là thu nhập, dù với bất kỳ tên gì khác, vẫn thơm ngọt như vậy … hoặc ít nhất ban lãnh đạo muốn bạn nghĩ thế. Đôi khi ban lãnh đạo khăng khăng rằng một chỉ số thu nhập "pro forma" hay "điều chỉnh" nặng mùi (hoặc bất kỳ chỉ số thu nhập nào khác có tên định tính) là một thước đo thu nhập ngọt ngào và thuần khiết.</w:t>
      </w:r>
    </w:p>
    <w:p>
      <w:pPr>
        <w:spacing w:after="80"/>
      </w:pPr>
      <w:r>
        <w:rPr>
          <w:b/>
          <w:i/>
        </w:rPr>
        <w:t>Giả vờ rằng các khoản chi phí định kỳ là nhất thời</w:t>
      </w:r>
      <w:r>
        <w:rPr>
          <w:b w:val="0"/>
          <w:i w:val="0"/>
        </w:rPr>
        <w:t xml:space="preserve"> Bạn có thể nhớ rằng Peregrine Systems đã ghi nhận doanh thu giả rồi cố che đậy bằng cách gian lận giả mạo việc bán các khoản phải thu. Chà, công ty có quá nhiều khoản phải thu giả đến mức còn dùng các thủ thuật pro forma để che giấu bằng chứng về trò gian trá của mình. Ngoài việc giả vờ bán các khoản phải thu này, Peregrine còn ghi nhận chi phí cho các khoản phải thu đó, nhưng lại phân loại không đúng những chi phí này là không định kỳ và liên quan đến mua lại. Cách phân loại này cho Peregrine cái cớ để loại trừ các chi phí này khỏi báo cáo thu nhập pro forma của mình để nhà đầu tư không phải lo lắng (hoặc ít nhất là những nhà đầu tư luôn tin lời công ty).</w:t>
      </w:r>
    </w:p>
    <w:p>
      <w:pPr>
        <w:spacing w:after="80"/>
      </w:pPr>
      <w:r>
        <w:rPr>
          <w:b w:val="0"/>
          <w:i w:val="0"/>
        </w:rPr>
        <w:t xml:space="preserve">Whirlpool, một trong những công ty dẫn đầu toàn cầu về thiết bị gia dụng lớn, báo cáo một chỉ số lợi nhuận gọi là </w:t>
      </w:r>
      <w:r>
        <w:rPr>
          <w:b w:val="0"/>
          <w:i/>
        </w:rPr>
        <w:t>thu nhập liên tục</w:t>
      </w:r>
      <w:r>
        <w:rPr>
          <w:b w:val="0"/>
          <w:i w:val="0"/>
        </w:rPr>
        <w:t xml:space="preserve"> nhằm loại trừ ảnh hưởng của các khoản mục không định kỳ và ngoài hoạt động kinh doanh. Một trong những điều chỉnh phổ biến nhất từ thu nhập GAAP sang "thu nhập liên tục" là chi phí tái cơ cấu liên quan đến nhiều loại chi phí gắn với hoạt động M&amp;A, đóng cửa nhà máy, sa thải nhân công và suy giảm giá trị tài sản của công ty, cùng nhiều thứ khác. Tuy nhiên, chi phí tái cơ cấu đã xuất hiện trên Báo cáo thu nhập của Whirlpool trong 23 năm trong số 27 năm qua, khó có thể gọi là chi phí "không định kỳ"! Vào tháng 10 năm 2016, SEC cuối cùng đã chất vấn việc công ty liên tục loại trừ các chi phí này.</w:t>
      </w:r>
    </w:p>
    <w:p>
      <w:pPr>
        <w:pStyle w:val="Heading4"/>
      </w:pPr>
      <w:r>
        <w:rPr>
          <w:rFonts w:ascii="Calibri" w:hAnsi="Calibri"/>
          <w:b/>
          <w:i w:val="0"/>
          <w:sz w:val="23"/>
        </w:rPr>
        <w:t>3. Nhấn mạnh một chỉ số gây nhầm lẫn như vật thay thế cho dòng tiền</w:t>
      </w:r>
    </w:p>
    <w:p>
      <w:pPr>
        <w:spacing w:after="80"/>
      </w:pPr>
      <w:r>
        <w:rPr>
          <w:b w:val="0"/>
          <w:i w:val="0"/>
        </w:rPr>
        <w:t>Các chỉ số dòng tiền phi GAAP ít phổ biến hơn so với các công bố doanh thu và thu nhập phi GAAP; tuy nhiên, chúng vẫn tồn tại. Đôi khi các công ty tạo ra một chỉ số dòng tiền pro forma để loại trừ một hoạt động không định kỳ, chẳng hạn như một vụ dàn xếp kiện tụng lớn. Tuy nhiên, những lúc khác, các công ty có thể tìm cách nâng cao một cách giả tạo hồ sơ tạo tiền của mình.</w:t>
      </w:r>
    </w:p>
    <w:p>
      <w:pPr>
        <w:pStyle w:val="Heading5"/>
      </w:pPr>
      <w:r>
        <w:rPr>
          <w:rFonts w:ascii="Calibri" w:hAnsi="Calibri"/>
          <w:b/>
          <w:i/>
          <w:sz w:val="22"/>
        </w:rPr>
        <w:t>"Thu nhập tiền mặt" và EBITDA không phải là chỉ số dòng tiền</w:t>
      </w:r>
    </w:p>
    <w:p>
      <w:pPr>
        <w:spacing w:after="80"/>
      </w:pPr>
      <w:r>
        <w:rPr>
          <w:b w:val="0"/>
          <w:i w:val="0"/>
        </w:rPr>
        <w:t>Các công ty đôi khi trình bày những chỉ số như "thu nhập tiền mặt" hay "EBITDA tiền mặt" (như chúng ta vừa thấy với Global Crossing). Đừng nhầm lẫn những chỉ số này với vật thay thế cho dòng tiền! Nhiều công ty cũng như nhà đầu tư đều tin rằng những chỉ số này (cũng như EBITDA thông thường) là vật thay thế tốt cho dòng tiền đơn giản chỉ vì phép tính bao gồm việc cộng ngược trở lại các chi phí phi tiền mặt như khấu hao. Như bạn chắc chắn đã biết đến giờ, dòng tiền của một công ty bao gồm nhiều thứ hơn là chỉ thu nhập ròng cộng với các chi phí phi tiền mặt. Tính toán theo cách này chỉ là lạm dụng phương pháp gián tiếp để lập Báo cáo lưu chuyển tiền tệ (SCF) (tham khảo phần thảo luận của chúng tôi về cách trình bày dòng tiền trong phần giới thiệu Phần Ba). Bỏ qua những thay đổi vốn lưu động khi tính dòng tiền sẽ cho bạn một bức chân dung hư cấu về khả năng tạo tiền của công ty, giống như việc bỏ qua các khoản dồn tích cho những chi phí như nợ khó đòi, suy giảm giá trị và chi phí bảo hành sẽ cho bạn cảm giác ảo về khả năng sinh lời. Thực tế, những chỉ số như EBITDA và thu nhập tiền mặt là những đại diện kém cỏi cho hiệu quả hoạt động.</w:t>
      </w:r>
    </w:p>
    <w:p>
      <w:pPr>
        <w:spacing w:after="80"/>
      </w:pPr>
      <w:r>
        <w:rPr>
          <w:b w:val="0"/>
          <w:i w:val="0"/>
        </w:rPr>
        <w:t>Hơn nữa, đối với các doanh nghiệp thâm dụng vốn, EBITDA thường là một thước đo gây nhầm lẫn về hiệu quả hoạt động và khả năng sinh lời vì tất cả các chi phí vốn chính đều chạy qua Báo cáo thu nhập dưới dạng khấu hao, và do đó chúng bị loại khỏi EBITDA. Một số công ty lạm dụng việc cộng đồng đầu tư chấp nhận EBITDA và sử dụng chỉ số này ngay cả khi hoàn toàn không có cơ sở chính đáng.</w:t>
      </w:r>
    </w:p>
    <w:p>
      <w:pPr>
        <w:spacing w:after="80"/>
      </w:pPr>
      <w:r>
        <w:rPr>
          <w:b w:val="0"/>
          <w:i w:val="0"/>
        </w:rPr>
        <w:t>Lấy ví dụ về báo cáo phi GAAP tại Gogo Inc., nhà cung cấp dịch vụ truy cập Internet trên chuyến bay. Chỉ số EBITDA điều chỉnh phi GAAP của Gogo bỏ qua một số chi phí cơ bản để cung cấp dịch vụ trên chuyến bay của mình, bao gồm sản xuất và lắp đặt thiết bị mạng và phần mềm hệ thống. Gogo xử lý những chi phí này một cách phù hợp cho mục đích GAAP: chúng được vốn hóa trên Bảng cân đối kế toán và khấu hao qua P&amp;L. Tuy nhiên, vì những chi phí này được phân loại là "khấu hao và phân bổ", chúng bị loại khỏi EBITDA điều chỉnh phi GAAP của Gogo. Không có gì ngạc nhiên khi Gogo đã có thể cho thấy EBITDA điều chỉnh dương mỗi năm kể từ IPO năm 2013 bất chấp thu nhập ròng theo GAAP âm sâu.</w:t>
      </w:r>
    </w:p>
    <w:p>
      <w:pPr>
        <w:pStyle w:val="Heading5"/>
      </w:pPr>
      <w:r>
        <w:rPr>
          <w:rFonts w:ascii="Calibri" w:hAnsi="Calibri"/>
          <w:b/>
          <w:i/>
          <w:sz w:val="22"/>
        </w:rPr>
        <w:t>Các chỉ số Dòng tiền phi GAAP có thể được đặt ở đó để gây nhầm lẫn</w:t>
      </w:r>
    </w:p>
    <w:p>
      <w:pPr>
        <w:spacing w:after="80"/>
      </w:pPr>
      <w:r>
        <w:rPr>
          <w:b w:val="0"/>
          <w:i w:val="0"/>
        </w:rPr>
        <w:t xml:space="preserve">Trong Chương 10, “Thủ thuật Dòng tiền số 1: Chuyển Dòng tiền vào từ Hoạt động Tài chính sang Phần Hoạt động Kinh doanh,” chúng ta đã thảo luận về việc vào năm 2000, Delphi Corp. đã ghi nhận sai một khoản vay từ ngân hàng thành việc bán hàng tồn kho, và bằng cách đó đã thổi phồng dòng tiền từ hoạt động kinh doanh thêm 200 triệu đô la. À, ban lãnh đạo của Delphi cũng thích đánh lừa nhà đầu tư bằng cách trình bày những chỉ số dòng tiền xảo quyệt. Ví dụ, Delphi thường xuyên đưa “Dòng tiền Hoạt động” lên tiêu đề trong các Bản công bố Kết quả Kinh doanh của mình. Không nghi ngờ gì nữa, nhiều người nghĩ rằng Delphi đang nói về CFFO (dòng tiền từ hoạt động kinh doanh) của mình; tuy nhiên, thực tế không phải vậy. “Dòng tiền Hoạt động” thực chất là cái tên đánh lừa của Delphi để thay thế cho dòng tiền từ hoạt động kinh doanh theo GAAP. Vì cái tên quá giống với người anh em GAAP của nó, bạn có thể tưởng tượng được bao nhiêu nhà đầu tư đã bị nhầm lẫn mà nghĩ rằng chỉ số pro forma này chính là CFFO thực tế của Delphi. Sự thật là, chỉ số thay thế này hầu như chẳng giống gì với dòng tiền từ hoạt động kinh doanh theo GAAP. Như thể hiện trong Bảng 13-3, nó được tính bằng thu nhập ròng </w:t>
      </w:r>
      <w:r>
        <w:rPr>
          <w:b w:val="0"/>
          <w:i/>
        </w:rPr>
        <w:t>cộng</w:t>
      </w:r>
      <w:r>
        <w:rPr>
          <w:b w:val="0"/>
          <w:i w:val="0"/>
        </w:rPr>
        <w:t xml:space="preserve"> khấu hao và các khoản chi phí phi tiền mặt khác </w:t>
      </w:r>
      <w:r>
        <w:rPr>
          <w:b w:val="0"/>
          <w:i/>
        </w:rPr>
        <w:t>trừ</w:t>
      </w:r>
      <w:r>
        <w:rPr>
          <w:b w:val="0"/>
          <w:i w:val="0"/>
        </w:rPr>
        <w:t xml:space="preserve"> chi tiêu vốn </w:t>
      </w:r>
      <w:r>
        <w:rPr>
          <w:b w:val="0"/>
          <w:i/>
        </w:rPr>
        <w:t>cộng</w:t>
      </w:r>
      <w:r>
        <w:rPr>
          <w:b w:val="0"/>
          <w:i w:val="0"/>
        </w:rPr>
        <w:t xml:space="preserve"> một khoản mục bí ẩn khổng lồ nào đó được dán nhãn “khác.”</w:t>
      </w:r>
    </w:p>
    <w:p>
      <w:pPr>
        <w:spacing w:after="80"/>
      </w:pPr>
      <w:r>
        <w:rPr>
          <w:b/>
          <w:i w:val="0"/>
        </w:rPr>
        <w:t>Bảng 13-3</w:t>
      </w:r>
      <w:r>
        <w:rPr>
          <w:b w:val="0"/>
          <w:i w:val="0"/>
        </w:rPr>
        <w:t xml:space="preserve"> Dòng tiền GAAP so với Dòng tiền Pro Forma của Delphi, 2000</w:t>
      </w:r>
    </w:p>
    <w:p>
      <w:pPr>
        <w:jc w:val="center"/>
      </w:pPr>
      <w:r>
        <w:drawing>
          <wp:inline xmlns:a="http://schemas.openxmlformats.org/drawingml/2006/main" xmlns:pic="http://schemas.openxmlformats.org/drawingml/2006/picture">
            <wp:extent cx="5486400" cy="2245960"/>
            <wp:docPr id="47" name="Picture 47"/>
            <wp:cNvGraphicFramePr>
              <a:graphicFrameLocks noChangeAspect="1"/>
            </wp:cNvGraphicFramePr>
            <a:graphic>
              <a:graphicData uri="http://schemas.openxmlformats.org/drawingml/2006/picture">
                <pic:pic>
                  <pic:nvPicPr>
                    <pic:cNvPr id="0" name="00052.jpeg"/>
                    <pic:cNvPicPr/>
                  </pic:nvPicPr>
                  <pic:blipFill>
                    <a:blip r:embed="rId55"/>
                    <a:stretch>
                      <a:fillRect/>
                    </a:stretch>
                  </pic:blipFill>
                  <pic:spPr>
                    <a:xfrm>
                      <a:off x="0" y="0"/>
                      <a:ext cx="5486400" cy="2245960"/>
                    </a:xfrm>
                    <a:prstGeom prst="rect"/>
                  </pic:spPr>
                </pic:pic>
              </a:graphicData>
            </a:graphic>
          </wp:inline>
        </w:drawing>
      </w:r>
    </w:p>
    <w:p>
      <w:pPr>
        <w:spacing w:after="80"/>
      </w:pPr>
      <w:r>
        <w:rPr>
          <w:b w:val="0"/>
          <w:i w:val="0"/>
        </w:rPr>
        <w:t xml:space="preserve">Chúng ta đã đề cập trước đó rằng CFFO thực tế của Delphi (như được báo cáo trên SCF) là 268 triệu đô la, nhưng “Dòng tiền Hoạt động” do chính họ định nghĩa (như được trình bày trong Bản công bố Kết quả Kinh doanh) là 1,6 tỷ đô la—một mức chênh lệch đáng kinh ngạc gần 1,4 tỷ đô la. Vì chỉ số thay thế dòng tiền này bao gồm tác động của chi tiêu vốn, có thể sẽ phù hợp hơn khi so sánh nó với dòng tiền tự do của Delphi (CFFO trừ chi tiêu vốn) là </w:t>
      </w:r>
      <w:r>
        <w:rPr>
          <w:b w:val="0"/>
          <w:i/>
        </w:rPr>
        <w:t>âm</w:t>
      </w:r>
      <w:r>
        <w:rPr>
          <w:b w:val="0"/>
          <w:i w:val="0"/>
        </w:rPr>
        <w:t xml:space="preserve"> 1,0 tỷ đô la—đưa mức chênh lệch của chúng ta lên con số kinh khủng 2,6 tỷ đô la. (Ồ, nhân tiện, 268 triệu đô la CFFO được báo cáo trên SCF đó chỉ còn 68 triệu đô la nếu bạn loại trừ vụ bán hàng tồn kho giả tạo mà chúng ta đã thảo luận trong Chương 10.)</w:t>
      </w:r>
    </w:p>
    <w:p>
      <w:pPr>
        <w:spacing w:after="80"/>
      </w:pPr>
      <w:r>
        <w:rPr>
          <w:b w:val="0"/>
          <w:i w:val="0"/>
        </w:rPr>
        <w:t xml:space="preserve">Năm 2003, Delphi vẫn giở đúng những chiêu trò cũ, nhưng giờ công ty lại trình bày một bảng đối chiếu giữa “Dòng tiền Hoạt động” của mình và CFFO như được báo cáo trên Báo cáo Lưu chuyển Tiền tệ. “Dòng tiền Hoạt động” của Delphi là 1,2 tỷ đô la vào năm 2003, so với 737 triệu đô la CFFO và </w:t>
      </w:r>
      <w:r>
        <w:rPr>
          <w:b w:val="0"/>
          <w:i/>
        </w:rPr>
        <w:t>âm</w:t>
      </w:r>
      <w:r>
        <w:rPr>
          <w:b w:val="0"/>
          <w:i w:val="0"/>
        </w:rPr>
        <w:t xml:space="preserve"> 268 triệu đô la dòng tiền tự do. Như thể hiện trong Bảng 13-4, những khác biệt chính bao gồm các khoản sử dụng dòng tiền thông thường cho hoạt động kinh doanh, gồm đóng góp vào quỹ hưu trí, thanh toán cho nhân viên, và sự sụt giảm trong việc bán các khoản phải thu.</w:t>
      </w:r>
    </w:p>
    <w:p>
      <w:pPr>
        <w:spacing w:after="80"/>
      </w:pPr>
      <w:r>
        <w:rPr>
          <w:b w:val="0"/>
          <w:i w:val="0"/>
        </w:rPr>
        <w:t>Bất kỳ nhà đầu tư nghiêm túc nào nhìn vào bản trình bày này sẽ sửng sốt khi thấy những khoản chi tiêu hoạt động bình thường như vậy lại bị loại khỏi phép tính “Dòng tiền Hoạt động.” Câu ngạn ngữ “Không có lửa thì sao có khói” rất đúng khi bạn đang truy tìm các thủ thuật. Trò lừa dối về chỉ số thay thế dòng tiền vô lý của Delphi chính là khói. Doanh thu và dòng tiền gian lận chính là lửa.</w:t>
      </w:r>
    </w:p>
    <w:p>
      <w:pPr>
        <w:spacing w:after="80"/>
      </w:pPr>
      <w:r>
        <w:rPr>
          <w:b/>
          <w:i w:val="0"/>
        </w:rPr>
        <w:t>Bảng 13-4</w:t>
      </w:r>
      <w:r>
        <w:rPr>
          <w:b w:val="0"/>
          <w:i w:val="0"/>
        </w:rPr>
        <w:t xml:space="preserve"> Dòng tiền GAAP so với Dòng tiền Pro Forma của Delphi, 2003</w:t>
      </w:r>
    </w:p>
    <w:p>
      <w:pPr>
        <w:jc w:val="center"/>
      </w:pPr>
      <w:r>
        <w:drawing>
          <wp:inline xmlns:a="http://schemas.openxmlformats.org/drawingml/2006/main" xmlns:pic="http://schemas.openxmlformats.org/drawingml/2006/picture">
            <wp:extent cx="5486400" cy="2248250"/>
            <wp:docPr id="48" name="Picture 48"/>
            <wp:cNvGraphicFramePr>
              <a:graphicFrameLocks noChangeAspect="1"/>
            </wp:cNvGraphicFramePr>
            <a:graphic>
              <a:graphicData uri="http://schemas.openxmlformats.org/drawingml/2006/picture">
                <pic:pic>
                  <pic:nvPicPr>
                    <pic:cNvPr id="0" name="00024.jpeg"/>
                    <pic:cNvPicPr/>
                  </pic:nvPicPr>
                  <pic:blipFill>
                    <a:blip r:embed="rId56"/>
                    <a:stretch>
                      <a:fillRect/>
                    </a:stretch>
                  </pic:blipFill>
                  <pic:spPr>
                    <a:xfrm>
                      <a:off x="0" y="0"/>
                      <a:ext cx="5486400" cy="2248250"/>
                    </a:xfrm>
                    <a:prstGeom prst="rect"/>
                  </pic:spPr>
                </pic:pic>
              </a:graphicData>
            </a:graphic>
          </wp:inline>
        </w:drawing>
      </w:r>
    </w:p>
    <w:p>
      <w:pPr>
        <w:spacing w:after="80"/>
      </w:pPr>
      <w:r>
        <w:rPr>
          <w:b w:val="0"/>
          <w:i w:val="0"/>
        </w:rPr>
        <w:t xml:space="preserve">Tương tự, IBM phô diễn một chỉ số dòng tiền tự do với định nghĩa bất thường và mang tính cơ hội. Dòng tiền tự do là một chỉ số phi GAAP được sử dụng rộng rãi và theo truyền thống được tính bằng dòng tiền từ hoạt động kinh doanh trừ chi tiêu vốn. IBM đã điều chỉnh định nghĩa này để cũng loại trừ những thay đổi trong các khoản phải thu tài trợ của mình. Điều này có vấn đề, vì các khoản phải thu tài trợ của IBM thực chất chỉ là </w:t>
      </w:r>
      <w:r>
        <w:rPr>
          <w:b w:val="0"/>
          <w:i/>
        </w:rPr>
        <w:t>các khoản cho vay dài hạn đối với chính khách hàng của mình</w:t>
      </w:r>
      <w:r>
        <w:rPr>
          <w:b w:val="0"/>
          <w:i w:val="0"/>
        </w:rPr>
        <w:t>, nói cách khác, chính là các khoản phải thu. Từ năm 2010 đến 2013, mức tài trợ cao hơn cho khách hàng đã tạo ra một gánh nặng lớn lên CFFO; tuy nhiên, chỉ số dòng tiền tự do xảo quyệt của IBM lại khiến nó trông như thể những khoản thanh toán này đã được thu về. Chỉ riêng năm 2012, mức tăng trong các khoản phải thu tài trợ đã gần 3 tỷ đô la, chiếm 16 phần trăm dòng tiền tự do do IBM tự định nghĩa.</w:t>
      </w:r>
    </w:p>
    <w:p>
      <w:pPr>
        <w:pStyle w:val="Heading5"/>
      </w:pPr>
      <w:r>
        <w:rPr>
          <w:rFonts w:ascii="Calibri" w:hAnsi="Calibri"/>
          <w:b/>
          <w:i/>
          <w:sz w:val="22"/>
        </w:rPr>
        <w:t>Phải làm gì khi các chỉ số phi GAAP trở nên phổ biến trong một ngành?</w:t>
      </w:r>
    </w:p>
    <w:p>
      <w:pPr>
        <w:spacing w:after="80"/>
      </w:pPr>
      <w:r>
        <w:rPr>
          <w:b w:val="0"/>
          <w:i w:val="0"/>
        </w:rPr>
        <w:t>Đôi khi một số ngành nhất định sử dụng các chỉ số phi GAAP như cách chuẩn để định giá công ty hoặc để tính toán mức phân phối cổ tức phù hợp cho nhà đầu tư. Các công ty năng lượng, được cấu trúc dưới dạng hợp danh hữu hạn chủ (MLP), nổi bật ở chỗ tránh xa các con số dựa trên GAAP để dùng các con số phi GAAP.</w:t>
      </w:r>
    </w:p>
    <w:p>
      <w:pPr>
        <w:spacing w:after="80"/>
      </w:pPr>
      <w:r>
        <w:rPr>
          <w:b w:val="0"/>
          <w:i w:val="0"/>
        </w:rPr>
        <w:t>Với lãi suất thấp trong lịch sử kể từ cuộc khủng hoảng tài chính 2008, nhà đầu tư đã tìm kiếm khắp nơi những chứng khoán mang lại lợi suất hàng năm cao hơn mức lãi suất keo kiệt của trái phiếu. Phố Wall để ý đến điều này và bắt đầu ca ngợi những lợi suất cao và tình trạng được ưu đãi thuế của các MLP.</w:t>
      </w:r>
    </w:p>
    <w:p>
      <w:pPr>
        <w:spacing w:after="80"/>
      </w:pPr>
      <w:r>
        <w:rPr>
          <w:b w:val="0"/>
          <w:i w:val="0"/>
        </w:rPr>
        <w:t xml:space="preserve">Linn Energy có trụ sở tại Houston nhanh chóng trở thành một MLP cưng của giới đầu tư nhờ khả năng liên tục tăng các khoản chi trả cổ tức. Năm 2012, công ty đã trả cho nhà đầu tư 680 triệu đô la cổ tức, tăng 15 phần trăm so với năm 2011. Dù ấn tượng, những con số này có vẻ kỳ lạ khi đặt cạnh dòng tiền tự do của công ty, vốn đã giảm hơn nửa tỷ đô la xuống còn </w:t>
      </w:r>
      <w:r>
        <w:rPr>
          <w:b w:val="0"/>
          <w:i/>
        </w:rPr>
        <w:t>âm</w:t>
      </w:r>
      <w:r>
        <w:rPr>
          <w:b w:val="0"/>
          <w:i w:val="0"/>
        </w:rPr>
        <w:t xml:space="preserve"> 694 triệu đô la vào năm 2012. Làm sao hội đồng quản trị có thể phê duyệt một khoản chi trả cổ tức hào phóng đến vậy khi hoạt động kinh doanh lại cần nhiều tiền mặt sẵn có của Linn đến thế? Công ty thực ra đã phải đi vay tiền để tài trợ cho những khoản thanh toán này. Câu trả lời nằm ở cách Linn (và nhiều MLP khác) báo cáo dòng tiền của họ. Công ty nhấn mạnh vào “dòng tiền có thể phân phối”—đây là một chỉ số không có định nghĩa chuẩn hóa, nhưng với Linn Energy nó được suy ra từ EBITDA đã điều chỉnh, và chỉ tính đến một phần chi tiêu vốn của công ty. Phương pháp này tạo ra một chỉ số thuận lợi hơn nhiều, được dùng để biện minh cho một khoản chi trả cổ tức cao hơn.</w:t>
      </w:r>
    </w:p>
    <w:p>
      <w:pPr>
        <w:spacing w:after="80"/>
      </w:pPr>
      <w:r>
        <w:rPr>
          <w:b w:val="0"/>
          <w:i w:val="0"/>
        </w:rPr>
        <w:t>Bảng 13-5 cho thấy các chỉ số thu nhập và dòng tiền theo GAAP và phi GAAP của Linn, và Bảng 13-6 cho thấy cách Linn tính “dòng tiền có thể phân phối” cùng nhiều chi phí không được tính vào.</w:t>
      </w:r>
    </w:p>
    <w:p>
      <w:pPr>
        <w:spacing w:after="80"/>
      </w:pPr>
      <w:r>
        <w:rPr>
          <w:b/>
          <w:i w:val="0"/>
        </w:rPr>
        <w:t>Bảng 13-5</w:t>
      </w:r>
      <w:r>
        <w:rPr>
          <w:b w:val="0"/>
          <w:i w:val="0"/>
        </w:rPr>
        <w:t xml:space="preserve"> Thu nhập và Dòng tiền của Linn Energy dựa trên GAAP và phi GAAP</w:t>
      </w:r>
    </w:p>
    <w:p>
      <w:pPr>
        <w:jc w:val="center"/>
      </w:pPr>
      <w:r>
        <w:drawing>
          <wp:inline xmlns:a="http://schemas.openxmlformats.org/drawingml/2006/main" xmlns:pic="http://schemas.openxmlformats.org/drawingml/2006/picture">
            <wp:extent cx="5486400" cy="3495413"/>
            <wp:docPr id="49" name="Picture 49"/>
            <wp:cNvGraphicFramePr>
              <a:graphicFrameLocks noChangeAspect="1"/>
            </wp:cNvGraphicFramePr>
            <a:graphic>
              <a:graphicData uri="http://schemas.openxmlformats.org/drawingml/2006/picture">
                <pic:pic>
                  <pic:nvPicPr>
                    <pic:cNvPr id="0" name="00004.jpeg"/>
                    <pic:cNvPicPr/>
                  </pic:nvPicPr>
                  <pic:blipFill>
                    <a:blip r:embed="rId57"/>
                    <a:stretch>
                      <a:fillRect/>
                    </a:stretch>
                  </pic:blipFill>
                  <pic:spPr>
                    <a:xfrm>
                      <a:off x="0" y="0"/>
                      <a:ext cx="5486400" cy="3495413"/>
                    </a:xfrm>
                    <a:prstGeom prst="rect"/>
                  </pic:spPr>
                </pic:pic>
              </a:graphicData>
            </a:graphic>
          </wp:inline>
        </w:drawing>
      </w:r>
    </w:p>
    <w:p>
      <w:pPr>
        <w:spacing w:after="80"/>
      </w:pPr>
      <w:r>
        <w:rPr>
          <w:b/>
          <w:i w:val="0"/>
        </w:rPr>
        <w:t>Bảng 13-6</w:t>
      </w:r>
      <w:r>
        <w:rPr>
          <w:b w:val="0"/>
          <w:i w:val="0"/>
        </w:rPr>
        <w:t xml:space="preserve"> Các chỉ số phi GAAP của Linn Energy được dùng để xác định mức chi trả cổ tức</w:t>
      </w:r>
    </w:p>
    <w:p>
      <w:pPr>
        <w:jc w:val="center"/>
      </w:pPr>
      <w:r>
        <w:drawing>
          <wp:inline xmlns:a="http://schemas.openxmlformats.org/drawingml/2006/main" xmlns:pic="http://schemas.openxmlformats.org/drawingml/2006/picture">
            <wp:extent cx="5486400" cy="3987567"/>
            <wp:docPr id="50" name="Picture 50"/>
            <wp:cNvGraphicFramePr>
              <a:graphicFrameLocks noChangeAspect="1"/>
            </wp:cNvGraphicFramePr>
            <a:graphic>
              <a:graphicData uri="http://schemas.openxmlformats.org/drawingml/2006/picture">
                <pic:pic>
                  <pic:nvPicPr>
                    <pic:cNvPr id="0" name="00006.jpeg"/>
                    <pic:cNvPicPr/>
                  </pic:nvPicPr>
                  <pic:blipFill>
                    <a:blip r:embed="rId58"/>
                    <a:stretch>
                      <a:fillRect/>
                    </a:stretch>
                  </pic:blipFill>
                  <pic:spPr>
                    <a:xfrm>
                      <a:off x="0" y="0"/>
                      <a:ext cx="5486400" cy="3987567"/>
                    </a:xfrm>
                    <a:prstGeom prst="rect"/>
                  </pic:spPr>
                </pic:pic>
              </a:graphicData>
            </a:graphic>
          </wp:inline>
        </w:drawing>
      </w:r>
    </w:p>
    <w:p>
      <w:pPr>
        <w:spacing w:after="80"/>
      </w:pPr>
      <w:r>
        <w:rPr>
          <w:b w:val="0"/>
          <w:i w:val="0"/>
        </w:rPr>
        <w:t xml:space="preserve">Bạn sẽ để ý rằng Linn Energy đã trừ đi chi tiêu vốn bảo trì khi tính ra dòng tiền có thể phân phối, trong khi tổng chi tiêu vốn theo GAAP gần gấp đôi con số đó. Điều này theo một cách tiếp cận mà một số công ty (và nhà đầu tư) áp dụng để xem xét chi tiêu vốn theo hai nhóm riêng biệt: (1) </w:t>
      </w:r>
      <w:r>
        <w:rPr>
          <w:b w:val="0"/>
          <w:i/>
        </w:rPr>
        <w:t>bảo trì</w:t>
      </w:r>
      <w:r>
        <w:rPr>
          <w:b w:val="0"/>
          <w:i w:val="0"/>
        </w:rPr>
        <w:t xml:space="preserve">—vốn chi cho các cơ sở hiện có mà không làm tăng công suất—và (2) </w:t>
      </w:r>
      <w:r>
        <w:rPr>
          <w:b w:val="0"/>
          <w:i/>
        </w:rPr>
        <w:t>tăng trưởng</w:t>
      </w:r>
      <w:r>
        <w:rPr>
          <w:b w:val="0"/>
          <w:i w:val="0"/>
        </w:rPr>
        <w:t xml:space="preserve">—vốn chi để mở rộng hoạt động kinh doanh tại các cơ sở hiện có hoặc cơ sở mới. Rõ ràng, ban lãnh đạo có khá nhiều quyền tùy ý trong việc xếp khoản nào vào nhóm nào. Bảng 13-7 cho thấy Linn đã phân bổ bao nhiêu cho bảo trì và tăng trưởng. Đương nhiên, Linn càng phân loại nhiều vào tăng trưởng thì DCF càng cao—vì chi tiêu vốn cho tăng trưởng </w:t>
      </w:r>
      <w:r>
        <w:rPr>
          <w:b w:val="0"/>
          <w:i/>
        </w:rPr>
        <w:t>được loại trừ khỏi phép tính</w:t>
      </w:r>
      <w:r>
        <w:rPr>
          <w:b w:val="0"/>
          <w:i w:val="0"/>
        </w:rPr>
        <w:t>.</w:t>
      </w:r>
    </w:p>
    <w:p>
      <w:pPr>
        <w:spacing w:after="80"/>
      </w:pPr>
      <w:r>
        <w:rPr>
          <w:b/>
          <w:i w:val="0"/>
        </w:rPr>
        <w:t>Bảng 13-7</w:t>
      </w:r>
      <w:r>
        <w:rPr>
          <w:b w:val="0"/>
          <w:i w:val="0"/>
        </w:rPr>
        <w:t xml:space="preserve"> Phân bổ của Linn Energy cho Chi tiêu Vốn Bảo trì và Tăng trưởng</w:t>
      </w:r>
    </w:p>
    <w:p>
      <w:pPr>
        <w:jc w:val="center"/>
      </w:pPr>
      <w:r>
        <w:drawing>
          <wp:inline xmlns:a="http://schemas.openxmlformats.org/drawingml/2006/main" xmlns:pic="http://schemas.openxmlformats.org/drawingml/2006/picture">
            <wp:extent cx="5486400" cy="1469372"/>
            <wp:docPr id="51" name="Picture 51"/>
            <wp:cNvGraphicFramePr>
              <a:graphicFrameLocks noChangeAspect="1"/>
            </wp:cNvGraphicFramePr>
            <a:graphic>
              <a:graphicData uri="http://schemas.openxmlformats.org/drawingml/2006/picture">
                <pic:pic>
                  <pic:nvPicPr>
                    <pic:cNvPr id="0" name="00021.jpeg"/>
                    <pic:cNvPicPr/>
                  </pic:nvPicPr>
                  <pic:blipFill>
                    <a:blip r:embed="rId59"/>
                    <a:stretch>
                      <a:fillRect/>
                    </a:stretch>
                  </pic:blipFill>
                  <pic:spPr>
                    <a:xfrm>
                      <a:off x="0" y="0"/>
                      <a:ext cx="5486400" cy="1469372"/>
                    </a:xfrm>
                    <a:prstGeom prst="rect"/>
                  </pic:spPr>
                </pic:pic>
              </a:graphicData>
            </a:graphic>
          </wp:inline>
        </w:drawing>
      </w:r>
    </w:p>
    <w:p>
      <w:pPr>
        <w:spacing w:after="80"/>
      </w:pPr>
      <w:r>
        <w:rPr>
          <w:b w:val="0"/>
          <w:i w:val="0"/>
        </w:rPr>
        <w:t>Những năm sau đó hóa ra lại khá khó khăn đối với Linn. Đầu tiên, SEC đặt câu hỏi về cách tính dòng tiền phân phối được của công ty. Đến năm sau, thị trường năng lượng sụp đổ, khiến hoạt động kinh doanh của Linn rơi vào giai đoạn khó khăn. Nhưng sau nhiều năm trả cổ tức cao một cách thiếu thận trọng (phần lớn được chi trả bằng vay nợ), Linn đối mặt với tình trạng thiếu hụt tiền mặt nghiêm trọng, dẫn đến việc nộp đơn phá sản vào năm 2016. Và với khoản nợ 8,3 tỷ đô la, Linn đạt được "vinh dự" đáng ngờ là vụ phá sản MLP năng lượng lớn nhất.</w:t>
      </w:r>
    </w:p>
    <w:p>
      <w:pPr>
        <w:spacing w:after="80"/>
      </w:pPr>
      <w:r>
        <w:rPr>
          <w:b w:val="0"/>
          <w:i w:val="0"/>
        </w:rPr>
        <w:t xml:space="preserve">Liệu các nhà đầu tư có thể tránh được thua lỗ lớn từ sự sụp đổ của Linn không? Chúng tôi nghĩ là có. Việc chi trả cổ tức khổng lồ trong khi tạo ra dòng tiền tự do </w:t>
      </w:r>
      <w:r>
        <w:rPr>
          <w:b w:val="0"/>
          <w:i/>
        </w:rPr>
        <w:t>âm</w:t>
      </w:r>
      <w:r>
        <w:rPr>
          <w:b w:val="0"/>
          <w:i w:val="0"/>
        </w:rPr>
        <w:t xml:space="preserve"> đơn giản không phải là một chiến lược bền vững—và lẽ ra phải là một dấu hiệu cảnh báo mạnh mẽ. Việc hầu hết cổ đông chỉ chú ý đến một chỉ số thay thế phi GAAP cho dòng tiền tự do mà không bao gồm nhiều chi phí quan trọng nhất của hoạt động kinh doanh đã giải thích tại sao thị trường lại định giá công ty cao đến vậy, trong khi những nhà đầu tư cẩn thận hơn (và hoài nghi hơn) lẽ ra đã nên tránh xa.</w:t>
      </w:r>
    </w:p>
    <w:p>
      <w:pPr>
        <w:pStyle w:val="Heading3"/>
      </w:pPr>
      <w:r>
        <w:rPr>
          <w:rFonts w:ascii="Calibri" w:hAnsi="Calibri"/>
          <w:b/>
          <w:i w:val="0"/>
          <w:sz w:val="26"/>
        </w:rPr>
        <w:t>Nhìn về phía trước</w:t>
      </w:r>
    </w:p>
    <w:p>
      <w:pPr>
        <w:spacing w:after="80"/>
      </w:pPr>
      <w:r>
        <w:rPr>
          <w:b w:val="0"/>
          <w:i w:val="0"/>
        </w:rPr>
        <w:t>Trong Chương 14, chúng ta chuyển từ các chỉ số then chốt đưa ra cái nhìn quá lạc quan về hiệu quả hoạt động của công ty sang những chỉ số đánh lừa nhà đầu tư về sự suy thoái có thể sắp xảy ra trên Bảng cân đối kế toán và sức khỏe kinh tế của công ty.</w:t>
      </w:r>
    </w:p>
    <w:p>
      <w:pPr>
        <w:pStyle w:val="Heading2"/>
      </w:pPr>
      <w:r>
        <w:rPr>
          <w:rFonts w:ascii="Calibri" w:hAnsi="Calibri"/>
          <w:b/>
          <w:i w:val="0"/>
          <w:sz w:val="32"/>
        </w:rPr>
        <w:t>14</w:t>
      </w:r>
    </w:p>
    <w:p>
      <w:pPr>
        <w:pStyle w:val="Heading2"/>
      </w:pPr>
      <w:r>
        <w:rPr>
          <w:rFonts w:ascii="Calibri" w:hAnsi="Calibri"/>
          <w:b/>
          <w:i w:val="0"/>
          <w:sz w:val="32"/>
        </w:rPr>
        <w:t>Thủ thuật Chỉ số Then chốt Số 2: Bóp méo Các Chỉ số Bảng cân đối kế toán để Tránh Phơi bày Sự Suy thoái</w:t>
      </w:r>
    </w:p>
    <w:p>
      <w:pPr>
        <w:spacing w:after="80"/>
      </w:pPr>
      <w:r>
        <w:rPr>
          <w:b w:val="0"/>
          <w:i w:val="0"/>
        </w:rPr>
        <w:t>Ngoài việc viết sách, chúng tôi cũng rất thích đọc sách. Chúng tôi luôn cố gắng ghé vào các hiệu sách thường xuyên nhất có thể, dù đó là một phần của chuỗi khổng lồ như Barnes &amp; Noble hay viên ngọc văn chương của Portland, Oregon—Powell's Books. Một khi đã bước vào một trong những nơi này, thật khó mà không để ý đến vô số sách self-help và sách ăn kiêng. Chúng ở khắp mọi nơi. Không nghi ngờ gì nữa, tất cả chúng ta đều khao khát được trông đẹp hơn, cảm thấy tốt hơn và trở nên giỏi hơn trong công việc, vui chơi và mọi thứ khác. Dạy người ta cảm thấy tốt hơn về cuộc sống của họ và trông thật lộng lẫy chắc chắn là một ngành kinh doanh lớn.</w:t>
      </w:r>
    </w:p>
    <w:p>
      <w:pPr>
        <w:spacing w:after="80"/>
      </w:pPr>
      <w:r>
        <w:rPr>
          <w:b w:val="0"/>
          <w:i w:val="0"/>
        </w:rPr>
        <w:t>Ai mà biết liệu có kế hoạch nào trong số này thực sự làm chúng ta khỏe mạnh hơn hay khiến chúng ta trông đẹp hơn không? Tuy nhiên, chúng tôi biết rằng ban lãnh đạo cấp cao dành rất nhiều thời gian để cố gắng làm cho Bảng cân đối kế toán của họ trông thật tuyệt vời, ngay cả khi chúng đầy rẫy những thứ vô giá trị. Chương này làm nổi bật bốn kỹ thuật mà các công ty đang gặp khó khăn có thể sử dụng để thuyết phục nhà đầu tư rằng công ty không chỉ trông tuyệt vời mà còn có sức khỏe xuất sắc. Hy vọng của chúng tôi là những người này sẽ không hiệu quả trong việc đánh lừa nhà đầu tư như các tác giả sách ăn kiêng thuyết phục độc giả tin vào lời khuyên của họ.</w:t>
      </w:r>
    </w:p>
    <w:p>
      <w:pPr>
        <w:pStyle w:val="Heading3"/>
      </w:pPr>
      <w:r>
        <w:rPr>
          <w:rFonts w:ascii="Calibri" w:hAnsi="Calibri"/>
          <w:b/>
          <w:i w:val="0"/>
          <w:sz w:val="26"/>
        </w:rPr>
        <w:t>Các Kỹ thuật Bóp méo Chỉ số Bảng cân đối kế toán để Tránh Phơi bày Sự Suy thoái</w:t>
      </w:r>
    </w:p>
    <w:p>
      <w:pPr>
        <w:spacing w:after="80"/>
      </w:pPr>
      <w:r>
        <w:rPr>
          <w:b w:val="0"/>
          <w:i w:val="0"/>
        </w:rPr>
        <w:t>1. Bóp méo các chỉ số khoản phải thu để che giấu vấn đề doanh thu</w:t>
      </w:r>
    </w:p>
    <w:p>
      <w:pPr>
        <w:spacing w:after="80"/>
      </w:pPr>
      <w:r>
        <w:rPr>
          <w:b w:val="0"/>
          <w:i w:val="0"/>
        </w:rPr>
        <w:t>2. Bóp méo các chỉ số hàng tồn kho để che giấu vấn đề lợi nhuận</w:t>
      </w:r>
    </w:p>
    <w:p>
      <w:pPr>
        <w:spacing w:after="80"/>
      </w:pPr>
      <w:r>
        <w:rPr>
          <w:b w:val="0"/>
          <w:i w:val="0"/>
        </w:rPr>
        <w:t>3. Bóp méo các chỉ số tài sản tài chính để che giấu vấn đề suy giảm giá trị</w:t>
      </w:r>
    </w:p>
    <w:p>
      <w:pPr>
        <w:spacing w:after="80"/>
      </w:pPr>
      <w:r>
        <w:rPr>
          <w:b w:val="0"/>
          <w:i w:val="0"/>
        </w:rPr>
        <w:t>4. Bóp méo các chỉ số nợ để che giấu vấn đề thanh khoản</w:t>
      </w:r>
    </w:p>
    <w:p>
      <w:pPr>
        <w:pStyle w:val="Heading4"/>
      </w:pPr>
      <w:r>
        <w:rPr>
          <w:rFonts w:ascii="Calibri" w:hAnsi="Calibri"/>
          <w:b/>
          <w:i w:val="0"/>
          <w:sz w:val="23"/>
        </w:rPr>
        <w:t>1. Bóp méo Các Chỉ số Khoản phải thu để Che giấu Vấn đề Doanh thu</w:t>
      </w:r>
    </w:p>
    <w:p>
      <w:pPr>
        <w:spacing w:after="80"/>
      </w:pPr>
      <w:r>
        <w:rPr>
          <w:b w:val="0"/>
          <w:i w:val="0"/>
        </w:rPr>
        <w:t>Các giám đốc điều hành doanh nghiệp hiểu rằng nhiều nhà đầu tư xem xét kỹ lưỡng xu hướng vốn lưu động để tìm dấu hiệu về chất lượng lợi nhuận kém hoặc sự suy thoái hoạt động. Họ nhận ra rằng sự gia tăng đột biến của các khoản phải thu không tương xứng với doanh số sẽ khiến nhà đầu tư đặt câu hỏi về tính bền vững của tăng trưởng doanh thu gần đây. Để ngăn chặn những câu hỏi kiểu này, các công ty có thể tìm cách bóp méo con số khoản phải thu bằng cách (1) bán các khoản phải thu hoặc (2) chuyển đổi chúng thành thương phiếu phải thu (cả hai đều được thảo luận trong phần này) hoặc (3) chuyển chúng đến một nơi khác trên Bảng cân đối kế toán (chúng tôi sẽ đề cập vấn đề này ở phần sau của chương).</w:t>
      </w:r>
    </w:p>
    <w:p>
      <w:pPr>
        <w:pStyle w:val="Heading5"/>
      </w:pPr>
      <w:r>
        <w:rPr>
          <w:rFonts w:ascii="Calibri" w:hAnsi="Calibri"/>
          <w:b/>
          <w:i/>
          <w:sz w:val="22"/>
        </w:rPr>
        <w:t>Bán các khoản phải thu</w:t>
      </w:r>
    </w:p>
    <w:p>
      <w:pPr>
        <w:spacing w:after="80"/>
      </w:pPr>
      <w:r>
        <w:rPr>
          <w:b w:val="0"/>
          <w:i w:val="0"/>
        </w:rPr>
        <w:t>Trong Chương 10, “Thủ thuật dòng tiền số 1: Chuyển dòng tiền vào từ hoạt động tài trợ sang phần hoạt động kinh doanh,” chúng ta đã thảo luận về việc bán các khoản phải thu có thể được coi là một chiến lược quản lý tiền mặt hữu ích, nhưng lại là một động lực tăng trưởng dòng tiền không bền vững trong dài hạn. Bán các khoản phải thu cũng phục vụ một mục đích hữu ích khác: nó làm giảm số ngày thu tiền bình quân (DSO) được báo cáo cho nhà đầu tư (khiến cho có vẻ như khách hàng đã thanh toán nhanh hơn). Ban lãnh đạo không trung thực có thể che giấu sự gia tăng của DSO chỉ đơn giản bằng cách bán nhiều khoản phải thu hơn.</w:t>
      </w:r>
    </w:p>
    <w:p>
      <w:pPr>
        <w:spacing w:after="80"/>
      </w:pPr>
      <w:r>
        <w:rPr>
          <w:b w:val="0"/>
          <w:i w:val="0"/>
        </w:rPr>
        <w:t>Hãy nhớ lại phần thảo luận của chúng ta ở Chương 10 về việc Sanmina-SCI âm thầm bán các khoản phải thu. Sau khi bán các khoản phải thu này, công ty đã nhấn mạnh việc DSO giảm và dòng tiền từ hoạt động kinh doanh tăng trong kết quả quý tháng 9 năm 2005. Những nhà đầu tư tinh ý sẽ hiểu rằng chính việc bán các khoản phải thu, chứ không phải những cải thiện trong hoạt động, đã khiến DSO giảm và CFFO tăng. Những nhà đầu tư như vậy hiểu rằng việc bán các khoản phải thu, về bản chất, đại diện cho một quyết định tài trợ (tức là thu tiền đến hạn từ tài khoản khách hàng sớm hơn). Do đó, số dư các khoản phải thu giờ đây thấp hơn đương nhiên cũng dẫn đến con số DSO nhỏ hơn.</w:t>
      </w:r>
    </w:p>
    <w:p>
      <w:pPr>
        <w:spacing w:after="80"/>
      </w:pPr>
      <w:r>
        <w:rPr>
          <w:b w:val="0"/>
          <w:i w:val="0"/>
        </w:rPr>
        <w:t>MẸO</w:t>
      </w:r>
    </w:p>
    <w:p>
      <w:pPr>
        <w:spacing w:after="80"/>
      </w:pPr>
      <w:r>
        <w:rPr>
          <w:b w:val="0"/>
          <w:i w:val="0"/>
        </w:rPr>
        <w:t xml:space="preserve">Mỗi khi bạn phát hiện CFFO được đẩy lên nhờ việc bán các khoản phải thu, hãy cũng nhận ra rằng theo định nghĩa, </w:t>
      </w:r>
      <w:r>
        <w:rPr>
          <w:b w:val="0"/>
          <w:i/>
        </w:rPr>
        <w:t>DSO của công ty cũng sẽ bị giảm xuống</w:t>
      </w:r>
      <w:r>
        <w:rPr>
          <w:b w:val="0"/>
          <w:i w:val="0"/>
        </w:rPr>
        <w:t>.</w:t>
      </w:r>
    </w:p>
    <w:p>
      <w:pPr>
        <w:spacing w:after="80"/>
      </w:pPr>
      <w:r>
        <w:rPr>
          <w:b w:val="0"/>
          <w:i w:val="0"/>
        </w:rPr>
        <w:t>Cũng hãy nhớ lại cách Peregrine ghi nhận doanh thu giả rồi sau đó trơ trẽn giả mạo việc bán các khoản phải thu giả liên quan để không gây ra bất kỳ báo động nào. Những khoản phải thu đó, rõ ràng, đã không được thu hồi, và ban lãnh đạo bắt đầu lo ngại rằng số dư tài khoản phình to sẽ đẩy DSO tăng lên vô hạn—một cảnh báo rõ ràng cho nhà đầu tư. Bằng cách giả mạo việc bán các khoản phải thu này, Peregrine đã thổi phồng CFFO của mình và xóa bỏ dấu hiệu cảnh báo tiềm tàng về DSO khỏi tầm mắt nhà đầu tư chỉ trong một nước đi.</w:t>
      </w:r>
    </w:p>
    <w:p>
      <w:pPr>
        <w:spacing w:after="80"/>
      </w:pPr>
      <w:r>
        <w:rPr>
          <w:b w:val="0"/>
          <w:i w:val="0"/>
        </w:rPr>
        <w:t>Những ví dụ đầu tiên về việc giảm các khoản phải thu để cải thiện DSO liên quan đến việc hoặc bán chúng thẳng thừng hoặc giả mạo việc bán. Một cách khác để che giấu các khoản phải thu chỉ đơn giản là phân loại lại chúng ở một nơi khác trên Bảng cân đối kế toán.</w:t>
      </w:r>
    </w:p>
    <w:p>
      <w:pPr>
        <w:spacing w:after="80"/>
      </w:pPr>
      <w:r>
        <w:rPr>
          <w:b w:val="0"/>
          <w:i w:val="0"/>
        </w:rPr>
        <w:t>MẸO</w:t>
      </w:r>
    </w:p>
    <w:p>
      <w:pPr>
        <w:spacing w:after="80"/>
      </w:pPr>
      <w:r>
        <w:rPr>
          <w:b w:val="0"/>
          <w:i w:val="0"/>
        </w:rPr>
        <w:t>Để tính DSO trên cơ sở so sánh đồng nhất, chỉ cần cộng lại các khoản phải thu đã bán mà vẫn còn tồn đọng vào cuối quý cho tất cả các kỳ.</w:t>
      </w:r>
    </w:p>
    <w:p>
      <w:pPr>
        <w:pStyle w:val="Heading5"/>
      </w:pPr>
      <w:r>
        <w:rPr>
          <w:rFonts w:ascii="Calibri" w:hAnsi="Calibri"/>
          <w:b/>
          <w:i/>
          <w:sz w:val="22"/>
        </w:rPr>
        <w:t>Chuyển các khoản phải thu thành các khoản thương phiếu phải thu</w:t>
      </w:r>
    </w:p>
    <w:p>
      <w:pPr>
        <w:spacing w:after="80"/>
      </w:pPr>
      <w:r>
        <w:rPr>
          <w:b w:val="0"/>
          <w:i w:val="0"/>
        </w:rPr>
        <w:t>Các khoản phải thu của Symbol Technologies đã tăng trưởng nhanh chóng do việc ghi nhận doanh thu tích cực và nhồi nhét kênh phân phối, vọt lên 119 ngày vào tháng 6 năm 2001 (tăng từ 94 vào tháng 3 năm 2001 và 80 vào tháng 6 năm 2000). Để tránh lo ngại của nhà đầu tư, ban lãnh đạo đã dàn dựng một sự giảm xuống chỉ mang tính hình thức của các khoản phải thu.</w:t>
      </w:r>
    </w:p>
    <w:p>
      <w:pPr>
        <w:spacing w:after="80"/>
      </w:pPr>
      <w:r>
        <w:rPr>
          <w:b w:val="0"/>
          <w:i w:val="0"/>
        </w:rPr>
        <w:t>Theo quan điểm của chúng tôi, đó là một thủ đoạn khá bẩn thỉu. Symbol chỉ đơn giản yêu cầu một số khách hàng thân thiết nhất của mình ký giấy tờ để chuyển các khoản phải thu thương mại này thành thương phiếu cam kết trả nợ hoặc khoản vay. Rõ ràng là các khách hàng đã đồng ý, vì điều đó không tạo ra khác biệt gì với họ; dù sao họ cũng nợ số tiền đó. Tuy nhiên, giấy tờ mới đã cho Symbol một vỏ bọc thuận tiện để chuyển các khoản phải thu này sang phần thương phiếu phải thu trên Bảng cân đối kế toán. Thực chất, Symbol vung một cây gậy thần và, với sự giúp đỡ của một số khách hàng dễ dãi, “phân loại lại” các khoản phải thu thương mại này sang một tài khoản ít được nhà đầu tư theo dõi chặt chẽ hơn. Có vẻ như mục đích chính của Symbol cho việc phân loại lại này là để giảm DSO và lừa nhà đầu tư tin rằng doanh số đã hợp pháp và khách hàng đã thanh toán đúng hạn. Và đúng như kế hoạch, DSO giảm từ 119 ngày vào tháng 6 năm 2001 xuống 90 ngày vào kỳ tiếp theo.</w:t>
      </w:r>
    </w:p>
    <w:p>
      <w:pPr>
        <w:spacing w:after="80"/>
      </w:pPr>
      <w:r>
        <w:rPr>
          <w:b w:val="0"/>
          <w:i w:val="0"/>
        </w:rPr>
        <w:t>MẸO</w:t>
      </w:r>
    </w:p>
    <w:p>
      <w:pPr>
        <w:spacing w:after="80"/>
      </w:pPr>
      <w:r>
        <w:rPr>
          <w:b w:val="0"/>
          <w:i w:val="0"/>
        </w:rPr>
        <w:t xml:space="preserve">Nhà đầu tư nên lo ngại khi thấy </w:t>
      </w:r>
      <w:r>
        <w:rPr>
          <w:b w:val="0"/>
          <w:i/>
        </w:rPr>
        <w:t>DSO giảm mạnh</w:t>
      </w:r>
      <w:r>
        <w:rPr>
          <w:b w:val="0"/>
          <w:i w:val="0"/>
        </w:rPr>
        <w:t xml:space="preserve"> (đặc biệt là sau một giai đoạn DSO tăng nhanh) cũng như khi thấy DSO tăng đáng kể.</w:t>
      </w:r>
    </w:p>
    <w:p>
      <w:pPr>
        <w:spacing w:after="80"/>
      </w:pPr>
      <w:r>
        <w:rPr>
          <w:b/>
          <w:i/>
        </w:rPr>
        <w:t>Hãy để ý đến sự gia tăng của các khoản phải thu khác ngoài các khoản phải thu thương mại</w:t>
      </w:r>
      <w:r>
        <w:rPr>
          <w:b w:val="0"/>
          <w:i w:val="0"/>
        </w:rPr>
        <w:t xml:space="preserve"> UTStarcom đã thực hiện một màn hoán đổi tương tự vào năm 2004 bằng cách nhận nhiều thanh toán hơn dưới dạng “giấy tờ ngân hàng” và “giấy tờ thương mại.” Vì UTStarcom chọn không phân loại các thương phiếu phải thu này là các khoản phải thu thương mại trên Bảng cân đối kế toán (thực tế, giấy tờ ngân hàng được coi là một tập hợp con của tiền mặt!), công ty đã trình bày một DSO dễ chấp nhận hơn cho nhà đầu tư, bất chấp sự suy thoái nghiêm trọng trong hoạt động kinh doanh. Những nhà đầu tư cần mẫn có thể đã phát hiện ra việc phân loại tài khoản không đúng này bằng cách đọc phần chú thích của UTStarcom. Như được trình bày trong ô, công ty đã tiết lộ rõ ràng rằng họ đã chấp nhận một lượng đáng kể giấy tờ ngân hàng và thương mại thay cho các khoản phải thu thương mại.</w:t>
      </w:r>
    </w:p>
    <w:p>
      <w:pPr>
        <w:spacing w:after="80"/>
      </w:pPr>
      <w:r>
        <w:rPr>
          <w:b w:val="0"/>
          <w:i w:val="0"/>
        </w:rPr>
        <w:t>MẪU 10-Q THÁNG 6 NĂM 2004 CỦA UTSTARCOM</w:t>
      </w:r>
    </w:p>
    <w:p>
      <w:pPr>
        <w:spacing w:after="80"/>
      </w:pPr>
      <w:r>
        <w:rPr>
          <w:b/>
          <w:i/>
        </w:rPr>
        <w:t>Từ Chú thích 6 (Tiền mặt, Tương đương Tiền mặt và Đầu tư Ngắn hạn)</w:t>
      </w:r>
    </w:p>
    <w:p>
      <w:pPr>
        <w:spacing w:after="80"/>
      </w:pPr>
      <w:r>
        <w:rPr>
          <w:b w:val="0"/>
          <w:i w:val="0"/>
        </w:rPr>
        <w:t xml:space="preserve">Công ty </w:t>
      </w:r>
      <w:r>
        <w:rPr>
          <w:b w:val="0"/>
          <w:i/>
        </w:rPr>
        <w:t>chấp nhận các giấy tờ có giá ngân hàng (bank notes receivable)</w:t>
      </w:r>
      <w:r>
        <w:rPr>
          <w:b w:val="0"/>
          <w:i w:val="0"/>
        </w:rPr>
        <w:t xml:space="preserve"> với ngày đáo hạn từ ba đến sáu tháng </w:t>
      </w:r>
      <w:r>
        <w:rPr>
          <w:b w:val="0"/>
          <w:i/>
        </w:rPr>
        <w:t>từ khách hàng của mình tại Trung Quốc</w:t>
      </w:r>
      <w:r>
        <w:rPr>
          <w:b w:val="0"/>
          <w:i w:val="0"/>
        </w:rPr>
        <w:t xml:space="preserve"> trong hoạt động kinh doanh thông thường. </w:t>
      </w:r>
      <w:r>
        <w:rPr>
          <w:b w:val="0"/>
          <w:i/>
        </w:rPr>
        <w:t>Giấy tờ có giá ngân hàng ở mức 100,0 triệu đô la và 11,5 triệu đô la tại ngày 30 tháng 6 năm 2004 và ngày 31 tháng 12 năm 2003</w:t>
      </w:r>
      <w:r>
        <w:rPr>
          <w:b w:val="0"/>
          <w:i w:val="0"/>
        </w:rPr>
        <w:t>, tương ứng, và đã được tính vào tiền mặt và tương đương tiền mặt cùng các khoản đầu tư ngắn hạn. [Phần in nghiêng được thêm vào để nhấn mạnh.]</w:t>
      </w:r>
    </w:p>
    <w:p>
      <w:pPr>
        <w:spacing w:after="80"/>
      </w:pPr>
      <w:r>
        <w:rPr>
          <w:b/>
          <w:i/>
        </w:rPr>
        <w:t>Từ Chú thích 8 (Các khoản Phải thu và Giấy tờ có giá)</w:t>
      </w:r>
    </w:p>
    <w:p>
      <w:pPr>
        <w:spacing w:after="80"/>
      </w:pPr>
      <w:r>
        <w:rPr>
          <w:b w:val="0"/>
          <w:i w:val="0"/>
        </w:rPr>
        <w:t xml:space="preserve">Công ty </w:t>
      </w:r>
      <w:r>
        <w:rPr>
          <w:b w:val="0"/>
          <w:i/>
        </w:rPr>
        <w:t>chấp nhận các giấy tờ có giá thương mại (commercial notes receivable)</w:t>
      </w:r>
      <w:r>
        <w:rPr>
          <w:b w:val="0"/>
          <w:i w:val="0"/>
        </w:rPr>
        <w:t xml:space="preserve"> với ngày đáo hạn từ ba đến sáu tháng </w:t>
      </w:r>
      <w:r>
        <w:rPr>
          <w:b w:val="0"/>
          <w:i/>
        </w:rPr>
        <w:t>từ khách hàng của mình tại Trung Quốc</w:t>
      </w:r>
      <w:r>
        <w:rPr>
          <w:b w:val="0"/>
          <w:i w:val="0"/>
        </w:rPr>
        <w:t xml:space="preserve"> trong hoạt động kinh doanh thông thường. Giấy tờ có giá sẵn sàng để bán ở mức </w:t>
      </w:r>
      <w:r>
        <w:rPr>
          <w:b w:val="0"/>
          <w:i/>
        </w:rPr>
        <w:t>42,9 triệu đô la và 11,4 triệu đô la tại ngày 30 tháng 6 năm 2004 và ngày 31 tháng 12 năm 2003,</w:t>
      </w:r>
      <w:r>
        <w:rPr>
          <w:b w:val="0"/>
          <w:i w:val="0"/>
        </w:rPr>
        <w:t xml:space="preserve"> tương ứng. [Phần in nghiêng được thêm vào để nhấn mạnh.]</w:t>
      </w:r>
    </w:p>
    <w:p>
      <w:pPr>
        <w:spacing w:after="80"/>
      </w:pPr>
      <w:r>
        <w:rPr>
          <w:b w:val="0"/>
          <w:i w:val="0"/>
        </w:rPr>
        <w:t>Các nhà đầu tư nhận thêm một lời cảnh báo nữa trên Bảng cân đối kế toán của UTStarcom: giấy tờ có giá phải thu tăng vọt, từ 11 triệu đô la vào tháng 12 năm 2003 lên 43 triệu đô la vào quý tiếp theo. Đến lúc này, hẳn đã quá rõ ràng rằng việc xác định nguyên nhân của sự thay đổi như vậy là cực kỳ quan trọng. Nếu ban lãnh đạo không thể đưa ra cho bạn một lý do hợp lý, hãy giả định rằng công ty có thể đang chơi một trò chơi với các khoản phải thu và cố gắng che giấu chỉ số DSO (Days' Sales Outstanding - Số ngày thu tiền bình quân) vốn đang phình to.</w:t>
      </w:r>
    </w:p>
    <w:p>
      <w:pPr>
        <w:spacing w:after="80"/>
      </w:pPr>
      <w:r>
        <w:rPr>
          <w:b/>
          <w:i/>
        </w:rPr>
        <w:t>Coi chừng Cách Tính DSO Khác Nhau Giữa Các Công ty</w:t>
      </w:r>
      <w:r>
        <w:rPr>
          <w:b w:val="0"/>
          <w:i w:val="0"/>
        </w:rPr>
        <w:t xml:space="preserve"> Nhằm mục đích nhận diện các thủ thuật ghi nhận doanh thu tấn công (aggressive revenue recognition), chúng tôi đề xuất rằng nhà đầu tư nên sử dụng số dư phải thu cuối kỳ (chứ không phải số dư bình quân) khi tính DSO. Dùng số dư phải thu bình quân thì hiệu quả cho việc đánh giá xu hướng quản lý tiền mặt, nhưng lại kém hiệu quả hơn khi cố gắng phát hiện các thủ thuật tài chính (financial shenanigans). Số dư cuối kỳ mang tính đại diện hơn cho các giao dịch doanh thu diễn ra vào giai đoạn sau của kỳ, vốn liên quan nhiều hơn đến việc đánh giá chất lượng doanh thu.</w:t>
      </w:r>
    </w:p>
    <w:p>
      <w:pPr>
        <w:spacing w:after="80"/>
      </w:pPr>
      <w:r>
        <w:rPr>
          <w:b w:val="0"/>
          <w:i w:val="0"/>
        </w:rPr>
        <w:t>Hộp Kiến thức Kế toán: Số ngày thu tiền bình quân (Days' Sales Outstanding)</w:t>
      </w:r>
    </w:p>
    <w:p>
      <w:pPr>
        <w:spacing w:after="80"/>
      </w:pPr>
      <w:r>
        <w:rPr>
          <w:b w:val="0"/>
          <w:i w:val="0"/>
        </w:rPr>
        <w:t>Số ngày thu tiền bình quân thường được tính như sau:</w:t>
      </w:r>
    </w:p>
    <w:p>
      <w:pPr>
        <w:spacing w:after="80"/>
      </w:pPr>
      <w:r>
        <w:rPr>
          <w:b w:val="0"/>
          <w:i w:val="0"/>
        </w:rPr>
        <w:t>Phải thu cuối kỳ/doanh thu × số ngày trong kỳ (đối với kỳ theo quý, 91,25 ngày là một con số xấp xỉ thông thường)</w:t>
      </w:r>
    </w:p>
    <w:p>
      <w:pPr>
        <w:spacing w:after="80"/>
      </w:pPr>
      <w:r>
        <w:rPr>
          <w:b w:val="0"/>
          <w:i w:val="0"/>
        </w:rPr>
        <w:t>Trong khi chúng tôi đề xuất dùng cách tính này cho DSO, bạn có thể sẽ gặp những cách tính khác được các công ty hoặc sách vở đề xuất. Ví dụ, một số người cho rằng DSO nên được tính bằng số dư phải thu bình quân trong kỳ, thay vì số dư phải thu cuối kỳ như chúng tôi đề xuất.</w:t>
      </w:r>
    </w:p>
    <w:p>
      <w:pPr>
        <w:spacing w:after="80"/>
      </w:pPr>
      <w:r>
        <w:rPr>
          <w:b w:val="0"/>
          <w:i w:val="0"/>
        </w:rPr>
        <w:t>Vì DSO không phải là một chỉ số theo GAAP (Nguyên tắc Kế toán được Chấp nhận Chung), nên không có định nghĩa tuyệt đối cho nó. Tuy nhiên, điều quan trọng là cách tính phải phản ánh được phân tích mà bạn đang cố gắng thực hiện. Ví dụ, nếu bạn đang đánh giá khả năng một công ty đã đẩy nhanh doanh thu bằng cách ghi nhận một lượng lớn doanh thu vào ngày cuối cùng của quý (tức là nhồi hàng vào kênh phân phối - stuffing the channel), thì việc tính DSO bằng số dư phải thu cuối kỳ thay vì số dư bình quân là hợp lý. Tương tự, nếu bạn lo ngại về khả năng thu hồi các khoản phải thu và đang đánh giá mức độ rủi ro của một công ty, thì tốt nhất nên dùng số dư cuối kỳ. Tuy nhiên, nếu bạn muốn tính khoảng thời gian bình quân mà một công ty thu hồi các khoản phải thu của mình, bạn có thể muốn dùng số dư phải thu bình quân.</w:t>
      </w:r>
    </w:p>
    <w:p>
      <w:pPr>
        <w:spacing w:after="80"/>
      </w:pPr>
      <w:r>
        <w:rPr>
          <w:b w:val="0"/>
          <w:i w:val="0"/>
        </w:rPr>
        <w:t>Điểm mấu chốt là, nhằm mục đích phát hiện các thủ thuật tài chính, chúng tôi khuyên bạn nên tính DSO bằng số dư cuối kỳ, kể cả khi công ty có nói với bạn điều ngược lại.</w:t>
      </w:r>
    </w:p>
    <w:p>
      <w:pPr>
        <w:spacing w:after="80"/>
      </w:pPr>
      <w:r>
        <w:rPr>
          <w:b/>
          <w:i/>
        </w:rPr>
        <w:t>Coi chừng Những Thay đổi trong Cách Tính DSO của Công ty</w:t>
      </w:r>
      <w:r>
        <w:rPr>
          <w:b w:val="0"/>
          <w:i w:val="0"/>
        </w:rPr>
        <w:t xml:space="preserve"> Hãy đặc biệt cảnh giác nếu một công ty </w:t>
      </w:r>
      <w:r>
        <w:rPr>
          <w:b w:val="0"/>
          <w:i/>
        </w:rPr>
        <w:t>thay đổi cách tính DSO của chính mình</w:t>
      </w:r>
      <w:r>
        <w:rPr>
          <w:b w:val="0"/>
          <w:i w:val="0"/>
        </w:rPr>
        <w:t xml:space="preserve"> theo hướng che giấu sự suy thoái, như Tellabs Inc. dường như đã cố gắng làm vào tháng 12 năm 2006. Tellabs trước đó tính DSO dựa trên số dư phải thu cuối kỳ, nhưng sau đó chuyển sang dùng số dư phải thu bình quân theo quý. Vì các khoản phải thu tăng vọt trong quý mà sự thay đổi được thực hiện, nên số dư phải thu bình quân đương nhiên thấp hơn nhiều so với số dư cuối kỳ, cho phép trình bày DSO theo hướng có lợi hơn trong cuộc gọi hội nghị về kết quả kinh doanh với nhà đầu tư. Kết quả là, Tellabs công bố rằng DSO trong tháng 12 năm 2006 chỉ tăng 5 ngày so với quý trước (lên 59 ngày từ 54 ngày của quý trước đó). Nếu ban lãnh đạo không thay đổi cách tính, Tellabs hẳn đã báo cáo mức tăng DSO là 16 ngày (lên 82 ngày từ 66 ngày của quý trước đó). Sự thay đổi trong cách tính DSO đã được đề cập trong chính cuộc gọi hội nghị đó. Trong trường hợp này, việc nhận ra sự thay đổi trong cách tính là phần dễ; biết rằng đó là chuyện lớn mới là điều then chốt để nhà đầu tư tinh ý nhận ra rằng ban lãnh đạo đang chơi trò chơi và cố gắng che giấu các khoản phải thu đang phình to.</w:t>
      </w:r>
    </w:p>
    <w:p>
      <w:pPr>
        <w:spacing w:after="80"/>
      </w:pPr>
      <w:r>
        <w:rPr>
          <w:b w:val="0"/>
          <w:i w:val="0"/>
        </w:rPr>
        <w:t>MẸO</w:t>
      </w:r>
    </w:p>
    <w:p>
      <w:pPr>
        <w:spacing w:after="80"/>
      </w:pPr>
      <w:r>
        <w:rPr>
          <w:b w:val="0"/>
          <w:i w:val="0"/>
        </w:rPr>
        <w:t>Nhà đầu tư nhạy bén nên chú ý đến sự thay đổi trong cách tính DSO; khi ban lãnh đạo thay đổi cách tính các chỉ số vận hành, họ thường đang cố gắng che giấu một sự suy thoái nào đó khỏi nhà đầu tư.</w:t>
      </w:r>
    </w:p>
    <w:p>
      <w:pPr>
        <w:pStyle w:val="Heading4"/>
      </w:pPr>
      <w:r>
        <w:rPr>
          <w:rFonts w:ascii="Calibri" w:hAnsi="Calibri"/>
          <w:b/>
          <w:i w:val="0"/>
          <w:sz w:val="23"/>
        </w:rPr>
        <w:t>2. Bóp méo Các Chỉ số Hàng tồn kho để Che giấu Vấn đề Lợi nhuận</w:t>
      </w:r>
    </w:p>
    <w:p>
      <w:pPr>
        <w:spacing w:after="80"/>
      </w:pPr>
      <w:r>
        <w:rPr>
          <w:b w:val="0"/>
          <w:i w:val="0"/>
        </w:rPr>
        <w:t>Các nhà đầu tư thường coi việc tồn kho tăng bất ngờ là dấu hiệu của áp lực biên lợi nhuận sắp tới (thông qua việc giảm giá hoặc xóa sổ) hoặc nhu cầu sản phẩm đang giảm. Một số công ty gặp vấn đề về tồn kho tìm cách tránh nhận thức tiêu cực này bằng cách loay hoay với các chỉ số tồn kho.</w:t>
      </w:r>
    </w:p>
    <w:p>
      <w:pPr>
        <w:pStyle w:val="Heading5"/>
      </w:pPr>
      <w:r>
        <w:rPr>
          <w:rFonts w:ascii="Calibri" w:hAnsi="Calibri"/>
          <w:b/>
          <w:i/>
          <w:sz w:val="22"/>
        </w:rPr>
        <w:t>Che đậy một vụ che đậy</w:t>
      </w:r>
    </w:p>
    <w:p>
      <w:pPr>
        <w:spacing w:after="80"/>
      </w:pPr>
      <w:r>
        <w:rPr>
          <w:b w:val="0"/>
          <w:i w:val="0"/>
        </w:rPr>
        <w:t>Bạn có thể nhớ lại từ Chương 4 rằng Symbol Technologies đã khai khống doanh số bằng cách cho khách hàng quyền trả hàng cực kỳ rộng rãi. Hơn nữa, một số giao dịch bán hàng hóa ra hoàn toàn là giả vì khách hàng đã gửi trả lại những sản phẩm mà họ chưa từng muốn, và dựa trên một thỏa thuận phụ với Symbol, họ có thể trả lại bất cứ lúc nào và không phải trả gì cả. Những khoản trả hàng này không còn là chuyện phiền toái nhỏ, vì chúng làm tăng mức tồn kho của Symbol, một dấu hiệu cảnh báo tiềm tàng cho các nhà đầu tư. Vậy nên, như một vụ che đậy thường dẫn đến một vụ khác, Symbol đã tạo ra một "kế hoạch giảm tồn kho" nhằm giảm mức tồn kho. Kế hoạch này (theo mô tả của Ủy ban Chứng khoán và Giao dịch Hoa Kỳ) bao gồm việc ghi các bút toán kế toán hư cấu để giảm tồn kho, để hàng giao đến nằm trên bến bốc dỡ mà không ghi nhận là tồn kho, và bán tồn kho cho một bên thứ ba nhưng đồng ý mua lại nó.</w:t>
      </w:r>
    </w:p>
    <w:p>
      <w:pPr>
        <w:spacing w:after="80"/>
      </w:pPr>
      <w:r>
        <w:rPr>
          <w:b/>
          <w:i/>
        </w:rPr>
        <w:t>Cảnh giác với tồn kho chuyển sang phần khác của bảng cân đối kế toán</w:t>
      </w:r>
      <w:r>
        <w:rPr>
          <w:b w:val="0"/>
          <w:i w:val="0"/>
        </w:rPr>
        <w:t xml:space="preserve"> Các công ty đôi khi sẽ phân loại lại tồn kho sang một tài khoản khác trên Bảng cân đối kế toán. Chẳng hạn, gã khổng lồ dược phẩm Merck &amp; Co. vào năm 2003 bắt đầu báo cáo một phần tồn kho của mình như một tài sản dài hạn, nằm trong dòng "tài sản khác" trên Bảng cân đối kế toán. Một chú thích tiết lộ rằng những khoản tồn kho được phân loại kỳ lạ này liên quan đến các sản phẩm không được kỳ vọng sẽ bán được trong vòng một năm. Vào tháng 12 năm 2003, phần dài hạn trong tồn kho của Merck chiếm 13 phần trăm tổng số, và năm sau đó, nó nhảy vọt lên 25 phần trăm. Các nhà đầu tư chắc chắn nên bao gồm cả những con số tồn kho dài hạn này khi phân tích xu hướng tồn kho của Merck. Một sự tăng vọt đột ngột trong tồn kho dài hạn là điều đáng lo ngại cho các nhà đầu tư.</w:t>
      </w:r>
    </w:p>
    <w:p>
      <w:pPr>
        <w:spacing w:after="80"/>
      </w:pPr>
      <w:r>
        <w:rPr>
          <w:b/>
          <w:i/>
        </w:rPr>
        <w:t>Hãy thận trọng với các chỉ số mới do công ty tự tạo ra</w:t>
      </w:r>
      <w:r>
        <w:rPr>
          <w:b w:val="0"/>
          <w:i w:val="0"/>
        </w:rPr>
        <w:t xml:space="preserve"> Số dư tồn kho tại nhà bán lẻ trong trung tâm thương mại Tween Brands Inc. đã phình to vào cuối năm 2006 và đầu năm 2007, và ban lãnh đạo đã đúng khi cho rằng các nhà đầu tư sẽ không mấy vui vẻ. Cụ thể, số ngày bán hàng tồn kho (days' sales of inventory) đã nhảy lên 60 ngày trong quý tháng 5 năm 2007 từ mức 52 ngày của năm trước, đánh dấu quý thứ ba liên tiếp tăng. Hơn nữa, tồn kho trên mỗi foot vuông (một chỉ số phi GAAP thường được Tween nhắc đến) đã tăng 18 phần trăm.</w:t>
      </w:r>
    </w:p>
    <w:p>
      <w:pPr>
        <w:spacing w:after="80"/>
      </w:pPr>
      <w:r>
        <w:rPr>
          <w:b w:val="0"/>
          <w:i w:val="0"/>
        </w:rPr>
        <w:t>Để chuyển hướng những lo ngại tiềm tàng của nhà đầu tư về tồn kho, ban lãnh đạo bắt đầu nhấn mạnh một chỉ số mới: tồn kho "trong cửa hàng" (in-store) trên mỗi foot vuông. Vào tháng 5 năm 2007, ban lãnh đạo Tween tuyên bố rằng sự tăng vọt của tồn kho không đáng lo vì tồn kho "trong cửa hàng" chỉ tăng khiêm tốn 8 phần trăm (27 đô la mỗi foot vuông so với 25 đô la năm ngoái). Bất chấp sự vô lý của chỉ số mới này, giới đầu cơ lạc quan trên Phố Wall vẫn hài lòng; tất cả những gì họ cần là một lời giải thích, dù yếu ớt đến đâu.</w:t>
      </w:r>
    </w:p>
    <w:p>
      <w:pPr>
        <w:spacing w:after="80"/>
      </w:pPr>
      <w:r>
        <w:rPr>
          <w:b w:val="0"/>
          <w:i w:val="0"/>
        </w:rPr>
        <w:t xml:space="preserve">Lời giải thích của Tween lẽ ra phải khiến các nhà đầu tư sắc sảo dừng lại suy nghĩ vì hai lý do. Thứ nhất, sẽ hoàn toàn không thích hợp nếu Tween đơn giản bỏ qua phần tồn kho mà công ty sở hữu và đã đưa vào Bảng cân đối kế toán nhưng không nằm trên kệ cửa hàng. Tồn kho "ngoài cửa hàng" (out-of-store) vẫn được tính là tồn kho và có rủi ro giảm giá không kém gì tồn kho "trong cửa hàng". Thứ hai, và còn đáng lo hơn nữa, Tween đã lừa các nhà đầu tư bằng cách đưa ra một so sánh "khập khiễng" về mức tăng tồn kho của mình. Cụ thể, con số 25 đô la mà ban lãnh đạo dẫn ra như mức tồn kho </w:t>
      </w:r>
      <w:r>
        <w:rPr>
          <w:b w:val="0"/>
          <w:i/>
        </w:rPr>
        <w:t>trong cửa hàng</w:t>
      </w:r>
      <w:r>
        <w:rPr>
          <w:b w:val="0"/>
          <w:i w:val="0"/>
        </w:rPr>
        <w:t xml:space="preserve"> trên mỗi foot vuông của năm trước thực ra phản ánh tồn kho </w:t>
      </w:r>
      <w:r>
        <w:rPr>
          <w:b w:val="0"/>
          <w:i/>
        </w:rPr>
        <w:t>tổng cộng</w:t>
      </w:r>
      <w:r>
        <w:rPr>
          <w:b w:val="0"/>
          <w:i w:val="0"/>
        </w:rPr>
        <w:t xml:space="preserve"> trên mỗi foot vuông. Theo định nghĩa, việc so sánh con số trong cửa hàng của năm nay với con số tổng cộng của năm trước sẽ làm giảm nhẹ mức tăng tồn kho; tất nhiên, nó chỉ tăng 8 phần trăm! Vì chỉ số trong cửa hàng là mới, con số của năm trước chưa từng được công bố trước đây, khiến các nhà đầu tư khó nhận ra sự mâu thuẫn. Tuy nhiên, những nhà đầu tư siêng năng lẽ ra phải </w:t>
      </w:r>
      <w:r>
        <w:rPr>
          <w:b w:val="0"/>
          <w:i/>
        </w:rPr>
        <w:t>đủ hoài nghi về việc tạo ra một chỉ số tồn kho mới</w:t>
      </w:r>
      <w:r>
        <w:rPr>
          <w:b w:val="0"/>
          <w:i w:val="0"/>
        </w:rPr>
        <w:t xml:space="preserve"> vào đúng thời điểm tồn kho đang tăng, và họ lẽ ra phải đặt câu hỏi về tính hữu ích của nó như một thước đo sức khỏe của công ty.</w:t>
      </w:r>
    </w:p>
    <w:p>
      <w:pPr>
        <w:pStyle w:val="Heading4"/>
      </w:pPr>
      <w:r>
        <w:rPr>
          <w:rFonts w:ascii="Calibri" w:hAnsi="Calibri"/>
          <w:b/>
          <w:i w:val="0"/>
          <w:sz w:val="23"/>
        </w:rPr>
        <w:t>3. Bóp méo các chỉ số tài sản tài chính để che giấu vấn đề suy giảm giá trị</w:t>
      </w:r>
    </w:p>
    <w:p>
      <w:pPr>
        <w:spacing w:after="80"/>
      </w:pPr>
      <w:r>
        <w:rPr>
          <w:b w:val="0"/>
          <w:i w:val="0"/>
        </w:rPr>
        <w:t>Tài sản tài chính (như các khoản cho vay, khoản đầu tư và chứng khoán) là những nguồn thu nhập quan trọng đối với các ngân hàng và tổ chức tài chính khác. Do đó, việc đánh giá "chất lượng" hay sức mạnh của những tài sản này nên là một phần then chốt để hiểu được hiệu quả hoạt động trong tương lai của những công ty như vậy. Chẳng hạn, điều cực kỳ quan trọng đối với các nhà đầu tư là hiểu liệu danh mục đầu tư của một ngân hàng có bao gồm những chứng khoán rủi ro, kém thanh khoản hay không, và biết liệu danh mục cho vay của ngân hàng đó có nghiêng về những người vay dưới chuẩn (subprime) mạo hiểm hay không.</w:t>
      </w:r>
    </w:p>
    <w:p>
      <w:pPr>
        <w:spacing w:after="80"/>
      </w:pPr>
      <w:r>
        <w:rPr>
          <w:b w:val="0"/>
          <w:i w:val="0"/>
        </w:rPr>
        <w:t>Hãy xem xét hai ngân hàng giống hệt nhau về mọi mặt, ngoại trừ cấu trúc danh mục cho vay của họ. Danh mục cho vay của một ngân hàng hoàn toàn gồm các khoản cho vay đối với người vay dưới chuẩn, trong đó 20 phần trăm đã không thanh toán hóa đơn đúng hạn. Danh mục cho vay của ngân hàng kia chủ yếu gồm các khoản cho vay đối với người vay hạng ưu (prime), chỉ 2 phần trăm trong đó không thanh toán đúng hạn. Không cần là chuyên gia ngân hàng cũng nhận ra rằng hiệu quả hoạt động của ngân hàng thứ hai sẽ ổn định hơn và ngân hàng thứ nhất sẽ biến động hơn.</w:t>
      </w:r>
    </w:p>
    <w:p>
      <w:pPr>
        <w:spacing w:after="80"/>
      </w:pPr>
      <w:r>
        <w:rPr>
          <w:b w:val="0"/>
          <w:i w:val="0"/>
        </w:rPr>
        <w:t>Các tổ chức tài chính thường sẽ trình bày những chỉ số cực kỳ hữu ích cho phép nhà đầu tư hiểu được sức mạnh và hiệu quả hoạt động của tài sản của họ. Chẳng hạn, một ngân hàng có thể báo cáo tỷ lệ nợ quá hạn (delinquency rates), các khoản vay không sinh lời (nonperforming loans) và mức dự phòng tổn thất cho vay (loan loss reserve). Tuy nhiên, đôi khi ban lãnh đạo tô điểm hoặc che giấu những chỉ số quan trọng lẽ ra cho thấy sự suy giảm để thể hiện mình dưới ánh sáng thuận lợi hơn.</w:t>
      </w:r>
    </w:p>
    <w:p>
      <w:pPr>
        <w:pStyle w:val="Heading5"/>
      </w:pPr>
      <w:r>
        <w:rPr>
          <w:rFonts w:ascii="Calibri" w:hAnsi="Calibri"/>
          <w:b/>
          <w:i/>
          <w:sz w:val="22"/>
        </w:rPr>
        <w:t>Cảnh giác với những thay đổi trong cách trình bày báo cáo tài chính</w:t>
      </w:r>
    </w:p>
    <w:p>
      <w:pPr>
        <w:spacing w:after="80"/>
      </w:pPr>
      <w:r>
        <w:rPr>
          <w:b w:val="0"/>
          <w:i w:val="0"/>
        </w:rPr>
        <w:t xml:space="preserve">Hãy xem xét trường hợp của New Century Financial Corp., từng là công ty cho vay phi hạng ưu (nonprime) độc lập lớn nhất nước Mỹ, mà hoạt động cho vay thế chấp rủi ro của nó đã dẫn đến phá sản vào tháng 4 năm 2007. New Century đã giữ cho lợi nhuận của mình không chìm vào tháng 9 năm 2006 bằng cách </w:t>
      </w:r>
      <w:r>
        <w:rPr>
          <w:b w:val="0"/>
          <w:i/>
        </w:rPr>
        <w:t>giảm</w:t>
      </w:r>
      <w:r>
        <w:rPr>
          <w:b w:val="0"/>
          <w:i w:val="0"/>
        </w:rPr>
        <w:t xml:space="preserve"> dự phòng tổn thất cho vay, thay vì tăng nó, bất chấp việc đối mặt với tỷ lệ nợ quá hạn và nợ xấu cao hơn. Tuy nhiên, khi công bố kết quả kinh doanh tháng 9 năm 2006, công ty đã không hoàn toàn trung thực với các nhà đầu tư về mức dự phòng của mình. Hầu hết các nhà đầu tư đọc Báo cáo Kết quả Kinh doanh (Earnings Release) đều hiểu rằng New Century đã tăng dự phòng tổn thất cho vay.</w:t>
      </w:r>
    </w:p>
    <w:p>
      <w:pPr>
        <w:spacing w:after="80"/>
      </w:pPr>
      <w:r>
        <w:rPr>
          <w:b w:val="0"/>
          <w:i w:val="0"/>
        </w:rPr>
        <w:t>Đây là lý do. New Century nhận ra rằng các nhà đầu tư sẽ cực kỳ hoảng sợ nếu họ biết rằng công ty đã giảm dự phòng trong khi danh mục cho vay dưới chuẩn của mình đang xấu đi, và rằng việc giảm này là động lực chính của lợi nhuận. Thật vậy, các nhà phân tích theo dõi New Century đang giám sát chặt chẽ khoản dự phòng tổn thất cho vay của công ty khi thị trường dưới chuẩn bắt đầu rạn nứt. Vậy nên khi công ty công bố kết quả tháng 9 năm 2006, ban lãnh đạo đã âm thầm thay đổi cách trình bày dự phòng của mình.</w:t>
      </w:r>
    </w:p>
    <w:p>
      <w:pPr>
        <w:spacing w:after="80"/>
      </w:pPr>
      <w:r>
        <w:rPr>
          <w:b w:val="0"/>
          <w:i w:val="0"/>
        </w:rPr>
        <w:t xml:space="preserve">Trước đây, Báo cáo Kết quả Kinh doanh của New Century trình bày dự phòng tổn thất cho vay một cách riêng lẻ. Tuy nhiên, vào tháng 9 năm 2006, công ty đã gộp dự phòng tổn thất cho vay với một khoản dự phòng khác (dự phòng cho bất động sản sở hữu - allowance for real estate owned) và trình bày cả hai cùng nhau như một đơn vị (xem phần công bố kèm theo trong khung). Bằng cách kết hợp hai khoản dự phòng, New Century có thể nói trong báo cáo của mình rằng dự phòng đã tăng từ 236,5 triệu đô la vào tháng 6 lên 239,4 triệu đô la vào tháng 9. Tuy nhiên, con số mà các nhà đầu tư trước đây vẫn tập trung vào—dự phòng tổn thất cho vay—đã giảm từ 209,9 triệu đô la xuống 191,6 triệu đô la. Dự phòng tổn thất cho vay giảm vì các khoản nợ xấu đã bị xóa sổ (gọi là </w:t>
      </w:r>
      <w:r>
        <w:rPr>
          <w:b w:val="0"/>
          <w:i/>
        </w:rPr>
        <w:t>charge-offs</w:t>
      </w:r>
      <w:r>
        <w:rPr>
          <w:b w:val="0"/>
          <w:i w:val="0"/>
        </w:rPr>
        <w:t>) đã tăng tốc và New Century đã không ghi nhận đủ chi phí để bù đắp lại dự phòng; nếu công ty đã làm vậy, EPS trong tháng 9 năm 2006 sẽ bị cắt giảm xuống còn 0,47 đô la từ mức 1,12 đô la như đã báo cáo.</w:t>
      </w:r>
    </w:p>
    <w:p>
      <w:pPr>
        <w:spacing w:after="80"/>
      </w:pPr>
      <w:r>
        <w:rPr>
          <w:b w:val="0"/>
          <w:i w:val="0"/>
        </w:rPr>
        <w:t>Chỉ bằng cách thay đổi cách trình bày một chỉ số then chốt, New Century đã có thể tránh phát tín hiệu rằng chất lượng tài sản đã suy giảm, đồng thời báo cáo lợi nhuận cao hơn. Màn kịch này có lẽ đã mua cho công ty thêm chút thời gian trước khi phá sản vài tháng sau đó. Những nhà đầu tư sắc sảo, những người không chỉ theo dõi mức dự phòng tổn thất cho vay mà còn cả cách trình bày, lẽ ra đã có một cảnh báo về sự diệt vong của công ty. Những nhà đầu tư bỏ lỡ thay đổi trong cách trình bày ở Báo cáo Kết quả Kinh doanh của New Century, nhưng đọc bản 10-Q công bố vài ngày sau đó, cũng sẽ thấy dự phòng tổn thất cho vay được tách riêng ra và cũng có cảnh báo thỏa đáng.</w:t>
      </w:r>
    </w:p>
    <w:p>
      <w:pPr>
        <w:spacing w:after="80"/>
      </w:pPr>
      <w:r>
        <w:rPr>
          <w:b w:val="0"/>
          <w:i w:val="0"/>
        </w:rPr>
        <w:t>CÔNG BỐ DỰ PHÒNG TỔN THẤT CHO VAY CỦA NEW CENTURY</w:t>
      </w:r>
    </w:p>
    <w:p>
      <w:pPr>
        <w:spacing w:after="80"/>
      </w:pPr>
      <w:r>
        <w:rPr>
          <w:b/>
          <w:i/>
        </w:rPr>
        <w:t>Báo cáo thu nhập tháng 6 năm 2006</w:t>
      </w:r>
    </w:p>
    <w:p>
      <w:pPr>
        <w:spacing w:after="80"/>
      </w:pPr>
      <w:r>
        <w:rPr>
          <w:b w:val="0"/>
          <w:i w:val="0"/>
        </w:rPr>
        <w:t xml:space="preserve">Tại ngày 30 tháng 6 năm 2006, số dư danh mục cho vay thế chấp là 16,0 tỷ đô la. </w:t>
      </w:r>
      <w:r>
        <w:rPr>
          <w:b w:val="0"/>
          <w:i/>
        </w:rPr>
        <w:t>Dự phòng tổn thất cho các khoản vay giữ để đầu tư</w:t>
      </w:r>
      <w:r>
        <w:rPr>
          <w:b w:val="0"/>
          <w:i w:val="0"/>
        </w:rPr>
        <w:t xml:space="preserve"> là 209,9 triệu đô la, tương đương 1,31 phần trăm dư nợ gốc chưa thanh toán của danh mục. Con số này so với 0,79 phần trăm dư nợ gốc chưa thanh toán của danh mục tại ngày 30 tháng 6 năm 2005 và 1,30 phần trăm của danh mục tại ngày 31 tháng 3 năm 2006. [Phần in nghiêng được thêm vào để nhấn mạnh.] Báo cáo thu nhập tháng 9 năm 2006</w:t>
      </w:r>
    </w:p>
    <w:p>
      <w:pPr>
        <w:spacing w:after="80"/>
      </w:pPr>
      <w:r>
        <w:rPr>
          <w:b w:val="0"/>
          <w:i w:val="0"/>
        </w:rPr>
        <w:t xml:space="preserve">Tại ngày 30 tháng 9 năm 2006, </w:t>
      </w:r>
      <w:r>
        <w:rPr>
          <w:b w:val="0"/>
          <w:i/>
        </w:rPr>
        <w:t>dự phòng tổn thất cho các khoản vay thế chấp giữ để đầu tư và bất động sản sở hữu</w:t>
      </w:r>
      <w:r>
        <w:rPr>
          <w:b w:val="0"/>
          <w:i w:val="0"/>
        </w:rPr>
        <w:t xml:space="preserve"> là 239,4 triệu đô la so với 236,5 triệu đô la tại ngày 30 tháng 6 năm 2006. Những con số này lần lượt tương đương 1,68 phần trăm và 1,47 phần trăm dư nợ gốc chưa thanh toán của danh mục cho vay thế chấp. [Phần in nghiêng được thêm vào để nhấn mạnh.]</w:t>
      </w:r>
    </w:p>
    <w:p>
      <w:pPr>
        <w:spacing w:after="80"/>
      </w:pPr>
      <w:r>
        <w:rPr>
          <w:b w:val="0"/>
          <w:i w:val="0"/>
        </w:rPr>
        <w:t>Các giám đốc điều hành của New Century cuối cùng đã gặp rắc rối vì những chiêu trò của họ. Năm 2009, SEC đã buộc tội cựu CEO, CFO và Controller của New Century về tội gian lận chứng khoán vì đã đánh lừa nhà đầu tư, cáo buộc rằng công ty đã tìm cách trấn an nhà đầu tư rằng hoạt động kinh doanh của mình không gặp rủi ro và đang hoạt động tốt hơn các đối thủ cùng ngành.</w:t>
      </w:r>
    </w:p>
    <w:p>
      <w:pPr>
        <w:pStyle w:val="Heading4"/>
      </w:pPr>
      <w:r>
        <w:rPr>
          <w:rFonts w:ascii="Calibri" w:hAnsi="Calibri"/>
          <w:b/>
          <w:i w:val="0"/>
          <w:sz w:val="23"/>
        </w:rPr>
        <w:t>4. Bóp méo các chỉ số nợ để che giấu vấn đề thanh khoản</w:t>
      </w:r>
    </w:p>
    <w:p>
      <w:pPr>
        <w:spacing w:after="80"/>
      </w:pPr>
      <w:r>
        <w:rPr>
          <w:b w:val="0"/>
          <w:i w:val="0"/>
        </w:rPr>
        <w:t>Các nghĩa vụ tiền mặt của một công ty, chẳng hạn như các khoản thanh toán nợ, cũng có thể tác động đến kết quả hoạt động kinh doanh trong tương lai. Những nghĩa vụ nợ lớn trong ngắn hạn có thể khiến một công ty không thể tài trợ cho các sáng kiến tăng trưởng mong muốn của mình hoặc, trong trường hợp xấu nhất, đẩy công ty lao dốc đến bờ vực phá sản.</w:t>
      </w:r>
    </w:p>
    <w:p>
      <w:pPr>
        <w:pStyle w:val="Heading5"/>
      </w:pPr>
      <w:r>
        <w:rPr>
          <w:rFonts w:ascii="Calibri" w:hAnsi="Calibri"/>
          <w:b/>
          <w:i/>
          <w:sz w:val="22"/>
        </w:rPr>
        <w:t>Enron của châu Âu</w:t>
      </w:r>
    </w:p>
    <w:p>
      <w:pPr>
        <w:spacing w:after="80"/>
      </w:pPr>
      <w:r>
        <w:rPr>
          <w:b w:val="0"/>
          <w:i w:val="0"/>
        </w:rPr>
        <w:t>Parmalat Finanziaria SpA, nhà sản xuất sữa có trụ sở tại Ý và là một trong những công ty thực phẩm đóng gói lớn nhất thế giới, đã phát triển hoạt động kinh doanh nhanh chóng trong thập niên 1990 bằng cách thâu tóm một cách quyết liệt các công ty dịch vụ thực phẩm trên khắp thế giới. Parmalat phụ thuộc rất nhiều vào thị trường nợ để tài trợ cho cuộc mua sắm của mình, vay ít nhất 7 tỷ đô la qua nhiều đợt phát hành khác nhau từ năm 1998 đến năm 2003. Khi hoạt động kinh doanh gặp vấn đề nghiêm trọng, Parmalat bắt đầu gặp khó khăn trong việc tạo đủ tiền mặt để trả khoản nợ này. Hơn nữa, các giám đốc điều hành cấp cao của công ty do gia đình sở hữu và chi phối này bắt đầu chuyển hàng trăm triệu đô la cho các doanh nghiệp khác của gia đình. Do đó, khi trái phiếu đến hạn, Parmalat rất cần phát hành trái phiếu mới và chào bán cổ phần để huy động đủ tiền mặt trả các khoản nợ cũ.</w:t>
      </w:r>
    </w:p>
    <w:p>
      <w:pPr>
        <w:spacing w:after="80"/>
      </w:pPr>
      <w:r>
        <w:rPr>
          <w:b w:val="0"/>
          <w:i w:val="0"/>
        </w:rPr>
        <w:t>Thông thường, nhà đầu tư sẽ ngần ngại mua trái phiếu và cổ phần mới từ một công ty hoạt động kém hiệu quả, đang gánh khoản nợ nặng nề và không có tiền mặt. Vì vậy, để thu hút nhà đầu tư, Parmalat đã dựng lên một kế hoạch gian lận quy mô lớn nhằm che giấu khoản nợ và giấu đi những tài sản xấu. Bằng cách tô vẽ Bảng cân đối kế toán của mình, Parmalat đã gian lận thể hiện với nhà đầu tư rằng công ty đang có sức khỏe kinh tế mạnh mẽ. Vào tháng 9 năm 2003 (quý trước khi vụ gian lận bị phanh phui), khoản nợ không được báo cáo của Parmalat lên tới con số đáng kinh ngạc là 7,9 tỷ euro. Giá trị ròng của công ty, được báo cáo là 2,1 tỷ euro, thực tế là âm 11,2 tỷ euro—một mức phóng đại không thể tưởng tượng nổi lên tới 13,3 tỷ euro!</w:t>
      </w:r>
    </w:p>
    <w:p>
      <w:pPr>
        <w:spacing w:after="80"/>
      </w:pPr>
      <w:r>
        <w:rPr>
          <w:b w:val="0"/>
          <w:i w:val="0"/>
        </w:rPr>
        <w:t>Tâm điểm của vụ gian lận Parmalat dường như là việc công ty sử dụng các thực thể nước ngoài để che giấu tài sản hư cấu hoặc bị tổn thất, ngụy tạo việc giảm nợ và tạo ra thu nhập giả. Phạm vi các hoạt động gian lận mà Parmalat bị cáo buộc thực hiện thật sự đáng kinh ngạc. Vụ kiện của SEC chống lại công ty nêu tên một vài hành vi, bao gồm giả mạo việc mua lại khoản nợ của mình, làm giả việc bán các khoản phải thu hư cấu hoặc không thể thu hồi, làm sai lệch việc thanh toán các khoản phải trả, ghi nhận doanh thu hư cấu, mô tả sai khoản nợ thành vốn chủ sở hữu, ngụy trang các khoản vay nội bộ thành thu nhập, và chuyển tiền mặt của công ty sang nhiều doanh nghiệp khác nhau do các thành viên gia đình CEO sở hữu.</w:t>
      </w:r>
    </w:p>
    <w:p>
      <w:pPr>
        <w:spacing w:after="80"/>
      </w:pPr>
      <w:r>
        <w:rPr>
          <w:b w:val="0"/>
          <w:i w:val="0"/>
        </w:rPr>
        <w:t xml:space="preserve">Như thường lệ, vẫn có những dấu hiệu cảnh báo để những nhà đầu tư tinh ý phát hiện. Một cảnh báo quan trọng xảy ra vào cuối tháng 10 năm 2003 khi kiểm toán viên của Parmalat (Deloitte &amp; Touche) viết trong báo cáo kiểm toán rằng họ không thể xác nhận một số giao dịch liên quan đến một quỹ đầu tư có tên Epicurum, mà sau này hóa ra là một trong những thực thể nước ngoài gian lận đó. Những giao dịch này khá quan trọng. Parmalat đã ghi nhận lợi nhuận từ một hợp đồng phái sinh vừa mới ký với Epicurum mà </w:t>
      </w:r>
      <w:r>
        <w:rPr>
          <w:b w:val="0"/>
          <w:i/>
        </w:rPr>
        <w:t>chiếm nhiều hơn toàn bộ</w:t>
      </w:r>
      <w:r>
        <w:rPr>
          <w:b w:val="0"/>
          <w:i w:val="0"/>
        </w:rPr>
        <w:t xml:space="preserve"> €</w:t>
      </w:r>
      <w:r>
        <w:rPr>
          <w:b w:val="0"/>
          <w:i/>
        </w:rPr>
        <w:t>119,9 triệu lợi nhuận trước thuế</w:t>
      </w:r>
      <w:r>
        <w:rPr>
          <w:b w:val="0"/>
          <w:i w:val="0"/>
        </w:rPr>
        <w:t xml:space="preserve"> của Parmalat trong nửa đầu năm 2003. Hơn nữa, những khoản lợi nhuận này được tiết lộ là do Parmalat bình luận về báo cáo soát xét của Deloitte, nhưng trước đó chúng chưa từng được Parmalat công bố trong Báo cáo thu nhập tháng 6 năm 2003.</w:t>
      </w:r>
    </w:p>
    <w:p>
      <w:pPr>
        <w:spacing w:after="80"/>
      </w:pPr>
      <w:r>
        <w:rPr>
          <w:b w:val="0"/>
          <w:i w:val="0"/>
        </w:rPr>
        <w:t>Chưa đầy hai tuần sau, vào đầu tháng 11 năm 2003, Parmalat quyết định phản hồi chính thức báo cáo của Deloitte một cách rất công khai. Công ty đã phát hành bốn thông cáo báo chí trong vòng ba ngày nhằm làm rõ lý do Deloitte không ký xác nhận báo cáo tài chính của mình, đồng thời giải thích chi tiết hơn về khoản đầu tư vào Epicurum. Nói rõ hơn, Parmalat quyết định phản bác kiểm toán viên của mình trên một diễn đàn công khai về một giao dịch với một thực thể nước ngoài mờ ám vốn đã chiếm toàn bộ lợi nhuận gần đây của công ty.</w:t>
      </w:r>
    </w:p>
    <w:p>
      <w:pPr>
        <w:spacing w:after="80"/>
      </w:pPr>
      <w:r>
        <w:rPr>
          <w:b w:val="0"/>
          <w:i w:val="0"/>
        </w:rPr>
        <w:t>Chuỗi sự kiện cuối năm 2003 tại Parmalat có lẽ là dấu hiệu cảnh báo đỏ nhất trong những dấu hiệu đỏ. Với tư cách nhà đầu tư, bạn nên rùng mình khi thấy một công ty công khai bất đồng với kiểm toán viên của mình, đặc biệt là về một giao dịch mờ ám có quy mô đáng kể. Đáng ngạc nhiên là nhiều nhà đầu tư vào Parmalat lại không cảm thấy như vậy. Phải đến vài tuần sau, giá cổ phiếu Parmalat mới lao dốc khi công ty vỡ nợ.</w:t>
      </w:r>
    </w:p>
    <w:p>
      <w:pPr>
        <w:pStyle w:val="Heading3"/>
      </w:pPr>
      <w:r>
        <w:rPr>
          <w:rFonts w:ascii="Calibri" w:hAnsi="Calibri"/>
          <w:b/>
          <w:i w:val="0"/>
          <w:sz w:val="26"/>
        </w:rPr>
        <w:t>Nhìn về phía trước</w:t>
      </w:r>
    </w:p>
    <w:p>
      <w:pPr>
        <w:spacing w:after="80"/>
      </w:pPr>
      <w:r>
        <w:rPr>
          <w:b w:val="0"/>
          <w:i w:val="0"/>
        </w:rPr>
        <w:t>Chương này hoàn tất phần về Những chiêu trò với chỉ số then chốt. Phần tiếp theo của cuốn sách, Phần Năm, "Những chiêu trò kế toán mua bán sáp nhập", giới thiệu đến độc giả những công ty phức tạp nhất để phân tích—những công ty thích thâu tóm—và cách điều hướng vô số thủ thuật kế toán được các công ty ưa chuộng chiến lược tăng trưởng dựa trên thâu tóm sử dụng.</w:t>
      </w:r>
    </w:p>
    <w:p>
      <w:pPr>
        <w:pStyle w:val="Heading1"/>
      </w:pPr>
      <w:r>
        <w:rPr>
          <w:rFonts w:ascii="Calibri" w:hAnsi="Calibri"/>
          <w:b/>
          <w:i w:val="0"/>
          <w:sz w:val="40"/>
        </w:rPr>
        <w:t>PHẦN NĂM</w:t>
      </w:r>
    </w:p>
    <w:p>
      <w:pPr>
        <w:pStyle w:val="Heading1"/>
      </w:pPr>
      <w:r>
        <w:rPr>
          <w:rFonts w:ascii="Calibri" w:hAnsi="Calibri"/>
          <w:b/>
          <w:i w:val="0"/>
          <w:sz w:val="40"/>
        </w:rPr>
        <w:t>NHỮNG CHIÊU TRÒ KẾ TOÁN MUA BÁN VÀ SÁP NHẬP</w:t>
      </w:r>
    </w:p>
    <w:p>
      <w:pPr>
        <w:spacing w:after="80"/>
      </w:pPr>
      <w:r>
        <w:rPr>
          <w:b w:val="0"/>
          <w:i w:val="0"/>
        </w:rPr>
        <w:t>Giá trị bị phá hủy bởi các thương vụ mua bán và sáp nhập nhiều hơn bất kỳ hành động đơn lẻ nào khác mà các công ty thực hiện.</w:t>
      </w:r>
    </w:p>
    <w:p>
      <w:pPr>
        <w:spacing w:after="80"/>
      </w:pPr>
      <w:r>
        <w:rPr>
          <w:b w:val="0"/>
          <w:i w:val="0"/>
        </w:rPr>
        <w:t>—ASWATH DAMODARAN, GIÁO SƯ TÀI CHÍNH ĐẠI HỌC NYU</w:t>
      </w:r>
    </w:p>
    <w:p>
      <w:pPr>
        <w:spacing w:after="80"/>
      </w:pPr>
      <w:r>
        <w:rPr>
          <w:b w:val="0"/>
          <w:i w:val="0"/>
        </w:rPr>
        <w:t>Việc tìm kiếm những động lực tăng trưởng mới ở một công ty đã trưởng thành có thể là một thách thức, và ban lãnh đạo thường chọn một trong hai hướng tiếp cận: (1) phát triển các nhóm sản phẩm, dịch vụ hoặc khách hàng mới một cách hữu cơ, hoặc (2) thực hiện mua bán và sáp nhập. Nói cách khác, "tự làm hay đi mua."</w:t>
      </w:r>
    </w:p>
    <w:p>
      <w:pPr>
        <w:spacing w:after="80"/>
      </w:pPr>
      <w:r>
        <w:rPr>
          <w:b w:val="0"/>
          <w:i w:val="0"/>
        </w:rPr>
        <w:t>Có vô số câu chuyện thành công theo đuổi một trong hai chiến lược này, hoặc kết hợp cả hai. Hãy xem thị trường điện thoại thông minh. Apple đã tự phát triển sản phẩm iPhone cực kỳ ăn khách của mình trong nội bộ. Kể từ khi ra mắt cách đây một thập kỷ, hơn một tỷ chiếc iPhone đã được bán ra. Ngày nay, điện thoại thông minh tạo ra khoảng 60 phần trăm doanh thu của Apple. Ngược lại, Google đã trở thành một tay chơi đáng gờm trong lĩnh vực điện thoại thông minh nhờ mua lại Android với giá 50 triệu đô la vào năm 2005. Theo thông tin từ một phiên khai cung năm 2016, kể từ năm 2008, phần mềm của Android đã mang về cho Google hơn 30 tỷ đô la doanh thu và 22 tỷ đô la lợi nhuận. Vậy là bằng những cách tiếp cận khác nhau, một bên tăng trưởng hữu cơ và bên kia thông qua M&amp;A, cả Apple lẫn Google đều thắng lớn trên thị trường điện thoại thông minh.</w:t>
      </w:r>
    </w:p>
    <w:p>
      <w:pPr>
        <w:spacing w:after="80"/>
      </w:pPr>
      <w:r>
        <w:rPr>
          <w:b w:val="0"/>
          <w:i w:val="0"/>
        </w:rPr>
        <w:t>Rõ ràng, một lợi thế lớn của việc theo con đường M&amp;A là thời điểm. Không giống như Apple, công ty đã dành nhiều năm để phát triển chiếc iPhone, Google đã tìm được một giải pháp "cắm là chạy" cho nền tảng của mình, đưa điện thoại ra thị trường nhanh hơn nhiều so với việc tự xây dựng một sản phẩm tương đương trong nội bộ.</w:t>
      </w:r>
    </w:p>
    <w:p>
      <w:pPr>
        <w:spacing w:after="80"/>
      </w:pPr>
      <w:r>
        <w:rPr>
          <w:b w:val="0"/>
          <w:i w:val="0"/>
        </w:rPr>
        <w:t>Nhưng có lẽ khác biệt lớn nhất về kết quả giữa những người tăng trưởng hữu cơ và những người đi mua lại liên quan đến thất bại. Như bạn có thể hình dung, tỷ lệ thất bại của các công ty cố gắng khám phá, xây dựng và tiếp thị một sản phẩm mới là khá cao. Hãy nghĩ về điều đó giống như những người khoan dầu, họ biết rằng xác suất đụng phải một mỏ dầu phun trào là thấp. Vậy nên suy nghĩ của họ nói chung là không "đặt cược cả trang trại" vào một chuyến khoan duy nhất, điều có thể khiến công ty gặp nguy hiểm. Tuy nhiên, ngay cả khi hầu hết thời gian họ không đụng được giếng dầu nào, việc chi tiền khoan khắp cả một mỏ dầu có thể khá sinh lời trong dài hạn.</w:t>
      </w:r>
    </w:p>
    <w:p>
      <w:pPr>
        <w:spacing w:after="80"/>
      </w:pPr>
      <w:r>
        <w:rPr>
          <w:b w:val="0"/>
          <w:i w:val="0"/>
        </w:rPr>
        <w:t>Ngược lại, các thương vụ mua bán và sáp nhập dường như mang lại một hồ sơ rủi ro hấp dẫn hơn. Suy cho cùng, công ty được mua lại có lẽ đã có thành tích trên thị trường và một cơ sở kinh doanh có thể đo lường được. Tuy nhiên, ở một khía cạnh nào đó, đây là một ảo tưởng—trên thực tế, tỷ lệ thành công lâu dài của các thương vụ mua bán và sáp nhập là khá thấp. Các cổ đông của AOL và Time Warner sẽ đồng ý như vậy. Họ đã học được điều này quá rõ trong thương vụ sáp nhập khổng lồ giữa "truyền thông mới" và "truyền thông cũ" trị giá 164 tỷ đô la, với các cổ đông AOL sở hữu 55 phần trăm công ty mới. Doanh nghiệp hợp nhất đã sụp đổ và tan tành trong vòng 18 tháng tiếp theo, báo cáo khoản lỗ 99 tỷ đô la khó có thể tưởng tượng nổi.</w:t>
      </w:r>
    </w:p>
    <w:p>
      <w:pPr>
        <w:spacing w:after="80"/>
      </w:pPr>
      <w:r>
        <w:rPr>
          <w:b w:val="0"/>
          <w:i w:val="0"/>
        </w:rPr>
        <w:t>Có nhiều lý do khiến các thương vụ mua bán và sáp nhập không đạt được như kỳ vọng. Theo kinh nghiệm của chúng tôi, ba lý do sau có vẻ đặc biệt đáng chú ý:</w:t>
      </w:r>
    </w:p>
    <w:p>
      <w:pPr>
        <w:spacing w:after="80"/>
      </w:pPr>
      <w:r>
        <w:rPr>
          <w:b/>
          <w:i w:val="0"/>
        </w:rPr>
        <w:t>1.</w:t>
      </w:r>
      <w:r>
        <w:rPr>
          <w:b w:val="0"/>
          <w:i w:val="0"/>
        </w:rPr>
        <w:t xml:space="preserve"> Sự tự tin quá mức lan rộng vào phép màu của "hiệu ứng cộng hưởng"</w:t>
      </w:r>
    </w:p>
    <w:p>
      <w:pPr>
        <w:spacing w:after="80"/>
      </w:pPr>
      <w:r>
        <w:rPr>
          <w:b/>
          <w:i w:val="0"/>
        </w:rPr>
        <w:t>2.</w:t>
      </w:r>
      <w:r>
        <w:rPr>
          <w:b w:val="0"/>
          <w:i w:val="0"/>
        </w:rPr>
        <w:t xml:space="preserve"> Những thương vụ liều lĩnh được thúc đẩy bởi nỗi sợ hãi hoặc lòng tham mãnh liệt</w:t>
      </w:r>
    </w:p>
    <w:p>
      <w:pPr>
        <w:spacing w:after="80"/>
      </w:pPr>
      <w:r>
        <w:rPr>
          <w:b/>
          <w:i w:val="0"/>
        </w:rPr>
        <w:t>3.</w:t>
      </w:r>
      <w:r>
        <w:rPr>
          <w:b w:val="0"/>
          <w:i w:val="0"/>
        </w:rPr>
        <w:t xml:space="preserve"> Những thương vụ được dẫn dắt bởi lợi ích kế toán và báo cáo nhân tạo thay vì logic kinh doanh</w:t>
      </w:r>
    </w:p>
    <w:p>
      <w:pPr>
        <w:pStyle w:val="Heading3"/>
      </w:pPr>
      <w:r>
        <w:rPr>
          <w:rFonts w:ascii="Calibri" w:hAnsi="Calibri"/>
          <w:b/>
          <w:i w:val="0"/>
          <w:sz w:val="26"/>
        </w:rPr>
        <w:t>1. Sự Tự Tin Quá Mức Lan Rộng vào Phép Màu của "Hiệu Ứng Cộng Hưởng"</w:t>
      </w:r>
    </w:p>
    <w:p>
      <w:pPr>
        <w:spacing w:after="80"/>
      </w:pPr>
      <w:r>
        <w:rPr>
          <w:b w:val="0"/>
          <w:i w:val="0"/>
        </w:rPr>
        <w:t>Các thương vụ M&amp;A thường được chào mời cho nhà đầu tư với những dự báo cực kỳ lạc quan về cơ hội bán chéo và cắt giảm chi phí. Hãy xem kế hoạch hoành tráng của UAL, công ty mẹ của United Airlines, vào những năm 1980, khi họ tìm cách tạo ra một gã khổng lồ bay-lái-ngủ một điểm dừng có thể đáp ứng những nhu cầu quan trọng nhất của du khách. Chỉ trong vòng hai năm, CEO của UAL là Richard Ferris đã chi 2,3 tỷ đô la để mua lại Hertz Car Rental cùng các chuỗi khách sạn Westin và Hilton. Năm 1987, Ferris đổi tên công ty thành Allegis để "phản ánh phạm vi trải nghiệm du lịch được mở rộng." Nhà đầu tư ghét cái tên mới này (một số còn chế giễu gọi nó là Egregious Corp.) và đặt dấu hỏi về chiến lược kinh doanh. Giá cổ phiếu sụp đổ, và vị CEO của nó bắt đầu tìm kiếm một công việc mới.</w:t>
      </w:r>
    </w:p>
    <w:p>
      <w:pPr>
        <w:spacing w:after="80"/>
      </w:pPr>
      <w:r>
        <w:rPr>
          <w:b w:val="0"/>
          <w:i w:val="0"/>
        </w:rPr>
        <w:t>Cũng giống như ở UAL, Sears, nhà bán lẻ lớn nhất trước thời Walmart, rất thích khái niệm "bán chéo." Vậy nên với hàng triệu khách hàng của mình, ban lãnh đạo tin rằng bằng cách tạo ra một "siêu thị tài chính," họ có thể bán cổ phiếu, bảo hiểm và nhà cửa sau khi mua lại công ty môi giới Dean Witter, công ty bảo hiểm Allstate và công ty bất động sản Coldwell Banker. Một lần nữa, nhà đầu tư lại bối rối và không hài lòng với những thương vụ mua lại gây nhầm lẫn và tốn kém này. Một nhà phê bình tại Merrill Lynch đã mỉa mai hỏi: "Liệu người tiêu dùng có thực sự muốn mua tất và cổ phiếu dưới cùng một mái nhà không?" Với việc nhà đầu tư phản đối kịch liệt, Sears nhanh chóng bắt đầu bán tháo các công ty này.</w:t>
      </w:r>
    </w:p>
    <w:p>
      <w:pPr>
        <w:pStyle w:val="Heading3"/>
      </w:pPr>
      <w:r>
        <w:rPr>
          <w:rFonts w:ascii="Calibri" w:hAnsi="Calibri"/>
          <w:b/>
          <w:i w:val="0"/>
          <w:sz w:val="26"/>
        </w:rPr>
        <w:t>2. Giao dịch liều lĩnh được thúc đẩy bởi nỗi sợ hãi hoặc lòng tham mãnh liệt</w:t>
      </w:r>
    </w:p>
    <w:p>
      <w:pPr>
        <w:spacing w:after="80"/>
      </w:pPr>
      <w:r>
        <w:rPr>
          <w:b w:val="0"/>
          <w:i w:val="0"/>
        </w:rPr>
        <w:t>Chúng tôi tin rằng nhiều thương vụ được thúc đẩy bởi cảm xúc con người như sợ hãi hoặc tham lam. Ví dụ trong trường hợp Valeant, thù lao dựa trên cổ phiếu của CEO Michael Pearson (đạt mức tối đa nếu giá cổ phiếu Valeant tăng tới mức điên rồ 60 phần trăm mỗi năm) đã tạo ra động lực khổng lồ để phát triển công ty với tốc độ chóng mặt, khiến việc mua lại hàng loạt trở thành chiến lược hợp lý duy nhất.</w:t>
      </w:r>
    </w:p>
    <w:p>
      <w:pPr>
        <w:spacing w:after="80"/>
      </w:pPr>
      <w:r>
        <w:rPr>
          <w:b w:val="0"/>
          <w:i w:val="0"/>
        </w:rPr>
        <w:t xml:space="preserve">Tại Mattel vào cuối những năm 1990, CEO Jill Barad, lo sợ rằng mảng kinh doanh đồ chơi truyền thống của mình không mang lại đủ cơ hội tăng trưởng, đã tìm kiếm một thương vụ trong ngành phần mềm đang phát triển nhanh hơn. Cùng lúc đó, doanh nhân phần mềm Kevin O’Leary, người sáng lập The Learning Company (TLC), đang tìm người mua doanh nghiệp của mình. Hoạt động kinh doanh của TLC bao gồm một mớ hỗn độn khoảng 60 công ty phần mềm giáo dục phần lớn đều thua lỗ, tất cả đều được mua lại liên tiếp trong vài năm, bằng cách sử dụng cổ phiếu bị thổi phồng hoặc số nợ khổng lồ. (Đúng vậy, đây chính là Kevin O’Leary mà người ta trìu mến gọi là “Mr. Wonderful” trong loạt phim truyền hình ăn khách </w:t>
      </w:r>
      <w:r>
        <w:rPr>
          <w:b w:val="0"/>
          <w:i/>
        </w:rPr>
        <w:t>Shark Tank</w:t>
      </w:r>
      <w:r>
        <w:rPr>
          <w:b w:val="0"/>
          <w:i w:val="0"/>
        </w:rPr>
        <w:t xml:space="preserve"> của ABC.)</w:t>
      </w:r>
    </w:p>
    <w:p>
      <w:pPr>
        <w:spacing w:after="80"/>
      </w:pPr>
      <w:r>
        <w:rPr>
          <w:b w:val="0"/>
          <w:i w:val="0"/>
        </w:rPr>
        <w:t>Vì vậy khi Mattel gõ cửa, O’Leary háo hức muốn thu tiền về. Mattel đồng ý trả 3.7 tỷ đô la vào tháng 5 năm 1999. Sai lầm lớn! Sai lầm thực sự lớn! Mực trên hợp đồng chưa kịp khô thì Mattel đã bắt đầu báo cáo kết quả đáng thất vọng, phần lớn đến từ mảng kinh doanh TLC. (Thực tế, vào ngày thương vụ được công bố, cổ phiếu Mattel bị đánh tơi tả, giảm 2 tỷ đô la giá trị thị trường chỉ trong một ngày.) Tin tức ngày càng tồi tệ hơn khi TLC báo cáo khoản lỗ tổng cộng 206 triệu đô la cho cả năm, trong đó riêng quý bốn đã lỗ 183 triệu đô la. Điều này khiến Mattel chịu khoản lỗ 86 triệu đô la trong năm và CEO Jill Barad mất việc vào tháng 2 năm 2000. Và chưa đầy một năm sau thương vụ xui xẻo này, Mattel đã chịu đủ và cơ bản cho không TLC, bán nó cho Gores Group với mức giá bán tháo 27 triệu đô la! Thêm vào nỗi đau, Mattel sau đó còn phải trả 122 triệu đô la cho các vụ kiện tập thể do cổ đông Mattel đệ trình. Đau thật!</w:t>
      </w:r>
    </w:p>
    <w:p>
      <w:pPr>
        <w:pStyle w:val="Heading3"/>
      </w:pPr>
      <w:r>
        <w:rPr>
          <w:rFonts w:ascii="Calibri" w:hAnsi="Calibri"/>
          <w:b/>
          <w:i w:val="0"/>
          <w:sz w:val="26"/>
        </w:rPr>
        <w:t>3. Các thương vụ được thúc đẩy bởi lợi ích kế toán và báo cáo nhân tạo thay vì logic kinh doanh</w:t>
      </w:r>
    </w:p>
    <w:p>
      <w:pPr>
        <w:spacing w:after="80"/>
      </w:pPr>
      <w:r>
        <w:rPr>
          <w:b w:val="0"/>
          <w:i w:val="0"/>
        </w:rPr>
        <w:t>Phần Năm của cuốn sách này tập trung vào kế toán và báo cáo nhân tạo được sử dụng vào khoảng thời gian diễn ra một thương vụ mua lại và nhằm mục đích thổi phồng hiệu quả hoạt động và các chỉ số vận hành của công ty thâu tóm.</w:t>
      </w:r>
    </w:p>
    <w:p>
      <w:pPr>
        <w:pStyle w:val="Heading4"/>
      </w:pPr>
      <w:r>
        <w:rPr>
          <w:rFonts w:ascii="Calibri" w:hAnsi="Calibri"/>
          <w:b/>
          <w:i w:val="0"/>
          <w:sz w:val="23"/>
        </w:rPr>
        <w:t>So sánh các chiêu trò kế toán mua lại với tất cả các chiêu trò khác</w:t>
      </w:r>
    </w:p>
    <w:p>
      <w:pPr>
        <w:spacing w:after="80"/>
      </w:pPr>
      <w:r>
        <w:rPr>
          <w:b w:val="0"/>
          <w:i w:val="0"/>
        </w:rPr>
        <w:t>Hãy nghĩ về tất cả những chiêu trò chúng ta đã thảo luận trước đó (Thao túng lợi nhuận, Dòng tiền và Chỉ số then chốt) như những thủ thuật được thiết kế để che đậy một vấn đề nào đó trong hoạt động kinh doanh cốt lõi. Đôi khi một lớp lừa dối khác có thể giúp các ban lãnh đạo xấu xa che giấu sự che đậy ban đầu. Đó là lúc các Chiêu trò Kế toán Mua lại (Acquisition Accounting - AA) có thể được sử dụng và khiến việc phát hiện vấn đề kinh doanh cốt lõi trở nên khó khăn hơn nhiều. Hãy xem trường hợp của Olympus Corp., bắt đầu từ quyết định của ban lãnh đạo sử dụng một Chiêu trò Thao túng Lợi nhuận (Earnings Manipulation - EM) để che giấu một vấn đề kinh doanh, rồi sau đó lại dùng một Chiêu trò AA trắng trợn để che đậy trò kế toán đầu tiên.</w:t>
      </w:r>
    </w:p>
    <w:p>
      <w:pPr>
        <w:spacing w:after="80"/>
      </w:pPr>
      <w:r>
        <w:rPr>
          <w:b w:val="0"/>
          <w:i w:val="0"/>
        </w:rPr>
        <w:t xml:space="preserve">Olympus đã thực hiện một kế hoạch che giấu thua lỗ kéo dài hàng thập kỷ, trong đó họ không ghi nhận các khoản giảm giá tài sản cho những khoản đầu tư tồi. Qua nhiều năm, Olympus đã đầu tư vào nhiều doanh nghiệp, nhiều trong số đó hóa ra là những khoản đầu tư thua lỗ lớn. Thay vì ghi nhận các khoản giảm giá tài sản đáng thất vọng vào thu nhập cho những khoản lỗ này, ban lãnh đạo quyết định giữ những khoản đầu tư này ở giá trị bị thổi phồng trên Bảng cân đối kế toán. Đó là một ví dụ điển hình của kỹ thuật được mô tả trong Chương 6, </w:t>
      </w:r>
      <w:r>
        <w:rPr>
          <w:b w:val="0"/>
          <w:i/>
        </w:rPr>
        <w:t>không ghi giảm tài sản có giá trị bị suy giảm</w:t>
      </w:r>
      <w:r>
        <w:rPr>
          <w:b w:val="0"/>
          <w:i w:val="0"/>
        </w:rPr>
        <w:t>. Vì tài khoản đầu tư quá lớn trên Bảng cân đối kế toán của Olympus có khả năng sẽ làm nhà đầu tư đặt câu hỏi, ban lãnh đạo về cơ bản đã làm những khoản lỗ này biến mất bằng cách chuyển chúng vào lợi thế thương mại, dưới vỏ bọc của một thương vụ mua lại, rồi sau đó chuyển những khoản lỗ này sang các thực thể không hợp nhất giả tạo do ban lãnh đạo tạo ra.</w:t>
      </w:r>
    </w:p>
    <w:p>
      <w:pPr>
        <w:spacing w:after="80"/>
      </w:pPr>
      <w:r>
        <w:rPr>
          <w:b w:val="0"/>
          <w:i w:val="0"/>
        </w:rPr>
        <w:t>Ngoài việc đóng vai trò che đậy một chiêu trò kế toán điển hình, một số thủ thuật AA có thể được dùng để mang lại lợi ích lợi nhuận trực tiếp. Phần Năm, “Các chiêu trò kế toán mua lại,” trình bày nhiều kỹ thuật thường được dùng để che đậy các vấn đề kinh doanh và những mưu đồ mới được tạo ra để lừa nhà đầu tư.</w:t>
      </w:r>
    </w:p>
    <w:p>
      <w:pPr>
        <w:pStyle w:val="Heading3"/>
      </w:pPr>
      <w:r>
        <w:rPr>
          <w:rFonts w:ascii="Calibri" w:hAnsi="Calibri"/>
          <w:b/>
          <w:i w:val="0"/>
          <w:sz w:val="26"/>
        </w:rPr>
        <w:t>Ba chiêu trò kế toán mua lại</w:t>
      </w:r>
    </w:p>
    <w:p>
      <w:pPr>
        <w:spacing w:after="80"/>
      </w:pPr>
      <w:r>
        <w:rPr>
          <w:b w:val="0"/>
          <w:i w:val="0"/>
        </w:rPr>
        <w:t>CÁC CHIÊU TRÒ KẾ TOÁN MUA LẠI</w:t>
      </w:r>
    </w:p>
    <w:p>
      <w:pPr>
        <w:spacing w:after="80"/>
      </w:pPr>
      <w:r>
        <w:rPr>
          <w:b/>
          <w:i w:val="0"/>
        </w:rPr>
        <w:t>Chiêu trò AA số 1:</w:t>
      </w:r>
      <w:r>
        <w:rPr>
          <w:b w:val="0"/>
          <w:i w:val="0"/>
        </w:rPr>
        <w:t xml:space="preserve"> Thổi phồng doanh thu và lợi nhuận một cách nhân tạo (Chương 15)</w:t>
      </w:r>
    </w:p>
    <w:p>
      <w:pPr>
        <w:spacing w:after="80"/>
      </w:pPr>
      <w:r>
        <w:rPr>
          <w:b/>
          <w:i w:val="0"/>
        </w:rPr>
        <w:t>Chiêu trò AA số 2:</w:t>
      </w:r>
      <w:r>
        <w:rPr>
          <w:b w:val="0"/>
          <w:i w:val="0"/>
        </w:rPr>
        <w:t xml:space="preserve"> Thổi phồng dòng tiền được báo cáo (Chương 16)</w:t>
      </w:r>
    </w:p>
    <w:p>
      <w:pPr>
        <w:spacing w:after="80"/>
      </w:pPr>
      <w:r>
        <w:rPr>
          <w:b/>
          <w:i w:val="0"/>
        </w:rPr>
        <w:t>Chiêu trò AA số 3:</w:t>
      </w:r>
      <w:r>
        <w:rPr>
          <w:b w:val="0"/>
          <w:i w:val="0"/>
        </w:rPr>
        <w:t xml:space="preserve"> Thao túng các chỉ số then chốt (Chương 17)</w:t>
      </w:r>
    </w:p>
    <w:p>
      <w:pPr>
        <w:pStyle w:val="Heading2"/>
      </w:pPr>
      <w:r>
        <w:rPr>
          <w:rFonts w:ascii="Calibri" w:hAnsi="Calibri"/>
          <w:b/>
          <w:i w:val="0"/>
          <w:sz w:val="32"/>
        </w:rPr>
        <w:t>15</w:t>
      </w:r>
    </w:p>
    <w:p>
      <w:pPr>
        <w:pStyle w:val="Heading2"/>
      </w:pPr>
      <w:r>
        <w:rPr>
          <w:rFonts w:ascii="Calibri" w:hAnsi="Calibri"/>
          <w:b/>
          <w:i w:val="0"/>
          <w:sz w:val="32"/>
        </w:rPr>
        <w:t>Thủ thuật Kế toán Mua bán số 1: Thổi phồng Doanh thu và Lợi nhuận một cách giả tạo</w:t>
      </w:r>
    </w:p>
    <w:p>
      <w:pPr>
        <w:pStyle w:val="Heading3"/>
      </w:pPr>
      <w:r>
        <w:rPr>
          <w:rFonts w:ascii="Calibri" w:hAnsi="Calibri"/>
          <w:b/>
          <w:i w:val="0"/>
          <w:sz w:val="26"/>
        </w:rPr>
        <w:t>Kế toán Mua bán Tạo ra Sự biến dạng trên Báo cáo Tài chính</w:t>
      </w:r>
    </w:p>
    <w:p>
      <w:pPr>
        <w:spacing w:after="80"/>
      </w:pPr>
      <w:r>
        <w:rPr>
          <w:b w:val="0"/>
          <w:i w:val="0"/>
        </w:rPr>
        <w:t xml:space="preserve">Một lý do khiến nhà đầu tư gặp khó khăn trong việc diễn giải báo cáo tài chính của các công ty chuyên thâu tóm là vì một số chi phí lẽ ra phải được phản ánh là chi phí trên Báo cáo Kết quả Kinh doanh (Income Statement) lại nằm trên Bảng Cân đối Kế toán (Balance Sheet) dưới dạng </w:t>
      </w:r>
      <w:r>
        <w:rPr>
          <w:b w:val="0"/>
          <w:i/>
        </w:rPr>
        <w:t>lợi thế thương mại</w:t>
      </w:r>
      <w:r>
        <w:rPr>
          <w:b w:val="0"/>
          <w:i w:val="0"/>
        </w:rPr>
        <w:t xml:space="preserve"> (goodwill) hoặc </w:t>
      </w:r>
      <w:r>
        <w:rPr>
          <w:b w:val="0"/>
          <w:i/>
        </w:rPr>
        <w:t>tài sản vô hình</w:t>
      </w:r>
      <w:r>
        <w:rPr>
          <w:b w:val="0"/>
          <w:i w:val="0"/>
        </w:rPr>
        <w:t xml:space="preserve"> (intangibles). Hơn nữa, một số dòng tiền ra lẽ ra được phản ánh là khoản giảm dòng tiền từ hoạt động kinh doanh lại được phân loại là </w:t>
      </w:r>
      <w:r>
        <w:rPr>
          <w:b w:val="0"/>
          <w:i/>
        </w:rPr>
        <w:t>dòng tiền ra từ hoạt động đầu tư</w:t>
      </w:r>
      <w:r>
        <w:rPr>
          <w:b w:val="0"/>
          <w:i w:val="0"/>
        </w:rPr>
        <w:t xml:space="preserve"> (investing outflows) trên Báo cáo Lưu chuyển Tiền tệ (Statement of Cash Flows).</w:t>
      </w:r>
    </w:p>
    <w:p>
      <w:pPr>
        <w:spacing w:after="80"/>
      </w:pPr>
      <w:r>
        <w:rPr>
          <w:b w:val="0"/>
          <w:i w:val="0"/>
        </w:rPr>
        <w:t xml:space="preserve">Như vậy, hai biểu hiện đầu tiên của sự biến dạng (chuyển chi phí hoạt động </w:t>
      </w:r>
      <w:r>
        <w:rPr>
          <w:b w:val="0"/>
          <w:i/>
        </w:rPr>
        <w:t>sang</w:t>
      </w:r>
      <w:r>
        <w:rPr>
          <w:b w:val="0"/>
          <w:i w:val="0"/>
        </w:rPr>
        <w:t xml:space="preserve"> Bảng Cân đối Kế toán và chuyển dòng tiền ra </w:t>
      </w:r>
      <w:r>
        <w:rPr>
          <w:b w:val="0"/>
          <w:i/>
        </w:rPr>
        <w:t>từ</w:t>
      </w:r>
      <w:r>
        <w:rPr>
          <w:b w:val="0"/>
          <w:i w:val="0"/>
        </w:rPr>
        <w:t xml:space="preserve"> phần Hoạt động kinh doanh sang phần Hoạt động đầu tư) nên được coi là </w:t>
      </w:r>
      <w:r>
        <w:rPr>
          <w:b w:val="0"/>
          <w:i/>
        </w:rPr>
        <w:t>hệ quả</w:t>
      </w:r>
      <w:r>
        <w:rPr>
          <w:b w:val="0"/>
          <w:i w:val="0"/>
        </w:rPr>
        <w:t xml:space="preserve"> của quá trình mua bán, chứ không phải là hành động cố ý của ban lãnh đạo nhằm gây nhầm lẫn. Vì vậy, chúng tôi không chỉ trích ban lãnh đạo; mà thay vào đó, chúng tôi cảnh báo nhà đầu tư về những thông tin vốn dĩ gây nhầm lẫn do các quy ước kế toán mua bán tạo ra.</w:t>
      </w:r>
    </w:p>
    <w:p>
      <w:pPr>
        <w:pStyle w:val="Heading4"/>
      </w:pPr>
      <w:r>
        <w:rPr>
          <w:rFonts w:ascii="Calibri" w:hAnsi="Calibri"/>
          <w:b/>
          <w:i w:val="0"/>
          <w:sz w:val="23"/>
        </w:rPr>
        <w:t>Chuyển Chi phí Hoạt động sang Bảng Cân đối Kế toán</w:t>
      </w:r>
    </w:p>
    <w:p>
      <w:pPr>
        <w:spacing w:after="80"/>
      </w:pPr>
      <w:r>
        <w:rPr>
          <w:b w:val="0"/>
          <w:i w:val="0"/>
        </w:rPr>
        <w:t xml:space="preserve">Hãy xem xét hai công ty khác nhau trong ngành dược phẩm. Công ty O tăng trưởng hữu cơ, trong khi Công ty A tăng trưởng thông qua mua bán. Công ty O chi 15 phần trăm trong doanh thu 1 tỷ đô la cho R&amp;D và ghi nhận 150 triệu đô la chi phí mỗi năm; ngược lại, Công ty A chỉ chi 3 phần trăm trong doanh thu 1 tỷ đô la cho R&amp;D, tức 30 triệu đô la chi phí, vì họ mua lại hầu hết các loại thuốc mới thông qua mua bán. Khi so sánh kết quả của hai công ty, Công ty O sẽ báo cáo lợi nhuận nhỏ hơn nhiều, vì họ phải ghi nhận 150 triệu đô la là chi phí. Ngược lại, Công ty A chỉ ghi nhận 30 triệu đô la cho khoản R&amp;D khiêm tốn đã chi, cộng với chi phí khấu hao tương đối nhỏ trên tài sản vô hình đã mua. Tuy nhiên, trong khoảng thời gian năm năm, Công ty A có khả năng đã </w:t>
      </w:r>
      <w:r>
        <w:rPr>
          <w:b w:val="0"/>
          <w:i/>
        </w:rPr>
        <w:t>chi nhiều hơn hẳn</w:t>
      </w:r>
      <w:r>
        <w:rPr>
          <w:b w:val="0"/>
          <w:i w:val="0"/>
        </w:rPr>
        <w:t xml:space="preserve"> Công ty O để tiếp cận các loại thuốc mới và mua lại toàn bộ công ty. Nhưng theo các quy ước kế toán mua bán dựa trên GAAP, hầu hết chi phí liên quan đến mua bán sẽ không được ghi nhận là chi phí mà thay vào đó nằm trên Bảng Cân đối Kế toán, thường với phần lớn nhất được thể hiện là </w:t>
      </w:r>
      <w:r>
        <w:rPr>
          <w:b w:val="0"/>
          <w:i/>
        </w:rPr>
        <w:t>lợi thế thương mại</w:t>
      </w:r>
      <w:r>
        <w:rPr>
          <w:b w:val="0"/>
          <w:i w:val="0"/>
        </w:rPr>
        <w:t xml:space="preserve"> hoặc </w:t>
      </w:r>
      <w:r>
        <w:rPr>
          <w:b w:val="0"/>
          <w:i/>
        </w:rPr>
        <w:t>tài sản vô hình</w:t>
      </w:r>
      <w:r>
        <w:rPr>
          <w:b w:val="0"/>
          <w:i w:val="0"/>
        </w:rPr>
        <w:t>.</w:t>
      </w:r>
    </w:p>
    <w:p>
      <w:pPr>
        <w:spacing w:after="80"/>
      </w:pPr>
      <w:r>
        <w:rPr>
          <w:b w:val="0"/>
          <w:i w:val="0"/>
        </w:rPr>
        <w:t>Điểm mấu chốt là các công ty chuyên thâu tóm về mặt logic nên báo cáo lợi nhuận cao hơn các công ty tăng trưởng hữu cơ, đơn giản vì một số chi phí cần thiết để phát triển hoạt động kinh doanh của họ (như R&amp;D) đã được người khác chi trả trước đó và do đó không bị tính là chi phí trừ vào doanh thu.</w:t>
      </w:r>
    </w:p>
    <w:p>
      <w:pPr>
        <w:pStyle w:val="Heading4"/>
      </w:pPr>
      <w:r>
        <w:rPr>
          <w:rFonts w:ascii="Calibri" w:hAnsi="Calibri"/>
          <w:b/>
          <w:i w:val="0"/>
          <w:sz w:val="23"/>
        </w:rPr>
        <w:t>Chuyển Dòng tiền ra từ Hoạt động Kinh doanh sang Phần Đầu tư</w:t>
      </w:r>
    </w:p>
    <w:p>
      <w:pPr>
        <w:spacing w:after="80"/>
      </w:pPr>
      <w:r>
        <w:rPr>
          <w:b w:val="0"/>
          <w:i w:val="0"/>
        </w:rPr>
        <w:t>Như chúng ta sẽ thảo luận trong chương tiếp theo, lợi ích tương tự mà công ty thâu tóm nhận được trên Báo cáo Kết quả Kinh doanh cũng có thể thấy trên Báo cáo Lưu chuyển Tiền tệ. Cụ thể, tiền mặt trả để tiếp cận sản phẩm thông qua mua bán sẽ được phản ánh là dòng tiền ra trong phần Đầu tư (chứ không phải Hoạt động kinh doanh) của Báo cáo Lưu chuyển Tiền tệ. Quy ước này theo các quy tắc kế toán mua bán sẽ khiến các công ty dựa vào M&amp;A có vẻ tạo ra dòng tiền từ hoạt động kinh doanh nhiều hơn hẳn so với các công ty cùng ngành tăng trưởng hữu cơ. Tuy nhiên, một lần nữa, các công ty dựa vào M&amp;A sẽ có dòng tiền ra lớn hơn nhiều vì chi phí họ phải trả để mua lại toàn bộ một công ty cao hơn hẳn.</w:t>
      </w:r>
    </w:p>
    <w:p>
      <w:pPr>
        <w:spacing w:after="80"/>
      </w:pPr>
      <w:r>
        <w:rPr>
          <w:b w:val="0"/>
          <w:i w:val="0"/>
        </w:rPr>
        <w:t>Một điểm bất thường quan trọng khác liên quan đến dòng tiền được tạo ra bởi một công ty dựa vào M&amp;A. Hãy nhớ rằng việc tăng vốn lưu động (tức là hàng tồn kho hoặc khoản phải thu tăng lên) thông thường sẽ được phản ánh là khoản giảm dòng tiền từ hoạt động kinh doanh. Tuy nhiên, nếu vốn lưu động đó đến từ một thương vụ mua bán, chứ không phải tăng trưởng hữu cơ, thì nó sẽ được phản ánh là khoản giảm dòng tiền từ hoạt động đầu tư (chứ không phải hoạt động kinh doanh). Một lần nữa, các quy ước kế toán mua bán sẽ cho phép các công ty dựa vào M&amp;A có vẻ như tạo ra dòng tiền từ hoạt động kinh doanh lớn hơn, nhưng đây có thể chỉ là ảo ảnh. (Chương 16 trình bày nhiều thủ thuật khác nhau để thổi phồng dòng tiền từ hoạt động kinh doanh trong quá trình mua bán.)</w:t>
      </w:r>
    </w:p>
    <w:p>
      <w:pPr>
        <w:pStyle w:val="Heading4"/>
      </w:pPr>
      <w:r>
        <w:rPr>
          <w:rFonts w:ascii="Calibri" w:hAnsi="Calibri"/>
          <w:b/>
          <w:i w:val="0"/>
          <w:sz w:val="23"/>
        </w:rPr>
        <w:t>Ngày Mai Trời Lại Sáng</w:t>
      </w:r>
    </w:p>
    <w:p>
      <w:pPr>
        <w:spacing w:after="80"/>
      </w:pPr>
      <w:r>
        <w:rPr>
          <w:b w:val="0"/>
          <w:i w:val="0"/>
        </w:rPr>
        <w:t xml:space="preserve">Một trong những vở nhạc kịch Broadway yêu thích của chúng tôi, </w:t>
      </w:r>
      <w:r>
        <w:rPr>
          <w:b w:val="0"/>
          <w:i/>
        </w:rPr>
        <w:t>Annie</w:t>
      </w:r>
      <w:r>
        <w:rPr>
          <w:b w:val="0"/>
          <w:i w:val="0"/>
        </w:rPr>
        <w:t>, có một bài hát đáng nhớ, “Tomorrow,” do cô bé Annie hát. Câu “The sun will come out tomorrow” (Ngày mai trời lại sáng) thể hiện hy vọng của cô bé về một tương lai rất tươi sáng. Theo cách tương tự, những công ty thâu tóm liên tục đã thành thạo nghệ thuật thuyết phục nhà đầu tư về một tương lai tươi sáng sau khi thương vụ hoàn tất—bất kể quá khứ có u ám đến đâu. Để tăng khả năng mặt trời thực sự chiếu sáng rực rỡ vào ngày mai trên công ty mới sáp nhập, những Thủ thuật Kế toán Mua bán sau đây tỏ ra rất hữu ích.</w:t>
      </w:r>
    </w:p>
    <w:p>
      <w:pPr>
        <w:spacing w:after="80"/>
      </w:pPr>
      <w:r>
        <w:rPr>
          <w:b w:val="0"/>
          <w:i w:val="0"/>
        </w:rPr>
        <w:t>Mục tiêu chính khi sử dụng Thủ thuật AA số 1: Thổi phồng Doanh thu và Lợi nhuận một cách giả tạo là để thổi phồng doanh thu và lợi nhuận của bên thâu tóm sau khi thương vụ hoàn tất.</w:t>
      </w:r>
    </w:p>
    <w:p>
      <w:pPr>
        <w:pStyle w:val="Heading3"/>
      </w:pPr>
      <w:r>
        <w:rPr>
          <w:rFonts w:ascii="Calibri" w:hAnsi="Calibri"/>
          <w:b/>
          <w:i w:val="0"/>
          <w:sz w:val="26"/>
        </w:rPr>
        <w:t>Các Kỹ thuật Kế toán Mua bán để Thổi phồng Doanh thu và Lợi nhuận một cách giả tạo</w:t>
      </w:r>
    </w:p>
    <w:p>
      <w:pPr>
        <w:spacing w:after="80"/>
      </w:pPr>
      <w:r>
        <w:rPr>
          <w:b w:val="0"/>
          <w:i w:val="0"/>
        </w:rPr>
        <w:t>1. Thổi phồng lợi nhuận thông qua các thủ thuật tại công ty mục tiêu trước khi thương vụ hoàn tất</w:t>
      </w:r>
    </w:p>
    <w:p>
      <w:pPr>
        <w:spacing w:after="80"/>
      </w:pPr>
      <w:r>
        <w:rPr>
          <w:b w:val="0"/>
          <w:i w:val="0"/>
        </w:rPr>
        <w:t>2. Thổi phồng lợi nhuận bằng cách che giấu thua lỗ khi thương vụ hoàn tất</w:t>
      </w:r>
    </w:p>
    <w:p>
      <w:pPr>
        <w:spacing w:after="80"/>
      </w:pPr>
      <w:r>
        <w:rPr>
          <w:b w:val="0"/>
          <w:i w:val="0"/>
        </w:rPr>
        <w:t>3. Tạo ra những nguồn doanh thu mới đáng ngờ sau khi chốt thương vụ</w:t>
      </w:r>
    </w:p>
    <w:p>
      <w:pPr>
        <w:spacing w:after="80"/>
      </w:pPr>
      <w:r>
        <w:rPr>
          <w:b w:val="0"/>
          <w:i w:val="0"/>
        </w:rPr>
        <w:t>4. Thổi phồng lợi nhuận bằng cách giải phóng các khoản dự phòng đáng ngờ, hoặc trước hoặc ngay sau khi chốt thương vụ</w:t>
      </w:r>
    </w:p>
    <w:p>
      <w:pPr>
        <w:pStyle w:val="Heading4"/>
      </w:pPr>
      <w:r>
        <w:rPr>
          <w:rFonts w:ascii="Calibri" w:hAnsi="Calibri"/>
          <w:b/>
          <w:i w:val="0"/>
          <w:sz w:val="23"/>
        </w:rPr>
        <w:t>1. Thổi phồng lợi nhuận thông qua các thủ thuật tại công ty mục tiêu trước khi thương vụ chốt</w:t>
      </w:r>
    </w:p>
    <w:p>
      <w:pPr>
        <w:spacing w:after="80"/>
      </w:pPr>
      <w:r>
        <w:rPr>
          <w:b w:val="0"/>
          <w:i w:val="0"/>
        </w:rPr>
        <w:t xml:space="preserve">Hãy nhớ lại những chủ đề quan trọng mà chúng ta đã bàn ở Phần Hai, "Những chiêu trò thao túng lợi nhuận". Khác với năm chiêu trò EM đầu tiên vốn thổi phồng lợi nhuận hiện tại, EM số 6 và 7 là những thủ thuật nhằm làm cho </w:t>
      </w:r>
      <w:r>
        <w:rPr>
          <w:b w:val="0"/>
          <w:i/>
        </w:rPr>
        <w:t>các kỳ tương lai</w:t>
      </w:r>
      <w:r>
        <w:rPr>
          <w:b w:val="0"/>
          <w:i w:val="0"/>
        </w:rPr>
        <w:t xml:space="preserve"> trông thật tươi sáng. Và đó chính xác là mục tiêu của cả bên mục tiêu lẫn bên mua: làm cho giai đoạn sau khi chốt thương vụ thật đẹp. Một cách để đạt được mục tiêu này là dìm lợi nhuận xuống trong giai đoạn ngay trước thương vụ—gọi là </w:t>
      </w:r>
      <w:r>
        <w:rPr>
          <w:b w:val="0"/>
          <w:i/>
        </w:rPr>
        <w:t>giai đoạn chờ</w:t>
      </w:r>
      <w:r>
        <w:rPr>
          <w:b w:val="0"/>
          <w:i w:val="0"/>
        </w:rPr>
        <w:t xml:space="preserve"> (stub period).</w:t>
      </w:r>
    </w:p>
    <w:p>
      <w:pPr>
        <w:pStyle w:val="Heading5"/>
      </w:pPr>
      <w:r>
        <w:rPr>
          <w:rFonts w:ascii="Calibri" w:hAnsi="Calibri"/>
          <w:b/>
          <w:i/>
          <w:sz w:val="22"/>
        </w:rPr>
        <w:t>Hãy để ý đến sự sụt giảm doanh thu tại công ty mục tiêu trước khi thương vụ mua lại chốt</w:t>
      </w:r>
    </w:p>
    <w:p>
      <w:pPr>
        <w:spacing w:after="80"/>
      </w:pPr>
      <w:r>
        <w:rPr>
          <w:b w:val="0"/>
          <w:i w:val="0"/>
        </w:rPr>
        <w:t>Các nhà đầu tư vào Valeant hẳn sẽ phát hiện ra một kiểu mẫu rất khó hiểu nếu họ để ý kỹ đến doanh thu của các công ty mục tiêu mà Valeant mua lại ngay trước khi hợp nhất. Trong nhiều trường hợp như vậy, doanh thu được báo cáo tại công ty mục tiêu giảm mạnh một cách đáng kinh ngạc trước khi thương vụ chốt so với các kỳ trước đó. Tuy nhiên, không ví dụ nào cực đoan hơn trường hợp của Salix. Bảng 15-1 cho thấy doanh số theo quý của Salix từ 2013, 2014 và 2015. Hãy để ý vài kiểu mẫu thú vị trong các con số: (1) trong ba quý cuối năm 2013, doanh số gần như không thay đổi; (2) trong các quý đầu năm 2014 (khi ban lãnh đạo Salix đang tích cực rao bán công ty), doanh số tăng nhanh so với cùng kỳ năm trước; (3) trong quý cuối năm 2014 và quý đầu năm 2015 (khi Valeant đang trong quá trình chốt thương vụ mua lại), doanh số hoàn toàn cạn kiệt; và (4) trong ba quý cuối năm 2015 (sau khi Valeant mua lại Salix), doanh số tăng vọt.</w:t>
      </w:r>
    </w:p>
    <w:p>
      <w:pPr>
        <w:spacing w:after="80"/>
      </w:pPr>
      <w:r>
        <w:rPr>
          <w:b/>
          <w:i w:val="0"/>
        </w:rPr>
        <w:t>Bảng 15-1</w:t>
      </w:r>
      <w:r>
        <w:rPr>
          <w:b w:val="0"/>
          <w:i w:val="0"/>
        </w:rPr>
        <w:t xml:space="preserve"> Doanh thu theo quý của Salix, 2013 đến 2015</w:t>
      </w:r>
    </w:p>
    <w:p>
      <w:pPr>
        <w:jc w:val="center"/>
      </w:pPr>
      <w:r>
        <w:drawing>
          <wp:inline xmlns:a="http://schemas.openxmlformats.org/drawingml/2006/main" xmlns:pic="http://schemas.openxmlformats.org/drawingml/2006/picture">
            <wp:extent cx="5486400" cy="1296176"/>
            <wp:docPr id="52" name="Picture 52"/>
            <wp:cNvGraphicFramePr>
              <a:graphicFrameLocks noChangeAspect="1"/>
            </wp:cNvGraphicFramePr>
            <a:graphic>
              <a:graphicData uri="http://schemas.openxmlformats.org/drawingml/2006/picture">
                <pic:pic>
                  <pic:nvPicPr>
                    <pic:cNvPr id="0" name="00023.jpeg"/>
                    <pic:cNvPicPr/>
                  </pic:nvPicPr>
                  <pic:blipFill>
                    <a:blip r:embed="rId60"/>
                    <a:stretch>
                      <a:fillRect/>
                    </a:stretch>
                  </pic:blipFill>
                  <pic:spPr>
                    <a:xfrm>
                      <a:off x="0" y="0"/>
                      <a:ext cx="5486400" cy="1296176"/>
                    </a:xfrm>
                    <a:prstGeom prst="rect"/>
                  </pic:spPr>
                </pic:pic>
              </a:graphicData>
            </a:graphic>
          </wp:inline>
        </w:drawing>
      </w:r>
    </w:p>
    <w:p>
      <w:pPr>
        <w:spacing w:after="80"/>
      </w:pPr>
      <w:r>
        <w:rPr>
          <w:b w:val="0"/>
          <w:i w:val="0"/>
        </w:rPr>
        <w:t>Hãy đào sâu hơn một chút để hiểu những con số và xu hướng kỳ lạ này. Bắt đầu từ năm 2014, Salix đã nỗ lực mạnh mẽ để báo cáo mức tăng trưởng doanh số ấn tượng nhằm tối đa hóa mức giá mà bên mua sẽ trả. Việc cố gắng làm đẹp báo cáo tài chính trước một thương vụ có thể khá phổ biến. Nhưng việc nhồi hàng vào các nhà phân phối mà chẳng có khách hàng nào mua những sản phẩm đó thì hơi quá đà. Thật vậy, hành vi nhồi hàng kênh phân phối (channel stuffing) đầy tham vọng này đã thu hút sự chú ý của các cơ quan quản lý và cuối cùng khiến CEO và CFO mất việc.</w:t>
      </w:r>
    </w:p>
    <w:p>
      <w:pPr>
        <w:spacing w:after="80"/>
      </w:pPr>
      <w:r>
        <w:rPr>
          <w:b w:val="0"/>
          <w:i w:val="0"/>
        </w:rPr>
        <w:t>Nhưng những trò chơi kế toán vẫn chưa kết thúc. Chẳng hạn, trong quý 4 năm 2014, Salix báo cáo gần như không có doanh số nào—chỉ vỏn vẹn 13 triệu đô la. Vậy so với cùng quý năm 2013, doanh số giảm tới 95 phần trăm—một con số khó tin. Sao có thể như vậy được? Chúng ta chỉ có thể nghĩ ra hai lời giải thích khả dĩ: (1) các con số là đúng và hoạt động kinh doanh của Salix đã sụp đổ hoàn toàn—rất khó xảy ra, vì Valeant đã chọn không hủy thương vụ—hoặc (2) các con số đã bị gian lận và Salix đã cố ý không ghi nhận bất kỳ doanh thu nào trong quý 4 năm 2014 để cho phép Valeant đưa doanh thu đó vào các kỳ sau khi thương vụ chốt vào ngày 1 tháng 4.</w:t>
      </w:r>
    </w:p>
    <w:p>
      <w:pPr>
        <w:spacing w:after="80"/>
      </w:pPr>
      <w:r>
        <w:rPr>
          <w:b w:val="0"/>
          <w:i w:val="0"/>
        </w:rPr>
        <w:t>Sau khi thương vụ chốt, Valeant ghi nhận tới 1,3 tỷ đô la (tức 424 triệu đô la mỗi quý) doanh số sản phẩm Salix trong ba quý còn lại của năm 2015. Dù chúng tôi không tuyên bố có bằng chứng "tận tay" (smoking-gun) để chứng minh doanh thu bị thổi phồng tại Valeant nhờ việc dồn doanh số, những con số trong Bảng 15-1 trông khá thuyết phục.</w:t>
      </w:r>
    </w:p>
    <w:p>
      <w:pPr>
        <w:pStyle w:val="Heading5"/>
      </w:pPr>
      <w:r>
        <w:rPr>
          <w:rFonts w:ascii="Calibri" w:hAnsi="Calibri"/>
          <w:b/>
          <w:i/>
          <w:sz w:val="22"/>
        </w:rPr>
        <w:t>Hãy để ý đến những nguồn doanh thu bất thường vào thời điểm mua lại</w:t>
      </w:r>
    </w:p>
    <w:p>
      <w:pPr>
        <w:spacing w:after="80"/>
      </w:pPr>
      <w:r>
        <w:rPr>
          <w:b w:val="0"/>
          <w:i w:val="0"/>
        </w:rPr>
        <w:t>Các thỏa thuận giữa hai bên ngay trước khi họ sáp nhập rõ ràng thiếu yếu tố "giao dịch độc lập" (arm's-length). Hãy xem xét chiêu trò khéo léo của Krispy Kreme nhằm thổi phồng doanh thu khi họ chuẩn bị mua lại một trong các cửa hàng nhượng quyền của mình vào năm 2003.</w:t>
      </w:r>
    </w:p>
    <w:p>
      <w:pPr>
        <w:spacing w:after="80"/>
      </w:pPr>
      <w:r>
        <w:rPr>
          <w:b w:val="0"/>
          <w:i w:val="0"/>
        </w:rPr>
        <w:t>Trước khi thương vụ mua lại chốt, Krispy Kreme đã bán thiết bị làm bánh doughnut cho cửa hàng nhượng quyền này với giá 700.000 đô la. Như một phần của thỏa thuận, Krispy Kreme tăng số tiền mà mình sẽ trả để mua lại cửa hàng nhượng quyền lên đúng 700.000 đô la để bù cho giá thiết bị. Thỏa thuận này rõ ràng không có tác động kinh tế ròng thực sự nào, nên lẽ ra không được ghi nhận doanh thu. Tuy nhiên, Krispy Kreme không nghĩ vậy, và thế là họ ghi nhận việc bán thiết bị như doanh thu thay vì bù trừ vào giá mua cửa hàng nhượng quyền đã tăng. Không ngạc nhiên, mánh khóe này đã giúp Krispy Kreme duy trì chuỗi thành tích liên tục vượt kỳ vọng của Phố Wall.</w:t>
      </w:r>
    </w:p>
    <w:p>
      <w:pPr>
        <w:pStyle w:val="Heading5"/>
      </w:pPr>
      <w:r>
        <w:rPr>
          <w:rFonts w:ascii="Calibri" w:hAnsi="Calibri"/>
          <w:b/>
          <w:i/>
          <w:sz w:val="22"/>
        </w:rPr>
        <w:t>Công ty mục tiêu xóa sổ khoản chi phí lớn trong giai đoạn chờ</w:t>
      </w:r>
    </w:p>
    <w:p>
      <w:pPr>
        <w:spacing w:after="80"/>
      </w:pPr>
      <w:r>
        <w:rPr>
          <w:b w:val="0"/>
          <w:i w:val="0"/>
        </w:rPr>
        <w:t>Với mục tiêu dìm lợi nhuận xuống trong giai đoạn chờ, các công ty không chỉ không báo cáo hết doanh số của mình mà còn có thể xóa sổ những khoản lớn trong giai đoạn này. Cụ thể, một công ty có thể xóa sổ tài sản khiến giai đoạn chờ phải gánh những khoản chi phí mà lẽ ra sẽ được tính cho công ty mới sau sáp nhập. Thực hiện điều này rất đơn giản. Công ty mục tiêu chỉ cần thông báo một khoản xóa sổ để tinh gọn hoạt động trước khi hai công ty sáp nhập.</w:t>
      </w:r>
    </w:p>
    <w:p>
      <w:pPr>
        <w:pStyle w:val="Heading4"/>
      </w:pPr>
      <w:r>
        <w:rPr>
          <w:rFonts w:ascii="Calibri" w:hAnsi="Calibri"/>
          <w:b/>
          <w:i w:val="0"/>
          <w:sz w:val="23"/>
        </w:rPr>
        <w:t>2. Thổi phồng lợi nhuận bằng cách che giấu các khoản lỗ khi chốt thương vụ</w:t>
      </w:r>
    </w:p>
    <w:p>
      <w:pPr>
        <w:spacing w:after="80"/>
      </w:pPr>
      <w:r>
        <w:rPr>
          <w:b w:val="0"/>
          <w:i w:val="0"/>
        </w:rPr>
        <w:t>Như chúng ta đã bàn ở Chương 6, Olympus Corporation đã bơm hàng tỷ đô vào những khoản đầu tư thua lỗ để thúc đẩy tăng trưởng èo uột của công ty. Công ty chọn giữ nguyên giá trị tài sản theo giá gốc đầy đủ trên Bảng cân đối kế toán, bất chấp mong muốn của kiểm toán viên. Khi các khoản này phình to đến mức lớn đến khó chịu, Olympus biết mình phải tìm một chiêu khác để làm số dư trong tài khoản đầu tư của mình biến mất.</w:t>
      </w:r>
    </w:p>
    <w:p>
      <w:pPr>
        <w:spacing w:after="80"/>
      </w:pPr>
      <w:r>
        <w:rPr>
          <w:b w:val="0"/>
          <w:i w:val="0"/>
        </w:rPr>
        <w:t xml:space="preserve">Tháng 10 năm 2011, khi Olympus sa thải vị CEO mới được bổ nhiệm Michael Woodford, người ta phát hiện ra rằng công ty đã vận hành một kế hoạch </w:t>
      </w:r>
      <w:r>
        <w:rPr>
          <w:b w:val="0"/>
          <w:i/>
        </w:rPr>
        <w:t>tobashi</w:t>
      </w:r>
      <w:r>
        <w:rPr>
          <w:b w:val="0"/>
          <w:i w:val="0"/>
        </w:rPr>
        <w:t xml:space="preserve"> (một kế hoạch khiến các vấn đề "bay đi," theo tiếng Nhật), trong đó 2 tỷ đô được cho là đã bị rút ruột để che đậy những khoản đầu tư tồi tệ được thực hiện từ tận 20 năm trước.</w:t>
      </w:r>
    </w:p>
    <w:p>
      <w:pPr>
        <w:spacing w:after="80"/>
      </w:pPr>
      <w:r>
        <w:rPr>
          <w:b w:val="0"/>
          <w:i w:val="0"/>
        </w:rPr>
        <w:t>Khoảng năm 2008, Olympus đã mua ba công ty và trả giá cao hơn nhiều so với giá trị thực của chúng, theo Woodford. Mức giá bị thổi phồng này (tổng cộng chiếm 30 phần trăm giá trị thương vụ) được dán nhãn là "phí cho một người trung gian." Woodford chỉ ra rằng phần cắt cho các ngân hàng đầu tư thông thường chỉ khoảng 1 đến 2 phần trăm, nên số 674 triệu đô trả cho các thương vụ trị giá 2 tỷ đô rất có thể là khoản thanh toán để che đậy thua lỗ và đẩy các khoản đầu tư ra khỏi Bảng cân đối kế toán sang một thực thể liên quan không được hợp nhất.</w:t>
      </w:r>
    </w:p>
    <w:p>
      <w:pPr>
        <w:spacing w:after="80"/>
      </w:pPr>
      <w:r>
        <w:rPr>
          <w:b w:val="0"/>
          <w:i w:val="0"/>
        </w:rPr>
        <w:t>Khi Woodford, người phụ trách một lượng lớn hoạt động kinh doanh khắp châu Âu, nhận ra trò gian dối này vào năm 2008, ông đã cố gắng nộp đơn từ chức vì những thương vụ mua lại "kỳ lạ" ở châu Âu. Ông được trấn an bằng những lời có vẻ hợp lý và được thăng chức để điều hành toàn bộ mảng kinh doanh châu Âu của Olympus. Trong vài năm tiếp theo, Woodford được thăng lên COO và cuối cùng trở thành giám đốc điều hành. Khi ông nhận ra bản chất thật sự của những thủ thuật kế toán này và những thủ thuật khác tại công ty, ông đã cho hội đồng quản trị biết về những lo ngại sâu sắc của mình. Đáng tiếc thay, thay vì điều tra các giám đốc điều hành tiền nhiệm, hội đồng quản trị lại sa thải Woodford. Ngay sau đó, vụ gian lận bị phanh phui.</w:t>
      </w:r>
    </w:p>
    <w:p>
      <w:pPr>
        <w:pStyle w:val="Heading4"/>
      </w:pPr>
      <w:r>
        <w:rPr>
          <w:rFonts w:ascii="Calibri" w:hAnsi="Calibri"/>
          <w:b/>
          <w:i w:val="0"/>
          <w:sz w:val="23"/>
        </w:rPr>
        <w:t>3. Tạo ra những dòng doanh thu mới đáng ngờ sau khi thương vụ khép lại</w:t>
      </w:r>
    </w:p>
    <w:p>
      <w:pPr>
        <w:spacing w:after="80"/>
      </w:pPr>
      <w:r>
        <w:rPr>
          <w:b w:val="0"/>
          <w:i w:val="0"/>
        </w:rPr>
        <w:t>Cả người mua lẫn người bán doanh nghiệp đều có sự linh hoạt lớn trong việc cấu trúc một thương vụ để tạo ra những dòng doanh thu tương lai đáng ngờ. Ví dụ, giả sử Người mua Ben muốn mua doanh nghiệp của Người bán Sam, và họ thống nhất mức giá 5 triệu đô, đúng bằng giá trị thị trường hợp lý của công ty. Sau đó Người mua Ben nói với Người bán Sam: "Thay vào đó tôi sẽ trả cho anh 6 triệu đô (thay vì 5 triệu đô), với điều kiện anh cũng đồng ý trả cho tôi phí cấp phép 1 triệu đô vào năm sau." Sự thay đổi này không có tác động kinh tế thực sự nào với cả Người mua Ben lẫn Người bán Sam, nhưng sự thay đổi trong cấu trúc cho phép Ben thể hiện thêm 1 triệu đô doanh thu trong năm sau thương vụ mua lại. Nghiêm túc đấy, kiểu vô lý này thực sự có xảy ra.</w:t>
      </w:r>
    </w:p>
    <w:p>
      <w:pPr>
        <w:pStyle w:val="Heading5"/>
      </w:pPr>
      <w:r>
        <w:rPr>
          <w:rFonts w:ascii="Calibri" w:hAnsi="Calibri"/>
          <w:b/>
          <w:i/>
          <w:sz w:val="22"/>
        </w:rPr>
        <w:t>Hãy để ý khi người mua hoặc người bán tạo ra một dòng doanh thu không định kỳ không liên quan</w:t>
      </w:r>
    </w:p>
    <w:p>
      <w:pPr>
        <w:spacing w:after="80"/>
      </w:pPr>
      <w:r>
        <w:rPr>
          <w:b w:val="0"/>
          <w:i w:val="0"/>
        </w:rPr>
        <w:t>Đôi khi, chúng ta thấy người mua hoặc người bán doanh nghiệp khéo léo tạo ra một dòng doanh thu định kỳ bằng cách gói ghém một thỏa thuận có vẻ không liên quan vào phần kế toán mua lại.</w:t>
      </w:r>
    </w:p>
    <w:p>
      <w:pPr>
        <w:spacing w:after="80"/>
      </w:pPr>
      <w:r>
        <w:rPr>
          <w:b w:val="0"/>
          <w:i w:val="0"/>
        </w:rPr>
        <w:t>Một kế hoạch khéo léo để tạo ra doanh thu từ hư không, lấy vỏ bọc là một thương vụ mua lại, đã được FPA Medical (FPAM) sử dụng. Năm 1996, FPAM trả 197 triệu đô cho đơn vị vận hành viện dưỡng lão Foundation Health để mua một nhóm các phòng khám y tế. Tuy nhiên, như một phần của thương vụ mua lại, FPAM đảm bảo rằng bệnh nhân của Foundation sẽ được tiếp cận liên tục và không bị gián đoạn trong 30 năm tiếp theo. Đổi lại, Foundation (bên bán) đồng ý trả cho FPAM 55 triệu đô tiền hoàn lại trong hai năm. Khi FPAM nhận được khoản thanh toán 27,5 triệu đô mỗi năm, nó ghi nhận những khoản này là doanh thu bán hàng. Khi chúng tôi suy xét bản chất của giao dịch này, chúng tôi thấy việc ghi nhận bất kỳ doanh thu nào cho giao dịch này là khá táo bạo. Về mặt kinh tế thực sự, FPAM trả 197 triệu đô và nhận 55 triệu đô tiền hoàn lại trong hai năm, dẫn đến chi phí mua lại ròng là 142 triệu đô và không có doanh thu nào từ thương vụ này.</w:t>
      </w:r>
    </w:p>
    <w:p>
      <w:pPr>
        <w:pStyle w:val="Heading5"/>
      </w:pPr>
      <w:r>
        <w:rPr>
          <w:rFonts w:ascii="Calibri" w:hAnsi="Calibri"/>
          <w:b/>
          <w:i/>
          <w:sz w:val="22"/>
        </w:rPr>
        <w:t>Biến việc bán một doanh nghiệp thành một dòng doanh thu định kỳ</w:t>
      </w:r>
    </w:p>
    <w:p>
      <w:pPr>
        <w:spacing w:after="80"/>
      </w:pPr>
      <w:r>
        <w:rPr>
          <w:b w:val="0"/>
          <w:i w:val="0"/>
        </w:rPr>
        <w:t>Một số công ty sẽ bán một nhà máy sản xuất hoặc một đơn vị kinh doanh cho công ty khác, đồng thời ký một thỏa thuận mua lại sản phẩm từ đơn vị kinh doanh đã bán đó. Giống như thương vụ FPAM-Foundation, khi dòng tiền chảy theo hai hướng, cơ hội để chơi trò chơi về cách phân loại các dòng tiền này là vô số.</w:t>
      </w:r>
    </w:p>
    <w:p>
      <w:pPr>
        <w:spacing w:after="80"/>
      </w:pPr>
      <w:r>
        <w:rPr>
          <w:b w:val="0"/>
          <w:i w:val="0"/>
        </w:rPr>
        <w:t>Hãy xem xét thương vụ tháng 11 năm 2006 giữa gã khổng lồ bán dẫn Intel và nhà sản xuất chip đồng nghiệp Marvell Technology Group. Intel đồng ý bán một số tài sản cho Marvell. Đồng thời, Marvell đồng ý mua một số lượng tối thiểu tấm bán dẫn (wafer) từ Intel trong hai năm tiếp theo.</w:t>
      </w:r>
    </w:p>
    <w:p>
      <w:pPr>
        <w:spacing w:after="80"/>
      </w:pPr>
      <w:r>
        <w:rPr>
          <w:b w:val="0"/>
          <w:i w:val="0"/>
        </w:rPr>
        <w:t xml:space="preserve">Khi nghiên cứu phần chú thích của báo cáo tài chính của cả hai công ty, chúng tôi biết được rằng Intel định giá mảng kinh doanh này dưới giá trị thị trường (có lẽ là để ghi nhận khoản lãi nhỏ hơn từ thương vụ bán đó), nhưng nó được bù đắp đầy đủ khi Marvell đồng ý sau đó mua wafer với </w:t>
      </w:r>
      <w:r>
        <w:rPr>
          <w:b w:val="0"/>
          <w:i/>
        </w:rPr>
        <w:t>giá cao hơn giá thị trường</w:t>
      </w:r>
      <w:r>
        <w:rPr>
          <w:b w:val="0"/>
          <w:i w:val="0"/>
        </w:rPr>
        <w:t xml:space="preserve"> (qua đó tạo ra một dòng doanh thu định kỳ mới và bị thổi phồng). Tóm lại, Intel đã dùng một trò gian dối dẫn đến việc dịch chuyển một phần khoản lãi một lần liên quan đến việc bán tài sản để làm tăng doanh thu định kỳ từ việc bán sản phẩm cho khách hàng.</w:t>
      </w:r>
    </w:p>
    <w:p>
      <w:pPr>
        <w:spacing w:after="80"/>
      </w:pPr>
      <w:r>
        <w:rPr>
          <w:b/>
          <w:i/>
        </w:rPr>
        <w:t>Hãy đặt câu hỏi với ban điều hành của bên mua khi việc thay đổi các phương pháp kế toán của công ty mục tiêu làm thổi phồng lợi nhuận</w:t>
      </w:r>
      <w:r>
        <w:rPr>
          <w:b w:val="0"/>
          <w:i w:val="0"/>
        </w:rPr>
        <w:t xml:space="preserve"> Trong khi trò gian dối kế toán đầu tiên cho thấy công ty mục tiêu có thể chơi trò chơi để hỗ trợ bên mua, thì công ty đi mua vẫn còn nhiều quân bài để chơi nhằm thổi phồng lợi nhuận </w:t>
      </w:r>
      <w:r>
        <w:rPr>
          <w:b w:val="0"/>
          <w:i/>
        </w:rPr>
        <w:t>sau khi</w:t>
      </w:r>
      <w:r>
        <w:rPr>
          <w:b w:val="0"/>
          <w:i w:val="0"/>
        </w:rPr>
        <w:t xml:space="preserve"> thương vụ khép lại. Nhớ lại rằng ở Chương 3 chúng ta đã bàn về thay đổi kế toán được thực hiện ngay sau khi Valeant mua lại Medicis. Trong quý đầu tiên sau khi thương vụ khép lại, Valeant đã thay đổi chính sách ghi nhận doanh thu cho Medicis để doanh số được ghi nhận sớm hơn, qua đó thổi phồng doanh thu và lợi nhuận của Valeant. Medicis bán hàng qua nhà phân phối McKesson, rồi McKesson bán cho khách hàng của mình là các bác sĩ. Medicis trước đây dùng phương pháp "bán qua" (sell-through) thận trọng hơn, nghĩa là không ghi nhận doanh số cho đến khi nhà phân phối bán cho các bác sĩ. Để thúc doanh số tại đơn vị Medicis sau khi thương vụ khép lại, Valeant đã để Medicis ngay lập tức chuyển sang phương pháp "bán vào" (sell-in) táo bạo hơn và bắt đầu ghi nhận doanh số sớm hơn nhiều—khi sản phẩm được gửi đến nhà phân phối. Không ngạc nhiên, sự thay đổi trắng trợn trong ghi nhận doanh thu này đã thu hút sự chú ý của SEC, cơ quan đã gửi thông báo cho công ty bằng một lá thư chính thức và yêu cầu công ty giải thích mọi lý do cho sự thay đổi này.</w:t>
      </w:r>
    </w:p>
    <w:p>
      <w:pPr>
        <w:pStyle w:val="Heading4"/>
      </w:pPr>
      <w:r>
        <w:rPr>
          <w:rFonts w:ascii="Calibri" w:hAnsi="Calibri"/>
          <w:b/>
          <w:i w:val="0"/>
          <w:sz w:val="23"/>
        </w:rPr>
        <w:t>4. Thổi phồng lợi nhuận bằng cách giải phóng các khoản dự phòng đáng ngờ trước hoặc ngay sau khi thương vụ khép lại</w:t>
      </w:r>
    </w:p>
    <w:p>
      <w:pPr>
        <w:spacing w:after="80"/>
      </w:pPr>
      <w:r>
        <w:rPr>
          <w:b w:val="0"/>
          <w:i w:val="0"/>
        </w:rPr>
        <w:t>Trong quá trình khép lại một thương vụ, nhiều cơ hội mới được tạo ra để ban điều hành tạo ra một cú hích nhân tạo cho thu nhập vào một thời điểm sau đó. Ban điều hành có thể bao gồm việc ghi nhận một khoản chi phí cho việc sa thải nhân viên hoặc các khoản thanh toán pháp lý dự kiến và sau đó giải phóng một phần các khoản dự phòng này trở lại vào thu nhập khi ban điều hành cho rằng những khoản thanh toán đó sẽ ít hơn nhiều so với dự kiến ban đầu (ví dụ điển hình nhất của trò gian dối này là CUC, được khắc họa ở Chương 1). Bên mua cũng có thể lập một khoản dự phòng lớn hơn mức cần thiết cho các khoản thanh toán khoản đền bù tiềm tàng có thể phải trả cho các chủ sở hữu của công ty mục tiêu, rồi sau đó giải phóng một phần các khoản dự phòng trở lại vào thu nhập khi chúng được cho là không cần thiết nữa.</w:t>
      </w:r>
    </w:p>
    <w:p>
      <w:pPr>
        <w:pStyle w:val="Heading5"/>
      </w:pPr>
      <w:r>
        <w:rPr>
          <w:rFonts w:ascii="Calibri" w:hAnsi="Calibri"/>
          <w:b/>
          <w:i/>
          <w:sz w:val="22"/>
        </w:rPr>
        <w:t>Giải phóng các khoản dự phòng liên quan đến thương vụ khi các khoản thanh toán tiềm tàng có thể phải trả</w:t>
      </w:r>
    </w:p>
    <w:p>
      <w:pPr>
        <w:spacing w:after="80"/>
      </w:pPr>
      <w:r>
        <w:rPr>
          <w:b w:val="0"/>
          <w:i w:val="0"/>
        </w:rPr>
        <w:t xml:space="preserve">Giả sử bạn mua một doanh nghiệp với giá 60 triệu đô-la và sau này có thể phải trả thêm một khoản "earn-out" (khoản thanh toán theo kết quả kinh doanh) lên tới 40 triệu đô-la nữa nếu doanh nghiệp được mua đạt được những mục tiêu đã thỏa thuận. Khoản 40 triệu đô-la đó sẽ được ghi nhận là "nghĩa vụ nợ khoản thanh toán tiềm tàng" (contingent consideration liability) trên Bảng cân đối kế toán. Giả sử một năm sau, doanh nghiệp hoạt động </w:t>
      </w:r>
      <w:r>
        <w:rPr>
          <w:b w:val="0"/>
          <w:i/>
        </w:rPr>
        <w:t>dưới</w:t>
      </w:r>
      <w:r>
        <w:rPr>
          <w:b w:val="0"/>
          <w:i w:val="0"/>
        </w:rPr>
        <w:t xml:space="preserve"> mức kỳ vọng và khoản phải trả dự kiến giảm xuống còn 30 triệu đô-la. Bạn phải thực hiện một bút toán kế toán giảm (ghi nợ) khoản dự phòng thanh toán tiềm tàng và giảm (ghi có) chi phí hoạt động, dẫn đến lợi nhuận tăng thêm 10 triệu đô-la. Nhìn bề ngoài, kết quả này có vẻ vô lý. Bạn </w:t>
      </w:r>
      <w:r>
        <w:rPr>
          <w:b w:val="0"/>
          <w:i/>
        </w:rPr>
        <w:t>tăng</w:t>
      </w:r>
      <w:r>
        <w:rPr>
          <w:b w:val="0"/>
          <w:i w:val="0"/>
        </w:rPr>
        <w:t xml:space="preserve"> lợi nhuận khi doanh nghiệp bạn mua lại </w:t>
      </w:r>
      <w:r>
        <w:rPr>
          <w:b w:val="0"/>
          <w:i/>
        </w:rPr>
        <w:t>hoạt động kém</w:t>
      </w:r>
      <w:r>
        <w:rPr>
          <w:b w:val="0"/>
          <w:i w:val="0"/>
        </w:rPr>
        <w:t>. Tuy nhiên, dưới góc độ kế toán, việc giảm khoản earn-out trong tương lai được coi là một khoản lãi.</w:t>
      </w:r>
    </w:p>
    <w:p>
      <w:pPr>
        <w:spacing w:after="80"/>
      </w:pPr>
      <w:r>
        <w:rPr>
          <w:b w:val="0"/>
          <w:i w:val="0"/>
        </w:rPr>
        <w:t>Nếu một công ty muốn chơi trò với khoản dự phòng thanh toán tiềm tàng của mình, thì việc đó khá dễ dàng. Bằng cách vừa thổi phồng giá trị thị trường hợp lý ban đầu của tổng các khoản thanh toán ước tính sẽ phải trả, vừa sau đó khẳng định rằng doanh nghiệp được mua đang hoạt động kém (và sẽ có rất ít hoặc không có khoản thanh toán nào trong tương lai), ban lãnh đạo, giống như một ảo thuật gia bậc thầy, có thể rút cây đũa thần của mình ra và tạo ra lợi nhuận từ hư không.</w:t>
      </w:r>
    </w:p>
    <w:p>
      <w:pPr>
        <w:spacing w:after="80"/>
      </w:pPr>
      <w:r>
        <w:rPr>
          <w:b/>
          <w:i/>
        </w:rPr>
        <w:t>Coi chừng những khoản lãi lớn từ việc giảm nghĩa vụ nợ khoản thanh toán tiềm tàng</w:t>
      </w:r>
      <w:r>
        <w:rPr>
          <w:b w:val="0"/>
          <w:i w:val="0"/>
        </w:rPr>
        <w:t xml:space="preserve"> Gã khổng lồ ngành sản xuất hàng may mặc Li &amp; Fung đã gia tăng đáng kể thu nhập hoạt động của mình trong sáu tháng đầu năm 2012 bằng cách hạ thấp nghĩa vụ nợ khoản thanh toán tiềm tàng liên quan đến thương vụ mua lại từ các khoản earn-out tiềm năng. Quyết định quản lý đơn giản này đã mang lại khoản lãi 198 triệu đô-la (51 phần trăm lợi nhuận hoạt động của công ty) trong giai đoạn sáu tháng đó. Các nhà đầu tư lẽ ra phải nêu lên lo ngại về kết quả hoạt động đáng thất vọng của các doanh nghiệp được mua lại, bởi vì việc giảm nghĩa vụ nợ tiềm tàng cho thấy rằng một số doanh nghiệp được mua lại hẳn đã không đạt được các mục tiêu hoạt động mà Li &amp; Fung đặt ra tại thời điểm mua lại.</w:t>
      </w:r>
    </w:p>
    <w:p>
      <w:pPr>
        <w:pStyle w:val="Heading3"/>
      </w:pPr>
      <w:r>
        <w:rPr>
          <w:rFonts w:ascii="Calibri" w:hAnsi="Calibri"/>
          <w:b/>
          <w:i w:val="0"/>
          <w:sz w:val="26"/>
        </w:rPr>
        <w:t>Nhìn về phía trước</w:t>
      </w:r>
    </w:p>
    <w:p>
      <w:pPr>
        <w:spacing w:after="80"/>
      </w:pPr>
      <w:r>
        <w:rPr>
          <w:b w:val="0"/>
          <w:i w:val="0"/>
        </w:rPr>
        <w:t>Chương 15 đã trình bày cách các nhà quản lý, dưới vỏ bọc của một thương vụ mua lại, có thể khéo léo thổi phồng lợi nhuận và lừa gạt nhà đầu tư. Chương tiếp theo sẽ cho thấy cách các nhà quản lý có thể sử dụng cấu trúc và tính linh hoạt của thương vụ mua lại để thổi phồng dòng tiền báo cáo từ hoạt động kinh doanh.</w:t>
      </w:r>
    </w:p>
    <w:p>
      <w:pPr>
        <w:pStyle w:val="Heading2"/>
      </w:pPr>
      <w:r>
        <w:rPr>
          <w:rFonts w:ascii="Calibri" w:hAnsi="Calibri"/>
          <w:b/>
          <w:i w:val="0"/>
          <w:sz w:val="32"/>
        </w:rPr>
        <w:t>16</w:t>
      </w:r>
    </w:p>
    <w:p>
      <w:pPr>
        <w:pStyle w:val="Heading2"/>
      </w:pPr>
      <w:r>
        <w:rPr>
          <w:rFonts w:ascii="Calibri" w:hAnsi="Calibri"/>
          <w:b/>
          <w:i w:val="0"/>
          <w:sz w:val="32"/>
        </w:rPr>
        <w:t>Thủ thuật kế toán mua lại số 2: Thổi phồng dòng tiền báo cáo</w:t>
      </w:r>
    </w:p>
    <w:p>
      <w:pPr>
        <w:spacing w:after="80"/>
      </w:pPr>
      <w:r>
        <w:rPr>
          <w:b w:val="0"/>
          <w:i w:val="0"/>
        </w:rPr>
        <w:t xml:space="preserve">Thứ Sáu sau Lễ Tạ ơn thường được coi là ngày khởi đầu không chính thức của mùa mua sắm lễ hội. Theo truyền thống, đây là một trong những ngày mua sắm lớn nhất trong năm, nếu không muốn nói là ngày </w:t>
      </w:r>
      <w:r>
        <w:rPr>
          <w:b w:val="0"/>
          <w:i/>
        </w:rPr>
        <w:t>lớn nhất</w:t>
      </w:r>
      <w:r>
        <w:rPr>
          <w:b w:val="0"/>
          <w:i w:val="0"/>
        </w:rPr>
        <w:t>. Ngày này từ lâu đã được gọi là "Black Friday" (Thứ Sáu Đen) vì nhiều người hy vọng rằng đây sẽ là ngày mà các nhà bán lẻ chuyển "vào vùng đen" (tiếng lóng kế toán chỉ việc "có lãi") trong năm. Mỗi khi Black Friday đến gần, các nhà bán lẻ lại nhanh chóng nhắc nhở chúng ta về tất cả những việc mua sắm lễ hội mà chúng ta cần làm. Họ tung ra các đợt giảm giá khổng lồ và tràn ngập sóng phát thanh lẫn báo in bằng những quảng cáo "Mua sắm đến khi gục ngã" nhằm dụ chúng ta vào cửa hàng của họ.</w:t>
      </w:r>
    </w:p>
    <w:p>
      <w:pPr>
        <w:spacing w:after="80"/>
      </w:pPr>
      <w:r>
        <w:rPr>
          <w:b w:val="0"/>
          <w:i w:val="0"/>
        </w:rPr>
        <w:t>Tyco và WorldCom dường như tuân thủ câu thần chú "Mua sắm đến khi gục ngã" khá theo đúng nghĩa đen; tuy nhiên, họ mua cả những doanh nghiệp trọn vẹn, và mùa lễ hội của họ kéo dài suốt cả năm trong nhiều năm. Vào cuối thập niên 1990 và đầu thập niên 2000, cả hai công ty đều lao vào những cuộc mua sắm xa hoa, thâu tóm hết doanh nghiệp này đến doanh nghiệp khác để thúc đẩy kết quả hoạt động ấn tượng. Tuy nhiên, tăng trưởng nội tại của Tyco và WorldCom yếu hơn nhiều so với những gì nhà đầu tư nhận ra, khi các công ty này che giấu vấn đề của mình bằng cách mua lại vô số công ty và mày mò với kế toán để cho ra những kết quả ấn tượng. Họ mua sắm và mua sắm—cho đến khi những vụ gian lận kế toán khổng lồ của họ bị phơi bày khiến họ gục ngã như một tấn gạch đổ xuống.</w:t>
      </w:r>
    </w:p>
    <w:p>
      <w:pPr>
        <w:spacing w:after="80"/>
      </w:pPr>
      <w:r>
        <w:rPr>
          <w:b w:val="0"/>
          <w:i w:val="0"/>
        </w:rPr>
        <w:t>Suốt những cuộc mua sắm của mình, cả hai công ty đều làm hài lòng nhà đầu tư và dập tắt những người hoài nghi bằng cách liên tục báo cáo dòng tiền mạnh từ hoạt động kinh doanh. Tuy nhiên, dòng tiền này hoàn toàn không phải là dấu hiệu của sức mạnh hoạt động. Thay vào đó, nó chủ yếu đến từ việc sử dụng thoáng tay Thủ thuật kế toán mua lại số 2: Thổi phồng dòng tiền báo cáo.</w:t>
      </w:r>
    </w:p>
    <w:p>
      <w:pPr>
        <w:spacing w:after="80"/>
      </w:pPr>
      <w:r>
        <w:rPr>
          <w:b w:val="0"/>
          <w:i w:val="0"/>
        </w:rPr>
        <w:t>Trong chương này, chúng ta sẽ thảo luận ba kỹ thuật mà Tyco, WorldCom và các công ty khác sử dụng các thương vụ mua lại và thoái vốn để nâng cao và tô điểm CFFO (dòng tiền từ hoạt động kinh doanh).</w:t>
      </w:r>
    </w:p>
    <w:p>
      <w:pPr>
        <w:pStyle w:val="Heading3"/>
      </w:pPr>
      <w:r>
        <w:rPr>
          <w:rFonts w:ascii="Calibri" w:hAnsi="Calibri"/>
          <w:b/>
          <w:i w:val="0"/>
          <w:sz w:val="26"/>
        </w:rPr>
        <w:t>Các kỹ thuật kế toán mua lại để thổi phồng dòng tiền từ hoạt động kinh doanh một cách nhân tạo</w:t>
      </w:r>
    </w:p>
    <w:p>
      <w:pPr>
        <w:spacing w:after="80"/>
      </w:pPr>
      <w:r>
        <w:rPr>
          <w:b w:val="0"/>
          <w:i w:val="0"/>
        </w:rPr>
        <w:t>1. Thừa hưởng dòng tiền vào từ hoạt động trong một thương vụ mua lại doanh nghiệp thông thường</w:t>
      </w:r>
    </w:p>
    <w:p>
      <w:pPr>
        <w:spacing w:after="80"/>
      </w:pPr>
      <w:r>
        <w:rPr>
          <w:b w:val="0"/>
          <w:i w:val="0"/>
        </w:rPr>
        <w:t>2. Mua lại các hợp đồng hoặc khách hàng thay vì tự phát triển chúng trong nội bộ</w:t>
      </w:r>
    </w:p>
    <w:p>
      <w:pPr>
        <w:spacing w:after="80"/>
      </w:pPr>
      <w:r>
        <w:rPr>
          <w:b w:val="0"/>
          <w:i w:val="0"/>
        </w:rPr>
        <w:t>3. Thổi phồng CFFO bằng cách cấu trúc sáng tạo việc bán một doanh nghiệp</w:t>
      </w:r>
    </w:p>
    <w:p>
      <w:pPr>
        <w:pStyle w:val="Heading4"/>
      </w:pPr>
      <w:r>
        <w:rPr>
          <w:rFonts w:ascii="Calibri" w:hAnsi="Calibri"/>
          <w:b/>
          <w:i w:val="0"/>
          <w:sz w:val="23"/>
        </w:rPr>
        <w:t>1. Thừa hưởng dòng tiền vào từ hoạt động kinh doanh trong một thương vụ mua lại doanh nghiệp thông thường</w:t>
      </w:r>
    </w:p>
    <w:p>
      <w:pPr>
        <w:spacing w:after="80"/>
      </w:pPr>
      <w:r>
        <w:rPr>
          <w:b w:val="0"/>
          <w:i w:val="0"/>
        </w:rPr>
        <w:t>Các thủ thuật dịch chuyển dòng tiền trong chương này có nhiều điểm tương đồng với những thủ thuật chúng ta đã bàn ở Chương 11; chúng đều là sự dịch chuyển giữa phần Hoạt động kinh doanh (Operating) và các phần khác. Tuy nhiên, trong chương này, chúng ta chỉ tập trung vào những dịch chuyển liên quan đến mua lại và thanh lý. Hai kỹ thuật đầu tiên trong chương này liên quan đến việc dịch chuyển dòng tiền ra khỏi phần Hoạt động kinh doanh sang phần Đầu tư (Investing), như thể hiện trong Hình 16-1.</w:t>
      </w:r>
    </w:p>
    <w:p>
      <w:pPr>
        <w:spacing w:after="80"/>
      </w:pPr>
      <w:r>
        <w:rPr>
          <w:b w:val="0"/>
          <w:i w:val="0"/>
        </w:rPr>
        <w:t>Những công ty cuồng mua lại như Tyco và WorldCom thường báo cáo CFFO (dòng tiền từ hoạt động kinh doanh) ấn tượng hết quý này đến quý khác. Đối mặt với sự mờ mịt vốn có mỗi khi nhiều bộ báo cáo tài chính đột ngột được hợp nhất lại, các nhà đầu tư vào những loại công ty này thường dựa dẫm nhiều hơn vào việc tạo ra CFFO như một dấu hiệu của sức mạnh kinh doanh và chất lượng lợi nhuận. Đáng tiếc thay, việc quá phụ thuộc vào CFFO đối với các công ty hay mua lại là một lựa chọn thiếu khôn ngoan, bởi vì có một bí mật sâu kín, đen tối mà các công ty muốn giấu nhà đầu tư.</w:t>
      </w:r>
    </w:p>
    <w:p>
      <w:pPr>
        <w:spacing w:after="80"/>
      </w:pPr>
      <w:r>
        <w:rPr>
          <w:b/>
          <w:i w:val="0"/>
        </w:rPr>
        <w:t>Hình 16-1</w:t>
      </w:r>
      <w:r>
        <w:rPr>
          <w:b w:val="0"/>
          <w:i w:val="0"/>
        </w:rPr>
        <w:t xml:space="preserve"> Dịch chuyển dòng tiền ra từ hoạt động kinh doanh sang hoạt động đầu tư</w:t>
      </w:r>
    </w:p>
    <w:p>
      <w:pPr>
        <w:jc w:val="center"/>
      </w:pPr>
      <w:r>
        <w:drawing>
          <wp:inline xmlns:a="http://schemas.openxmlformats.org/drawingml/2006/main" xmlns:pic="http://schemas.openxmlformats.org/drawingml/2006/picture">
            <wp:extent cx="5486400" cy="2123949"/>
            <wp:docPr id="53" name="Picture 53"/>
            <wp:cNvGraphicFramePr>
              <a:graphicFrameLocks noChangeAspect="1"/>
            </wp:cNvGraphicFramePr>
            <a:graphic>
              <a:graphicData uri="http://schemas.openxmlformats.org/drawingml/2006/picture">
                <pic:pic>
                  <pic:nvPicPr>
                    <pic:cNvPr id="0" name="00027.jpeg"/>
                    <pic:cNvPicPr/>
                  </pic:nvPicPr>
                  <pic:blipFill>
                    <a:blip r:embed="rId61"/>
                    <a:stretch>
                      <a:fillRect/>
                    </a:stretch>
                  </pic:blipFill>
                  <pic:spPr>
                    <a:xfrm>
                      <a:off x="0" y="0"/>
                      <a:ext cx="5486400" cy="2123949"/>
                    </a:xfrm>
                    <a:prstGeom prst="rect"/>
                  </pic:spPr>
                </pic:pic>
              </a:graphicData>
            </a:graphic>
          </wp:inline>
        </w:drawing>
      </w:r>
    </w:p>
    <w:p>
      <w:pPr>
        <w:spacing w:after="80"/>
      </w:pPr>
      <w:r>
        <w:rPr>
          <w:b w:val="0"/>
          <w:i w:val="0"/>
        </w:rPr>
        <w:t xml:space="preserve">Bí mật này liên quan đến một điểm dị thường trong kế toán (đọc là "lỗ hổng") cho phép các công ty hay mua lại thể hiện CFFO mạnh mẽ mỗi quý </w:t>
      </w:r>
      <w:r>
        <w:rPr>
          <w:b w:val="0"/>
          <w:i/>
        </w:rPr>
        <w:t>đơn giản chỉ vì họ đang mua lại các doanh nghiệp khác</w:t>
      </w:r>
      <w:r>
        <w:rPr>
          <w:b w:val="0"/>
          <w:i w:val="0"/>
        </w:rPr>
        <w:t>. Nói cách khác, chính hành động mua lại một công ty cũng mang lại lợi ích cho CFFO. Sao lại có thể như vậy? À, đó là một tác dụng phụ kỳ lạ từ các quy tắc kế toán vốn phân tách dòng tiền thành ba phần. Điểm dị thường này khá đơn giản và dễ hiểu.</w:t>
      </w:r>
    </w:p>
    <w:p>
      <w:pPr>
        <w:spacing w:after="80"/>
      </w:pPr>
      <w:r>
        <w:rPr>
          <w:b w:val="0"/>
          <w:i w:val="0"/>
        </w:rPr>
        <w:t xml:space="preserve">Hãy tưởng tượng bạn là một công ty đang chuẩn bị thực hiện một thương vụ mua lại doanh nghiệp. Khi bạn trả tiền cho thương vụ mua lại, bạn làm vậy mà không ảnh hưởng đến CFFO. Nếu bạn mua công ty bằng tiền mặt, khoản thanh toán được ghi nhận là một </w:t>
      </w:r>
      <w:r>
        <w:rPr>
          <w:b w:val="0"/>
          <w:i/>
        </w:rPr>
        <w:t>dòng tiền ra từ đầu tư</w:t>
      </w:r>
      <w:r>
        <w:rPr>
          <w:b w:val="0"/>
          <w:i w:val="0"/>
        </w:rPr>
        <w:t>. Nếu bạn đề nghị trả bằng cổ phiếu thay vào đó, thì tất nhiên, không có dòng tiền ra nào cả.</w:t>
      </w:r>
    </w:p>
    <w:p>
      <w:pPr>
        <w:spacing w:after="80"/>
      </w:pPr>
      <w:r>
        <w:rPr>
          <w:b w:val="0"/>
          <w:i w:val="0"/>
        </w:rPr>
        <w:t xml:space="preserve">Ngay khi bạn nắm quyền kiểm soát công ty, mọi khoản thu chi của doanh nghiệp được mua lại đều trở thành một phần trong hoạt động kinh doanh của công ty hợp nhất. Ví dụ, khi công ty mới được mua lại thực hiện một giao dịch bán hàng, bạn ghi nhận giao dịch bán đó vào Báo cáo Kết quả Kinh doanh (Income Statement) như doanh thu. Tương tự, khi công ty mới được mua lại thu tiền từ khách hàng, bạn ghi nhận khoản thu đó vào Báo cáo Lưu chuyển Tiền tệ (Statement of Cash Flows - SCF) như một dòng tiền vào từ hoạt động kinh doanh. Hãy nghĩ về những hàm ý dòng tiền của tình huống này. Thứ nhất, bạn có thể tạo ra một dòng tiền mới (doanh nghiệp được mua lại) mà không cần bất kỳ dòng tiền ra CFFO ban đầu nào. Ngược lại, những công ty tìm cách phát triển kinh doanh </w:t>
      </w:r>
      <w:r>
        <w:rPr>
          <w:b w:val="0"/>
          <w:i/>
        </w:rPr>
        <w:t>một cách hữu cơ</w:t>
      </w:r>
      <w:r>
        <w:rPr>
          <w:b w:val="0"/>
          <w:i w:val="0"/>
        </w:rPr>
        <w:t xml:space="preserve"> thường sẽ phải chịu dòng tiền ra CFFO trước tiên để xây dựng doanh nghiệp mới.</w:t>
      </w:r>
    </w:p>
    <w:p>
      <w:pPr>
        <w:spacing w:after="80"/>
      </w:pPr>
      <w:r>
        <w:rPr>
          <w:b w:val="0"/>
          <w:i w:val="0"/>
        </w:rPr>
        <w:t xml:space="preserve">Thêm nữa, giờ đây khi bạn đã thừa hưởng các khoản phải thu và hàng tồn kho của doanh nghiệp được mua lại, bạn có thể tạo ra một lợi ích CFFO không bền vững bằng cách nhanh chóng thanh lý những tài sản này (tức là bằng cách thu các khoản phải thu và bán hàng tồn kho). Thông thường, các khoản phải thu phát sinh từ những khoản chi tiền mặt trong quá khứ (ví dụ, tiền mặt đã trả để mua hoặc sản xuất hàng tồn kho đã bán). Nói cách khác, một dòng tiền vào từ việc thu khoản phải thu chỉ đến sau khi bạn đã có một dòng tiền ra để tạo ra khoản phải thu đó. Tuy nhiên, khi bạn mua lại một công ty và thừa hưởng các khoản phải thu của nó, những dòng tiền ra liên quan đến việc tạo ra các khoản phải thu đó đã được ghi nhận trên sổ sách của công ty được mua lại trước thương vụ mua lại. Điều này có nghĩa là khi bạn thu những khoản phải thu này, bạn sẽ nhận được một </w:t>
      </w:r>
      <w:r>
        <w:rPr>
          <w:b w:val="0"/>
          <w:i/>
        </w:rPr>
        <w:t>dòng tiền vào từ hoạt động kinh doanh</w:t>
      </w:r>
      <w:r>
        <w:rPr>
          <w:b w:val="0"/>
          <w:i w:val="0"/>
        </w:rPr>
        <w:t xml:space="preserve"> mà chưa từng ghi nhận một </w:t>
      </w:r>
      <w:r>
        <w:rPr>
          <w:b w:val="0"/>
          <w:i/>
        </w:rPr>
        <w:t>dòng tiền ra từ hoạt động kinh doanh</w:t>
      </w:r>
      <w:r>
        <w:rPr>
          <w:b w:val="0"/>
          <w:i w:val="0"/>
        </w:rPr>
        <w:t xml:space="preserve"> tương ứng nào. Điều tương tự cũng đúng với hàng tồn kho. Số tiền thu được từ việc bán hàng tồn kho thừa hưởng trong một thương vụ mua lại sẽ được ghi nhận là dòng tiền vào từ hoạt động kinh doanh, dù chưa từng có dòng tiền ra từ hoạt động kinh doanh nào xảy ra.</w:t>
      </w:r>
    </w:p>
    <w:p>
      <w:pPr>
        <w:spacing w:after="80"/>
      </w:pPr>
      <w:r>
        <w:rPr>
          <w:b w:val="0"/>
          <w:i w:val="0"/>
        </w:rPr>
        <w:t xml:space="preserve">Hãy nghĩ theo cách này: tiền mặt chi ra để mua hàng tồn kho và các chi phí khác liên quan đến việc bán hàng </w:t>
      </w:r>
      <w:r>
        <w:rPr>
          <w:b w:val="0"/>
          <w:i/>
        </w:rPr>
        <w:t>đã phát sinh trước thương vụ mua lại</w:t>
      </w:r>
      <w:r>
        <w:rPr>
          <w:b w:val="0"/>
          <w:i w:val="0"/>
        </w:rPr>
        <w:t>, và khi bạn chốt thương vụ, rõ ràng bạn phải trả cho người bán tiền hàng tồn kho, các khoản phải thu, v.v., nhưng những dòng tiền ra đó được phản ánh trong phần Đầu tư. Rồi sau khi thương vụ chốt, bạn thu về tất cả số tiền mặt ngon lành đó từ khách hàng và thể hiện nó như dòng tiền vào trong phần Hoạt động kinh doanh. Bằng cách thanh lý và không bổ sung lại những tài sản này (tức là giữ hàng tồn kho của doanh nghiệp được mua lại ở mức thấp hơn), bạn có thể thể hiện một lợi ích không bền vững cho dòng tiền. Tuyệt vời! Trong bối cảnh mua lại, dòng tiền ra không bao giờ chạm đến phần Hoạt động kinh doanh, vậy mà mọi dòng tiền vào đều chạm đến đó.</w:t>
      </w:r>
    </w:p>
    <w:p>
      <w:pPr>
        <w:spacing w:after="80"/>
      </w:pPr>
      <w:r>
        <w:rPr>
          <w:b w:val="0"/>
          <w:i w:val="0"/>
        </w:rPr>
        <w:t xml:space="preserve">Công bằng mà nói, khi các công ty thừa hưởng các khoản nợ vốn lưu động (như các khoản phải trả người bán), thì bên mua sẽ phải có trách nhiệm thanh toán cho các nhà cung cấp của người bán và số tiền mặt đã trả sẽ là một dòng tiền ra từ hoạt động kinh doanh. Tuy nhiên, hầu hết các thương vụ mua lại đều liên quan đến những công ty </w:t>
      </w:r>
      <w:r>
        <w:rPr>
          <w:b w:val="0"/>
          <w:i/>
        </w:rPr>
        <w:t>có vốn lưu động ròng dương</w:t>
      </w:r>
      <w:r>
        <w:rPr>
          <w:b w:val="0"/>
          <w:i w:val="0"/>
        </w:rPr>
        <w:t xml:space="preserve"> (nhiều khoản phải thu và hàng tồn kho hơn là khoản phải trả người bán).</w:t>
      </w:r>
    </w:p>
    <w:p>
      <w:pPr>
        <w:spacing w:after="80"/>
      </w:pPr>
      <w:r>
        <w:rPr>
          <w:b w:val="0"/>
          <w:i w:val="0"/>
        </w:rPr>
        <w:t>Hộp Kế toán: Tác động của kế toán mua lại lên CFFO</w:t>
      </w:r>
    </w:p>
    <w:p>
      <w:pPr>
        <w:spacing w:after="80"/>
      </w:pPr>
      <w:r>
        <w:rPr>
          <w:b w:val="0"/>
          <w:i w:val="0"/>
        </w:rPr>
        <w:t>Một điểm dị thường trong các quy tắc kế toán mang lại cho nhiều công ty một lợi ích cho CFFO chỉ nhờ việc mua lại một công ty. Khi một công ty phát triển một cách hữu cơ, đương nhiên, nó phải chịu dòng tiền ra CFFO (các khoản thanh toán để tạo ra và tiếp thị sản phẩm) để tạo ra dòng tiền vào CFFO (các khoản thu từ khách hàng). Tuy nhiên, một công ty phát triển bằng cách mua lại các doanh nghiệp khác sẽ phân loại một số dòng tiền ra CFFO liên quan đến vốn lưu động theo cách khác trên SCF. Tóm lại, vì toàn bộ giá mua lại (bao gồm cả vốn lưu động của công ty mục tiêu được mua lại) sẽ được đưa vào phần CFFI (dòng tiền từ hoạt động đầu tư) của SCF, nên đương nhiên, CFFO sẽ bị thổi phồng một cách nhân tạo.</w:t>
      </w:r>
    </w:p>
    <w:p>
      <w:pPr>
        <w:spacing w:after="80"/>
      </w:pPr>
      <w:r>
        <w:rPr>
          <w:b w:val="0"/>
          <w:i w:val="0"/>
        </w:rPr>
        <w:t>Để hiểu tại sao, hãy nhận ra rằng tiền mặt chi ra để mua lại một doanh nghiệp khác chạy qua phần Đầu tư của Báo cáo Lưu chuyển Tiền tệ (tất nhiên, cổ phiếu phát hành cho một thương vụ mua lại hoàn toàn không ảnh hưởng đến SCF). Kết quả là, khi mua một doanh nghiệp khác, các công ty thừa hưởng một dòng tiền mới mà không cần phải chịu dòng tiền ra CFFO nào. Hơn nữa, bằng cách thanh lý vốn lưu động của doanh nghiệp được mua lại, một công ty có thể tự mang lại cho mình một cú hích CFFO không bền vững. Những sắc thái kế toán này là lý do tại sao các công ty phát triển thông qua mua lại thường có vẻ có CFFO mạnh hơn các công ty phát triển một cách hữu cơ.</w:t>
      </w:r>
    </w:p>
    <w:p>
      <w:pPr>
        <w:spacing w:after="80"/>
      </w:pPr>
      <w:r>
        <w:rPr>
          <w:b w:val="0"/>
          <w:i w:val="0"/>
        </w:rPr>
        <w:t>Điều quan trọng cần nhận ra là vì cú hích CFFO này chỉ đơn thuần là một sản phẩm phụ của kế toán mua lại bắt buộc, nên ngay cả những công ty trung thực nhất cũng sẽ được hưởng lợi từ CFFO bị thổi phồng sau một thương vụ mua lại. Hơn nữa, cú hích này có thể khiến các thước đo "chất lượng lợi nhuận" (như so sánh CFFO với lợi nhuận ròng) trở nên tốt hơn, đặc biệt nếu một công ty không tham gia vào bất kỳ Thủ thuật Thao túng Lợi nhuận nào vào thời điểm mua lại.</w:t>
      </w:r>
    </w:p>
    <w:p>
      <w:pPr>
        <w:pStyle w:val="Heading5"/>
      </w:pPr>
      <w:r>
        <w:rPr>
          <w:rFonts w:ascii="Calibri" w:hAnsi="Calibri"/>
          <w:b/>
          <w:i/>
          <w:sz w:val="22"/>
        </w:rPr>
        <w:t>Những công ty mua lại liên tục nhận được cú hích CFFO này hết lần này đến lần khác</w:t>
      </w:r>
    </w:p>
    <w:p>
      <w:pPr>
        <w:spacing w:after="80"/>
      </w:pPr>
      <w:r>
        <w:rPr>
          <w:b w:val="0"/>
          <w:i w:val="0"/>
        </w:rPr>
        <w:t>Cho đến nay, chúng ta đã xác lập rằng về bản chất, các thương vụ mua lại có tác dụng thúc đẩy CFFO. Hãy xem xét tác động ở những công ty thực hiện vô số thương vụ mua lại mỗi năm, những công ty mua lại liên tục như Tyco và WorldCom. Nhiều nhà đầu tư chỉ trích những công ty mua lại liên tục vì chỉ có thể tạo ra tăng trưởng doanh thu và lợi nhuận một cách không hữu cơ bằng cách "cuốn gộp" (rolling up) các thương vụ mua lại.</w:t>
      </w:r>
    </w:p>
    <w:p>
      <w:pPr>
        <w:spacing w:after="80"/>
      </w:pPr>
      <w:r>
        <w:rPr>
          <w:b w:val="0"/>
          <w:i w:val="0"/>
        </w:rPr>
        <w:t>Những “roll-up” (công ty thâu tóm hàng loạt) này thường phủ nhận lời chỉ trích đó và viện dẫn CFFO của mình như bằng chứng rằng họ đang điều hành tốt các doanh nghiệp đã mua và tận dụng được lợi thế cộng hưởng. Nhiều nhà đầu tư tin vào chiêu thổi phồng này vì họ không hiểu bài học mà bạn vừa nắm được: CFFO được báo cáo cao hơn thực chất chỉ là một hệ quả kế toán phát sinh từ việc mua hàng loạt công ty mỗi năm.</w:t>
      </w:r>
    </w:p>
    <w:p>
      <w:pPr>
        <w:pStyle w:val="Heading5"/>
      </w:pPr>
      <w:r>
        <w:rPr>
          <w:rFonts w:ascii="Calibri" w:hAnsi="Calibri"/>
          <w:b/>
          <w:i/>
          <w:sz w:val="22"/>
        </w:rPr>
        <w:t>Đặt chữ “Con” vào Conglomerate (Tập đoàn đa ngành)</w:t>
      </w:r>
    </w:p>
    <w:p>
      <w:pPr>
        <w:spacing w:after="80"/>
      </w:pPr>
      <w:r>
        <w:rPr>
          <w:b w:val="0"/>
          <w:i w:val="0"/>
        </w:rPr>
        <w:t>Với một số công ty, những cú đẩy thuần túy vào dòng tiền này dường như vẫn chưa đủ. Họ muốn vắt thêm nhiều nước hơn nữa từ các thương vụ mua lại này. Hãy xem xét tình huống sau đây, dựa trên những cáo buộc trong các thủ tục pháp lý về hành vi của Tyco trong quá trình mua lại.</w:t>
      </w:r>
    </w:p>
    <w:p>
      <w:pPr>
        <w:spacing w:after="80"/>
      </w:pPr>
      <w:r>
        <w:rPr>
          <w:b w:val="0"/>
          <w:i w:val="0"/>
        </w:rPr>
        <w:t>Hãy tưởng tượng bạn làm việc trong phòng kế toán của một công ty vừa thông báo rằng mình sắp bị mua lại bởi một kẻ thâu tóm hàng loạt. Thương vụ mua lại chưa chính thức diễn ra, nhưng đây là một cuộc tiếp quản thân thiện với các điều khoản hấp dẫn, và thỏa thuận có khả năng sẽ hoàn tất trước cuối tháng. Các chủ sở hữu mới muốn bắt đầu phối hợp hoạt động.</w:t>
      </w:r>
    </w:p>
    <w:p>
      <w:pPr>
        <w:spacing w:after="80"/>
      </w:pPr>
      <w:r>
        <w:rPr>
          <w:b w:val="0"/>
          <w:i w:val="0"/>
        </w:rPr>
        <w:t>Một trong những giám đốc tài chính từ bên mua bước vào. Ông ta triệu tập một cuộc họp với cả nhóm và thảo luận một số khâu sắp xếp mà ông nói sẽ giúp quá trình chuyển giao diễn ra suôn sẻ hơn. Ông chỉ vào một chồng séc—các khoản thanh toán từ khách hàng mà bạn dự định nộp vào cuối ngày hôm đó. “Cậu thấy đống séc đó chứ? Tôi biết bình thường cậu nộp chúng vào cuối ngày, nhưng hãy tạm hoãn việc đó lại. Cất chúng vào ngăn kéo đi, vài tuần nữa chúng ta sẽ nộp. Và hãy gọi cho những khách hàng lớn nhất của chúng ta và bảo họ cứ hoãn thanh toán cho mình vài tuần. Tôi biết nghe có vẻ lạ, nhưng việc này sẽ ghi điểm với họ và đảm bảo họ giữ lòng trung thành trong suốt quá trình chuyển giao.</w:t>
      </w:r>
    </w:p>
    <w:p>
      <w:pPr>
        <w:spacing w:after="80"/>
      </w:pPr>
      <w:r>
        <w:rPr>
          <w:b w:val="0"/>
          <w:i w:val="0"/>
        </w:rPr>
        <w:t>“Và cậu thấy đống hóa đơn đó chứ? Tôi biết bình thường cậu đợi đến sát hạn mới thanh toán; tuy nhiên, hãy trả chúng càng sớm càng tốt. Thực ra, thử xem có thể trả trước cho bất kỳ nhà cung cấp nào không—tôi chắc những người đó sẽ sẵn lòng nhận tiền của mình và thậm chí có thể giảm giá cho mình. Mình chắc chắn có đủ tiền trong ngân hàng; hãy dùng nó cho hiệu quả.”</w:t>
      </w:r>
    </w:p>
    <w:p>
      <w:pPr>
        <w:spacing w:after="80"/>
      </w:pPr>
      <w:r>
        <w:rPr>
          <w:b w:val="0"/>
          <w:i w:val="0"/>
        </w:rPr>
        <w:t>Một ngày sau khi thương vụ mua lại hoàn tất, vị giám đốc quay lại. “Giờ chúng ta là một công ty rồi, đã đến lúc quay lại quy trình kinh doanh bình thường. Nộp ngay đống séc đó và bắt đầu thu tiền từ khách hàng. Và ngừng trả hóa đơn sớm đi—hãy đợi đến gần hạn.”</w:t>
      </w:r>
    </w:p>
    <w:p>
      <w:pPr>
        <w:spacing w:after="80"/>
      </w:pPr>
      <w:r>
        <w:rPr>
          <w:b w:val="0"/>
          <w:i w:val="0"/>
        </w:rPr>
        <w:t>Hãy nghĩ về tác động lên dòng tiền của tình huống này. CFFO của công ty mục tiêu thấp bất thường trong những tuần trước khi mua lại vì đã bỏ việc thu tiền và trả hóa đơn nhanh chóng. Tuy nhiên, một khi thương vụ mua lại hoàn tất, lại có một lượng khoản phải thu lớn bất thường cần thu và một lượng hóa đơn nhỏ bất thường cần trả. Điều này khiến CFFO của bộ phận bạn cao bất thường trong giai đoạn ngay sau khi mua lại.</w:t>
      </w:r>
    </w:p>
    <w:p>
      <w:pPr>
        <w:spacing w:after="80"/>
      </w:pPr>
      <w:r>
        <w:rPr>
          <w:b w:val="0"/>
          <w:i w:val="0"/>
        </w:rPr>
        <w:t>Vị giám đốc tài chính có một chiêu trong tay áo. Lý do ông bỏ việc thu tiền và trả trước cho nhà cung cấp chẳng liên quan gì đến việc tạo thiện chí. Ông dựng lên kế hoạch này để đẩy CFFO của công ty hợp nhất lên trong quý đầu tiên sau khi mua lại. Đúng là hiệu ứng của lợi ích này sẽ ngắn ngủi; tuy nhiên, vị giám đốc biết rằng kế hoạch có thể tiếp diễn nếu công ty cứ thâu tóm ngày càng nhiều thương vụ mỗi quý.</w:t>
      </w:r>
    </w:p>
    <w:p>
      <w:pPr>
        <w:pStyle w:val="Heading5"/>
      </w:pPr>
      <w:r>
        <w:rPr>
          <w:rFonts w:ascii="Calibri" w:hAnsi="Calibri"/>
          <w:b/>
          <w:i/>
          <w:sz w:val="22"/>
        </w:rPr>
        <w:t>Tyco: Ông tổ của mọi vụ thâu tóm hàng loạt</w:t>
      </w:r>
    </w:p>
    <w:p>
      <w:pPr>
        <w:spacing w:after="80"/>
      </w:pPr>
      <w:r>
        <w:rPr>
          <w:b w:val="0"/>
          <w:i w:val="0"/>
        </w:rPr>
        <w:t xml:space="preserve">Tình huống này tương tự với những cáo buộc về những gì đã diễn ra sau hậu trường khi Tyco thực hiện các thương vụ mua lại. Và Tyco đã thực hiện </w:t>
      </w:r>
      <w:r>
        <w:rPr>
          <w:b w:val="0"/>
          <w:i/>
        </w:rPr>
        <w:t>rất nhiều</w:t>
      </w:r>
      <w:r>
        <w:rPr>
          <w:b w:val="0"/>
          <w:i w:val="0"/>
        </w:rPr>
        <w:t xml:space="preserve"> thương vụ mua lại. Từ 1999 đến 2002, Tyco đã mua hơn 700 công ty (không phải lỗi đánh máy) với tổng trị giá khoảng 29 tỷ đô la. Một số thương vụ này là các công ty lớn; tuy nhiên, hầu hết các doanh nghiệp được mua đều đủ nhỏ để Tyco coi là “không trọng yếu” và chọn không tiết lộ gì về chúng. Hãy tưởng tượng tác động mà trò chơi này có thể gây ra với 700 công ty trị giá tổng cộng 29 tỷ đô la! Vậy thì chẳng có gì ngạc nhiên khi Tyco có thể tạo ra CFFO mạnh mẽ trong những năm này, như thể hiện trong Bảng 16-1. Nhưng chắc chắn đó không phải nhờ vào một hoạt động kinh doanh bùng nổ!</w:t>
      </w:r>
    </w:p>
    <w:p>
      <w:pPr>
        <w:spacing w:after="80"/>
      </w:pPr>
      <w:r>
        <w:rPr>
          <w:b/>
          <w:i w:val="0"/>
        </w:rPr>
        <w:t>Bảng 16-1</w:t>
      </w:r>
      <w:r>
        <w:rPr>
          <w:b w:val="0"/>
          <w:i w:val="0"/>
        </w:rPr>
        <w:t xml:space="preserve"> Dòng tiền từ hoạt động kinh doanh của Tyco (từ hoạt động tiếp diễn)</w:t>
      </w:r>
    </w:p>
    <w:p>
      <w:pPr>
        <w:jc w:val="center"/>
      </w:pPr>
      <w:r>
        <w:drawing>
          <wp:inline xmlns:a="http://schemas.openxmlformats.org/drawingml/2006/main" xmlns:pic="http://schemas.openxmlformats.org/drawingml/2006/picture">
            <wp:extent cx="5486400" cy="508932"/>
            <wp:docPr id="54" name="Picture 54"/>
            <wp:cNvGraphicFramePr>
              <a:graphicFrameLocks noChangeAspect="1"/>
            </wp:cNvGraphicFramePr>
            <a:graphic>
              <a:graphicData uri="http://schemas.openxmlformats.org/drawingml/2006/picture">
                <pic:pic>
                  <pic:nvPicPr>
                    <pic:cNvPr id="0" name="00038.jpeg"/>
                    <pic:cNvPicPr/>
                  </pic:nvPicPr>
                  <pic:blipFill>
                    <a:blip r:embed="rId62"/>
                    <a:stretch>
                      <a:fillRect/>
                    </a:stretch>
                  </pic:blipFill>
                  <pic:spPr>
                    <a:xfrm>
                      <a:off x="0" y="0"/>
                      <a:ext cx="5486400" cy="508932"/>
                    </a:xfrm>
                    <a:prstGeom prst="rect"/>
                  </pic:spPr>
                </pic:pic>
              </a:graphicData>
            </a:graphic>
          </wp:inline>
        </w:drawing>
      </w:r>
    </w:p>
    <w:p>
      <w:pPr>
        <w:spacing w:after="80"/>
      </w:pPr>
      <w:r>
        <w:rPr>
          <w:b w:val="0"/>
          <w:i/>
        </w:rPr>
        <w:t>Hãy đối xử với CFFO khác đi đối với các công ty hay thâu tóm</w:t>
      </w:r>
      <w:r>
        <w:rPr>
          <w:b w:val="0"/>
          <w:i w:val="0"/>
        </w:rPr>
        <w:t xml:space="preserve"> Vì việc mua lại tạo ra một cú đẩy không bền vững vào CFFO, nhà đầu tư không nên mù quáng dựa vào CFFO như một thước đo hiệu quả. Hãy dùng dòng tiền tự do </w:t>
      </w:r>
      <w:r>
        <w:rPr>
          <w:b w:val="0"/>
          <w:i/>
        </w:rPr>
        <w:t>sau</w:t>
      </w:r>
      <w:r>
        <w:rPr>
          <w:b w:val="0"/>
          <w:i w:val="0"/>
        </w:rPr>
        <w:t xml:space="preserve"> khi mua lại để đánh giá khả năng tạo tiền ở các công ty hay thâu tóm. Bảng 16-2 cho thấy Tyco ghi nhận dòng tiền tự do âm sau khi mua lại mỗi năm, bất chấp việc báo cáo CFFO dương; đây là một lời cảnh báo rằng dòng tiền từ hoạt động kinh doanh không phải như vẻ ngoài của nó.</w:t>
      </w:r>
    </w:p>
    <w:p>
      <w:pPr>
        <w:spacing w:after="80"/>
      </w:pPr>
      <w:r>
        <w:rPr>
          <w:b/>
          <w:i w:val="0"/>
        </w:rPr>
        <w:t>Bảng 16-2</w:t>
      </w:r>
      <w:r>
        <w:rPr>
          <w:b w:val="0"/>
          <w:i w:val="0"/>
        </w:rPr>
        <w:t xml:space="preserve"> Dòng tiền tự do sau khi mua lại của Tyco (từ hoạt động tiếp diễn)</w:t>
      </w:r>
    </w:p>
    <w:p>
      <w:pPr>
        <w:jc w:val="center"/>
      </w:pPr>
      <w:r>
        <w:drawing>
          <wp:inline xmlns:a="http://schemas.openxmlformats.org/drawingml/2006/main" xmlns:pic="http://schemas.openxmlformats.org/drawingml/2006/picture">
            <wp:extent cx="5486400" cy="1748720"/>
            <wp:docPr id="55" name="Picture 55"/>
            <wp:cNvGraphicFramePr>
              <a:graphicFrameLocks noChangeAspect="1"/>
            </wp:cNvGraphicFramePr>
            <a:graphic>
              <a:graphicData uri="http://schemas.openxmlformats.org/drawingml/2006/picture">
                <pic:pic>
                  <pic:nvPicPr>
                    <pic:cNvPr id="0" name="00042.jpeg"/>
                    <pic:cNvPicPr/>
                  </pic:nvPicPr>
                  <pic:blipFill>
                    <a:blip r:embed="rId63"/>
                    <a:stretch>
                      <a:fillRect/>
                    </a:stretch>
                  </pic:blipFill>
                  <pic:spPr>
                    <a:xfrm>
                      <a:off x="0" y="0"/>
                      <a:ext cx="5486400" cy="1748720"/>
                    </a:xfrm>
                    <a:prstGeom prst="rect"/>
                  </pic:spPr>
                </pic:pic>
              </a:graphicData>
            </a:graphic>
          </wp:inline>
        </w:drawing>
      </w:r>
    </w:p>
    <w:p>
      <w:pPr>
        <w:spacing w:after="80"/>
      </w:pPr>
      <w:r>
        <w:rPr>
          <w:b w:val="0"/>
          <w:i w:val="0"/>
        </w:rPr>
        <w:t>MẸO</w:t>
      </w:r>
    </w:p>
    <w:p>
      <w:pPr>
        <w:spacing w:after="80"/>
      </w:pPr>
      <w:r>
        <w:rPr>
          <w:b w:val="0"/>
          <w:i w:val="0"/>
        </w:rPr>
        <w:t xml:space="preserve">“Dòng tiền tự do sau khi mua lại” là một thước đo hữu ích về dòng tiền khi phân tích các kẻ thâu tóm hàng loạt. Chỉ số này có thể dễ dàng được tính từ Báo cáo lưu chuyển tiền tệ: CFFO </w:t>
      </w:r>
      <w:r>
        <w:rPr>
          <w:b w:val="0"/>
          <w:i/>
        </w:rPr>
        <w:t>trừ</w:t>
      </w:r>
      <w:r>
        <w:rPr>
          <w:b w:val="0"/>
          <w:i w:val="0"/>
        </w:rPr>
        <w:t xml:space="preserve"> chi phí vốn </w:t>
      </w:r>
      <w:r>
        <w:rPr>
          <w:b w:val="0"/>
          <w:i/>
        </w:rPr>
        <w:t>trừ</w:t>
      </w:r>
      <w:r>
        <w:rPr>
          <w:b w:val="0"/>
          <w:i w:val="0"/>
        </w:rPr>
        <w:t xml:space="preserve"> tiền mặt trả cho việc mua lại.</w:t>
      </w:r>
    </w:p>
    <w:p>
      <w:pPr>
        <w:spacing w:after="80"/>
      </w:pPr>
      <w:r>
        <w:rPr>
          <w:b/>
          <w:i/>
        </w:rPr>
        <w:t>Xem xét Bảng cân đối kế toán của các công ty được mua lại</w:t>
      </w:r>
      <w:r>
        <w:rPr>
          <w:b w:val="0"/>
          <w:i w:val="0"/>
        </w:rPr>
        <w:t xml:space="preserve"> Nếu những tài liệu này có sẵn, thì nhất định phải xem xét chúng. Việc này sẽ giúp bạn đánh giá được những lợi ích tiềm ẩn vốn có về vốn lưu động. Có thể sẽ khó để phân tích chính xác; tuy nhiên, bạn thường vẫn có thể đưa ra đánh giá nằm trong khoảng "ước chừng" của lợi ích đó. Các công ty thường công bố Bảng cân đối kế toán của những thương vụ mua lại lớn và đôi khi là một Bảng cân đối kế toán tổng hợp cho những thương vụ nhỏ hơn trong phần chú thích. Nếu công ty được mua lại từng có cổ phiếu hoặc trái phiếu giao dịch công khai, bạn có thể sẽ lấy được Bảng cân đối kế toán từ hồ sơ công khai.</w:t>
      </w:r>
    </w:p>
    <w:p>
      <w:pPr>
        <w:pStyle w:val="Heading4"/>
      </w:pPr>
      <w:r>
        <w:rPr>
          <w:rFonts w:ascii="Calibri" w:hAnsi="Calibri"/>
          <w:b/>
          <w:i w:val="0"/>
          <w:sz w:val="23"/>
        </w:rPr>
        <w:t>2. Mua lại hợp đồng hoặc khách hàng thay vì tự phát triển nội bộ</w:t>
      </w:r>
    </w:p>
    <w:p>
      <w:pPr>
        <w:spacing w:after="80"/>
      </w:pPr>
      <w:r>
        <w:rPr>
          <w:b w:val="0"/>
          <w:i w:val="0"/>
        </w:rPr>
        <w:t>Trong phần trước, chúng ta đã thảo luận về việc các thương vụ mua lại, xét về bản chất, tạo ra sự thúc đẩy cho CFFO như thế nào. Lợi ích này không đến từ những thủ thuật kế toán bất hợp pháp, mà đến từ những quy tắc kế toán kỳ quặc. Chúng ta đã chứng kiến Tyco lạm dụng các quy tắc này bằng cách âm thầm thâu tóm hàng trăm công ty nhỏ và tìm cách vắt thêm CFFO từ những thương vụ mua lại đó.</w:t>
      </w:r>
    </w:p>
    <w:p>
      <w:pPr>
        <w:spacing w:after="80"/>
      </w:pPr>
      <w:r>
        <w:rPr>
          <w:b w:val="0"/>
          <w:i w:val="0"/>
        </w:rPr>
        <w:t>Trong phần này, chúng ta bước vào địa hạt đen tối hơn và khám phá cách các công ty sử dụng lỗ hổng kế toán mua lại cho những tình huống không phải mua lại để chuyển dòng tiền hoạt động bình thường sang phần Đầu tư.</w:t>
      </w:r>
    </w:p>
    <w:p>
      <w:pPr>
        <w:spacing w:after="80"/>
      </w:pPr>
      <w:r>
        <w:rPr>
          <w:b w:val="0"/>
          <w:i w:val="0"/>
        </w:rPr>
        <w:t>Trong số hàng trăm doanh nghiệp mà Tyco sở hữu có một nhà cung cấp dịch vụ giám sát an ninh điện tử. Giám sát an ninh gia đình là một ngành tăng trưởng nhanh trong thập niên 1990, và bộ phận ADT của Tyco đã chứng tỏ là một trong những thương hiệu phổ biến nhất. Tyco tạo ra các hợp đồng hệ thống an ninh mới theo hai cách: thông qua lực lượng bán hàng trực tiếp của chính mình và thông qua mạng lưới đại lý bên ngoài. Các đại lý cho phép Tyco thuê ngoài một phần lực lượng bán hàng. Họ không nằm trong bảng lương của Tyco, nhưng họ bán các hợp đồng an ninh, và Tyco trả cho họ khoảng $800 cho mỗi khách hàng mới.</w:t>
      </w:r>
    </w:p>
    <w:p>
      <w:pPr>
        <w:spacing w:after="80"/>
      </w:pPr>
      <w:r>
        <w:rPr>
          <w:b w:val="0"/>
          <w:i w:val="0"/>
        </w:rPr>
        <w:t>Kỳ lạ thay, các giám đốc điều hành Tyco không xem những khoản thanh toán $800 cho đại lý này là chi phí thu hút khách hàng thông thường, như logic kinh tế gợi ý. Thay vào đó, họ coi những khoản thanh toán này là giá mua để "mua lại" các hợp đồng. Vì vậy, sau khi đại lý trình cho Tyco nhiều hợp đồng và nhận thanh toán, Tyco đã hạch toán những "thương vụ mua lại hợp đồng" này một cách đáng ngờ giống hệt như cách họ hạch toán các thương vụ mua lại doanh nghiệp thông thường: như dòng tiền đầu tư ra.</w:t>
      </w:r>
    </w:p>
    <w:p>
      <w:pPr>
        <w:spacing w:after="80"/>
      </w:pPr>
      <w:r>
        <w:rPr>
          <w:b w:val="0"/>
          <w:i w:val="0"/>
        </w:rPr>
        <w:t xml:space="preserve">Với mức độ thấm nhuần của tư duy mua lại trong văn hóa và DNA của Tyco, bạn gần như có thể hình dung được sự bối rối của các giám đốc điều hành. Gần như thôi. Những chi phí thu hút khách hàng này giống với chi phí hoạt động thông thường hơn nhiều so với các thương vụ mua lại doanh nghiệp. Kết quả là, việc ghi nhận chúng trên Báo cáo lưu chuyển tiền tệ giống như cách ghi nhận hoa hồng cho lực lượng bán hàng nội bộ của Tyco sẽ hợp lý hơn: như dòng tiền hoạt động ra. Bằng cách phân loại những dòng tiền hoạt động ra này vào dòng "mua lại" trong phần Đầu tư, Tyco đã tìm ra một cách thuận tiện để thổi phồng CFFO. </w:t>
      </w:r>
      <w:r>
        <w:rPr>
          <w:b w:val="0"/>
          <w:i/>
        </w:rPr>
        <w:t>Và công ty không dừng lại ở đó!</w:t>
      </w:r>
    </w:p>
    <w:p>
      <w:pPr>
        <w:pStyle w:val="Heading5"/>
      </w:pPr>
      <w:r>
        <w:rPr>
          <w:rFonts w:ascii="Calibri" w:hAnsi="Calibri"/>
          <w:b/>
          <w:i/>
          <w:sz w:val="22"/>
        </w:rPr>
        <w:t>Từ kế toán hung hăng đến gian lận</w:t>
      </w:r>
    </w:p>
    <w:p>
      <w:pPr>
        <w:spacing w:after="80"/>
      </w:pPr>
      <w:r>
        <w:rPr>
          <w:b w:val="0"/>
          <w:i w:val="0"/>
        </w:rPr>
        <w:t>Bằng cách biến phần Đầu tư thành một bãi rác ẩn chứa chi phí thu hút khách hàng, Tyco đã hung hăng và sáng tạo bóp méo các quy tắc kế toán. Nhưng công ty vẫn muốn nhiều hơn nữa. Vì vậy, họ đã bày ra một kế hoạch mới để thổi phồng CFFO (và lợi nhuận) hơn nữa, và khi làm vậy, họ đã vượt qua ranh giới từ kế toán hung hăng sang gian lận. SEC cáo buộc rằng từ năm 1998 đến 2002, Tyco đã sử dụng một "Giao dịch giả tạo Phí Kết nối Đại lý" để gian lận tạo ra $719 triệu CFFO. Đây là cách nó hoạt động:</w:t>
      </w:r>
    </w:p>
    <w:p>
      <w:pPr>
        <w:spacing w:after="80"/>
      </w:pPr>
      <w:r>
        <w:rPr>
          <w:b w:val="0"/>
          <w:i w:val="0"/>
        </w:rPr>
        <w:t>Với mỗi hợp đồng Tyco mua từ một đại lý, đại lý sẽ được yêu cầu trả một khoản "phí kết nối đại lý" trả trước $200. Tất nhiên, các đại lý sẽ không hài lòng với khoản phí mới này, nên Tyco đã tăng mức giá mà họ sẽ trả để mua hợp đồng mới lên đúng $200—từ $800 lên $1,000. Kết quả ròng không làm thay đổi logic kinh tế của giao dịch—Tyco vẫn đang trả ròng $800 để mua những hợp đồng này từ các đại lý.</w:t>
      </w:r>
    </w:p>
    <w:p>
      <w:pPr>
        <w:spacing w:after="80"/>
      </w:pPr>
      <w:r>
        <w:rPr>
          <w:b w:val="0"/>
          <w:i w:val="0"/>
        </w:rPr>
        <w:t>Tuy nhiên, Tyco không nhìn nhận theo cách đó. Suy cho cùng, công ty sẽ không tạo ra mánh khóe này nếu ban lãnh đạo không cảm thấy chiến thuật này cuối cùng sẽ có lợi. Tyco giờ đây ghi nhận một dòng tiền đầu tư ra $1,000 cho việc mua những hợp đồng này và một khoản bù trừ $200 như dòng tiền hoạt động vào. Về cơ bản, Tyco đã tạo ra một dòng tiền CFFO vào giả tạo $200 bằng cách hạ thấp dòng tiền đầu tư của mình. (Xem Bảng 16-3.) Qua năm năm và hàng trăm nghìn hợp đồng, đây quả là một đóng góp đáng kể cho CFFO!</w:t>
      </w:r>
    </w:p>
    <w:p>
      <w:pPr>
        <w:spacing w:after="80"/>
      </w:pPr>
      <w:r>
        <w:rPr>
          <w:b/>
          <w:i w:val="0"/>
        </w:rPr>
        <w:t>Bảng 16-3</w:t>
      </w:r>
      <w:r>
        <w:rPr>
          <w:b w:val="0"/>
          <w:i w:val="0"/>
        </w:rPr>
        <w:t xml:space="preserve"> Cách Tyco phân loại đầy sáng tạo các khoản thanh toán ròng cho đại lý</w:t>
      </w:r>
    </w:p>
    <w:p>
      <w:pPr>
        <w:jc w:val="center"/>
      </w:pPr>
      <w:r>
        <w:drawing>
          <wp:inline xmlns:a="http://schemas.openxmlformats.org/drawingml/2006/main" xmlns:pic="http://schemas.openxmlformats.org/drawingml/2006/picture">
            <wp:extent cx="5486400" cy="1013304"/>
            <wp:docPr id="56" name="Picture 56"/>
            <wp:cNvGraphicFramePr>
              <a:graphicFrameLocks noChangeAspect="1"/>
            </wp:cNvGraphicFramePr>
            <a:graphic>
              <a:graphicData uri="http://schemas.openxmlformats.org/drawingml/2006/picture">
                <pic:pic>
                  <pic:nvPicPr>
                    <pic:cNvPr id="0" name="00054.jpeg"/>
                    <pic:cNvPicPr/>
                  </pic:nvPicPr>
                  <pic:blipFill>
                    <a:blip r:embed="rId64"/>
                    <a:stretch>
                      <a:fillRect/>
                    </a:stretch>
                  </pic:blipFill>
                  <pic:spPr>
                    <a:xfrm>
                      <a:off x="0" y="0"/>
                      <a:ext cx="5486400" cy="1013304"/>
                    </a:xfrm>
                    <a:prstGeom prst="rect"/>
                  </pic:spPr>
                </pic:pic>
              </a:graphicData>
            </a:graphic>
          </wp:inline>
        </w:drawing>
      </w:r>
    </w:p>
    <w:p>
      <w:pPr>
        <w:pStyle w:val="Heading4"/>
      </w:pPr>
      <w:r>
        <w:rPr>
          <w:rFonts w:ascii="Calibri" w:hAnsi="Calibri"/>
          <w:b/>
          <w:i w:val="0"/>
          <w:sz w:val="23"/>
        </w:rPr>
        <w:t>3. Thúc đẩy CFFO bằng cách cấu trúc sáng tạo việc bán một doanh nghiệp</w:t>
      </w:r>
    </w:p>
    <w:p>
      <w:pPr>
        <w:spacing w:after="80"/>
      </w:pPr>
      <w:r>
        <w:rPr>
          <w:b w:val="0"/>
          <w:i w:val="0"/>
        </w:rPr>
        <w:t xml:space="preserve">Trong hai phần trước, chúng ta đã chỉ ra cách các công ty sử dụng việc mua lại để chuyển dòng tiền </w:t>
      </w:r>
      <w:r>
        <w:rPr>
          <w:b w:val="0"/>
          <w:i/>
        </w:rPr>
        <w:t>ra</w:t>
      </w:r>
      <w:r>
        <w:rPr>
          <w:b w:val="0"/>
          <w:i w:val="0"/>
        </w:rPr>
        <w:t xml:space="preserve"> từ phần Hoạt động sang phần Đầu tư của SCF. Trong phần tiếp theo này, chúng ta thảo luận về mặt trái của đồng xu đó: cách các công ty sử dụng việc thoái vốn để chuyển dòng tiền </w:t>
      </w:r>
      <w:r>
        <w:rPr>
          <w:b w:val="0"/>
          <w:i/>
        </w:rPr>
        <w:t>vào</w:t>
      </w:r>
      <w:r>
        <w:rPr>
          <w:b w:val="0"/>
          <w:i w:val="0"/>
        </w:rPr>
        <w:t xml:space="preserve"> từ phần Đầu tư sang phần Hoạt động, như thể hiện trong Hình 16-2.</w:t>
      </w:r>
    </w:p>
    <w:p>
      <w:pPr>
        <w:spacing w:after="80"/>
      </w:pPr>
      <w:r>
        <w:rPr>
          <w:b/>
          <w:i w:val="0"/>
        </w:rPr>
        <w:t>Hình 16-2</w:t>
      </w:r>
      <w:r>
        <w:rPr>
          <w:b w:val="0"/>
          <w:i w:val="0"/>
        </w:rPr>
        <w:t xml:space="preserve"> Chuyển dòng tiền vào từ hoạt động đầu tư sang hoạt động kinh doanh</w:t>
      </w:r>
    </w:p>
    <w:p>
      <w:pPr>
        <w:jc w:val="center"/>
      </w:pPr>
      <w:r>
        <w:drawing>
          <wp:inline xmlns:a="http://schemas.openxmlformats.org/drawingml/2006/main" xmlns:pic="http://schemas.openxmlformats.org/drawingml/2006/picture">
            <wp:extent cx="5486400" cy="2117065"/>
            <wp:docPr id="57" name="Picture 57"/>
            <wp:cNvGraphicFramePr>
              <a:graphicFrameLocks noChangeAspect="1"/>
            </wp:cNvGraphicFramePr>
            <a:graphic>
              <a:graphicData uri="http://schemas.openxmlformats.org/drawingml/2006/picture">
                <pic:pic>
                  <pic:nvPicPr>
                    <pic:cNvPr id="0" name="00046.jpeg"/>
                    <pic:cNvPicPr/>
                  </pic:nvPicPr>
                  <pic:blipFill>
                    <a:blip r:embed="rId65"/>
                    <a:stretch>
                      <a:fillRect/>
                    </a:stretch>
                  </pic:blipFill>
                  <pic:spPr>
                    <a:xfrm>
                      <a:off x="0" y="0"/>
                      <a:ext cx="5486400" cy="2117065"/>
                    </a:xfrm>
                    <a:prstGeom prst="rect"/>
                  </pic:spPr>
                </pic:pic>
              </a:graphicData>
            </a:graphic>
          </wp:inline>
        </w:drawing>
      </w:r>
    </w:p>
    <w:p>
      <w:pPr>
        <w:pStyle w:val="Heading5"/>
      </w:pPr>
      <w:r>
        <w:rPr>
          <w:rFonts w:ascii="Calibri" w:hAnsi="Calibri"/>
          <w:b/>
          <w:i/>
          <w:sz w:val="22"/>
        </w:rPr>
        <w:t>Ghi nhận CFFO cho số tiền thu được từ việc bán một doanh nghiệp</w:t>
      </w:r>
    </w:p>
    <w:p>
      <w:pPr>
        <w:spacing w:after="80"/>
      </w:pPr>
      <w:r>
        <w:rPr>
          <w:b w:val="0"/>
          <w:i w:val="0"/>
        </w:rPr>
        <w:t>Năm 2005, Softbank đã thiết lập một thỏa thuận hai chiều khá thú vị với công ty viễn thông đồng hương Nhật Bản Gemini BB. Softbank bán mảng kinh doanh cho thuê modem của mình cho Gemini, đồng thời hai công ty ký kết một “thỏa thuận dịch vụ” (service agreement), trong đó Gemini sẽ trả cho Softbank tiền bản quyền dựa trên doanh thu tương lai của mảng kinh doanh cho thuê modem. Tại thời điểm bán, Softbank nhận được 85 tỷ yên tiền mặt từ Gemini, nhưng Softbank không coi toàn bộ số tiền đó là liên quan đến giá bán của mảng kinh doanh. Thay vào đó, Softbank quyết định chia số tiền mặt nhận được thành hai loại: 45 tỷ yên được phân bổ cho việc bán mảng kinh doanh, và 40 tỷ yên được coi là một khoản “tạm ứng” (advance) cho dòng doanh thu bản quyền trong tương lai. (Bạn có thể nhớ lại sự gia tăng lợi nhuận mà giao dịch này mang lại, như đã thảo luận trong Thủ thuật lợi nhuận số 3 ở Chương 5.)</w:t>
      </w:r>
    </w:p>
    <w:p>
      <w:pPr>
        <w:spacing w:after="80"/>
      </w:pPr>
      <w:r>
        <w:rPr>
          <w:b w:val="0"/>
          <w:i w:val="0"/>
        </w:rPr>
        <w:t xml:space="preserve">Thực tế kinh tế của tình huống này có vẻ như là Softbank đã bán mảng kinh doanh cho thuê modem của mình với giá 85 tỷ yên. Tuy nhiên, cách nó cấu trúc giao dịch dường như cho phép Softbank thực hiện quyền tùy ý trong việc trình bày dòng tiền. Thay vì ghi nhận dòng tiền </w:t>
      </w:r>
      <w:r>
        <w:rPr>
          <w:b w:val="0"/>
          <w:i/>
        </w:rPr>
        <w:t>đầu tư</w:t>
      </w:r>
      <w:r>
        <w:rPr>
          <w:b w:val="0"/>
          <w:i w:val="0"/>
        </w:rPr>
        <w:t xml:space="preserve"> vào 85 tỷ yên từ việc bán mảng kinh doanh, Softbank đã ghi nhận (1) dòng tiền </w:t>
      </w:r>
      <w:r>
        <w:rPr>
          <w:b w:val="0"/>
          <w:i/>
        </w:rPr>
        <w:t>đầu tư</w:t>
      </w:r>
      <w:r>
        <w:rPr>
          <w:b w:val="0"/>
          <w:i w:val="0"/>
        </w:rPr>
        <w:t xml:space="preserve"> vào 45 tỷ yên từ việc bán mảng kinh doanh và (2) dòng tiền </w:t>
      </w:r>
      <w:r>
        <w:rPr>
          <w:b w:val="0"/>
          <w:i/>
        </w:rPr>
        <w:t>hoạt động</w:t>
      </w:r>
      <w:r>
        <w:rPr>
          <w:b w:val="0"/>
          <w:i w:val="0"/>
        </w:rPr>
        <w:t xml:space="preserve"> vào 40 tỷ yên từ khoản “tạm ứng” cho doanh thu tương lai. Khoản tăng thêm 40 tỷ yên này cho CFFO chiếm 69 phần trăm trong tổng CFFO 57,8 tỷ yên của Softbank cho cả năm.</w:t>
      </w:r>
    </w:p>
    <w:p>
      <w:pPr>
        <w:spacing w:after="80"/>
      </w:pPr>
      <w:r>
        <w:rPr>
          <w:b/>
          <w:i/>
        </w:rPr>
        <w:t>Hãy để ý các hạng mục mới trên Báo cáo Lưu chuyển Tiền tệ</w:t>
      </w:r>
      <w:r>
        <w:rPr>
          <w:b w:val="0"/>
          <w:i w:val="0"/>
        </w:rPr>
        <w:t xml:space="preserve"> Các nhà đầu tư có thể dễ dàng phát hiện ra khoản tăng CFFO của Softbank chỉ bằng cách nhìn vào Báo cáo Lưu chuyển Tiền tệ. Hãy xem Bảng 16-4, và lưu ý rằng một hạng mục mới đã xuất hiện vào năm 2006—một khoản “tăng doanh thu hoãn lại” (increase in deferred revenue) trị giá 40 tỷ yên. Việc công bố trên Báo cáo Lưu chuyển Tiền tệ này (cùng với mức độ ảnh hưởng của nó đến CFFO) là lý do đủ để các nhà đầu tư nhạy bén đào sâu hơn.</w:t>
      </w:r>
    </w:p>
    <w:p>
      <w:pPr>
        <w:spacing w:after="80"/>
      </w:pPr>
      <w:r>
        <w:rPr>
          <w:b/>
          <w:i w:val="0"/>
        </w:rPr>
        <w:t>Bảng 16-4</w:t>
      </w:r>
      <w:r>
        <w:rPr>
          <w:b w:val="0"/>
          <w:i w:val="0"/>
        </w:rPr>
        <w:t xml:space="preserve"> Báo cáo Lưu chuyển Tiền tệ của Softbank, 2005–2006</w:t>
      </w:r>
    </w:p>
    <w:p>
      <w:pPr>
        <w:jc w:val="center"/>
      </w:pPr>
      <w:r>
        <w:drawing>
          <wp:inline xmlns:a="http://schemas.openxmlformats.org/drawingml/2006/main" xmlns:pic="http://schemas.openxmlformats.org/drawingml/2006/picture">
            <wp:extent cx="5486400" cy="2505026"/>
            <wp:docPr id="58" name="Picture 58"/>
            <wp:cNvGraphicFramePr>
              <a:graphicFrameLocks noChangeAspect="1"/>
            </wp:cNvGraphicFramePr>
            <a:graphic>
              <a:graphicData uri="http://schemas.openxmlformats.org/drawingml/2006/picture">
                <pic:pic>
                  <pic:nvPicPr>
                    <pic:cNvPr id="0" name="00062.jpeg"/>
                    <pic:cNvPicPr/>
                  </pic:nvPicPr>
                  <pic:blipFill>
                    <a:blip r:embed="rId66"/>
                    <a:stretch>
                      <a:fillRect/>
                    </a:stretch>
                  </pic:blipFill>
                  <pic:spPr>
                    <a:xfrm>
                      <a:off x="0" y="0"/>
                      <a:ext cx="5486400" cy="2505026"/>
                    </a:xfrm>
                    <a:prstGeom prst="rect"/>
                  </pic:spPr>
                </pic:pic>
              </a:graphicData>
            </a:graphic>
          </wp:inline>
        </w:drawing>
      </w:r>
    </w:p>
    <w:p>
      <w:pPr>
        <w:pStyle w:val="Heading5"/>
      </w:pPr>
      <w:r>
        <w:rPr>
          <w:rFonts w:ascii="Calibri" w:hAnsi="Calibri"/>
          <w:b/>
          <w:i/>
          <w:sz w:val="22"/>
        </w:rPr>
        <w:t>Bán mảng kinh doanh, nhưng giữ lại một phần đồ tốt</w:t>
      </w:r>
    </w:p>
    <w:p>
      <w:pPr>
        <w:spacing w:after="80"/>
      </w:pPr>
      <w:r>
        <w:rPr>
          <w:b w:val="0"/>
          <w:i w:val="0"/>
        </w:rPr>
        <w:t xml:space="preserve">Tenet Healthcare là một công ty sở hữu và vận hành các bệnh viện và trung tâm y tế. Trong những năm gần đây, Tenet đã bán một số bệnh viện của mình để cải thiện tính thanh khoản và khả năng sinh lời. Công ty thường chơi một chiêu nhỏ gọn gàng để tăng CFFO khi cấu trúc việc bán các bệnh viện này—nó bán </w:t>
      </w:r>
      <w:r>
        <w:rPr>
          <w:b w:val="0"/>
          <w:i/>
        </w:rPr>
        <w:t>mọi thứ trừ các khoản phải thu</w:t>
      </w:r>
      <w:r>
        <w:rPr>
          <w:b w:val="0"/>
          <w:i w:val="0"/>
        </w:rPr>
        <w:t>.</w:t>
      </w:r>
    </w:p>
    <w:p>
      <w:pPr>
        <w:spacing w:after="80"/>
      </w:pPr>
      <w:r>
        <w:rPr>
          <w:b w:val="0"/>
          <w:i w:val="0"/>
        </w:rPr>
        <w:t>Hãy cùng thảo luận cách thức hoạt động của việc này. Hãy nghĩ về mỗi bệnh viện như một doanh nghiệp nhỏ riêng biệt, với doanh thu, chi phí, tiền mặt, các khoản phải thu, các khoản phải trả, v.v., giống như bất kỳ công ty nào khác. Trước khi đưa một bệnh viện ra bán, Tenet tách các khoản phải thu ra khỏi mảng kinh doanh. Nói cách khác, nếu một bệnh viện có, chẳng hạn, 10 triệu đô la các khoản phải thu, Tenet giữ quyền đối với các khoản phải thu đó và đưa phần còn lại của mảng kinh doanh ra bán. Điều này, tất nhiên, làm giảm giá bán cuối cùng của bệnh viện khoảng 10 triệu đô la, nhưng Tenet không hề bận tâm, vì nó thu hồi lại số tiền đó khi thu các khoản phải thu.</w:t>
      </w:r>
    </w:p>
    <w:p>
      <w:pPr>
        <w:spacing w:after="80"/>
      </w:pPr>
      <w:r>
        <w:rPr>
          <w:b w:val="0"/>
          <w:i w:val="0"/>
        </w:rPr>
        <w:t>Hàm ý về dòng tiền là gì? Vâng, thông thường toàn bộ số tiền thu được từ việc bán một bệnh viện sẽ được ghi nhận là dòng tiền đầu tư vào (giống như việc bán bất kỳ mảng kinh doanh hay tài sản cố định nào). Nhưng bằng cách tách các khoản phải thu ra trước khi bán, Tenet làm giảm giá bán (và dòng tiền đầu tư vào) đi 10 triệu đô la. Tuy nhiên, công ty sẽ sớm thu được 10 triệu đô la từ các khách hàng cũ của mình, và đây là phần hay ho: toàn bộ số tiền thu được sẽ được báo cáo là dòng tiền hoạt động vào, vì nó liên quan đến việc thu các khoản phải thu. Chiêu này cho phép Tenet chuyển 10 triệu đô la dòng tiền vào từ phần Đầu tư sang phần Hoạt động.</w:t>
      </w:r>
    </w:p>
    <w:p>
      <w:pPr>
        <w:spacing w:after="80"/>
      </w:pPr>
      <w:r>
        <w:rPr>
          <w:b w:val="0"/>
          <w:i w:val="0"/>
        </w:rPr>
        <w:t>Trò chơi này sẽ bị phát hiện bởi những nhà đầu tư siêng năng đọc các báo cáo tài chính của Tenet. Như được trình bày dưới đây, công ty đã công bố rõ ràng trong 10-Q tháng 3 năm 2004 rằng họ dự định giữ lại 394 triệu đô la các khoản phải thu liên quan đến việc bán 27 bệnh viện.</w:t>
      </w:r>
    </w:p>
    <w:p>
      <w:pPr>
        <w:spacing w:after="80"/>
      </w:pPr>
      <w:r>
        <w:rPr>
          <w:b w:val="0"/>
          <w:i w:val="0"/>
        </w:rPr>
        <w:t>CÔNG BỐ CỦA TENET VỀ VIỆC BÁN CÁC BỆNH VIỆN, 10-Q THÁNG 3/04</w:t>
      </w:r>
    </w:p>
    <w:p>
      <w:pPr>
        <w:spacing w:after="80"/>
      </w:pPr>
      <w:r>
        <w:rPr>
          <w:b w:val="0"/>
          <w:i w:val="0"/>
        </w:rPr>
        <w:t xml:space="preserve">Bởi vì </w:t>
      </w:r>
      <w:r>
        <w:rPr>
          <w:b w:val="0"/>
          <w:i/>
        </w:rPr>
        <w:t>chúng tôi không có ý định bán các khoản phải thu</w:t>
      </w:r>
      <w:r>
        <w:rPr>
          <w:b w:val="0"/>
          <w:i w:val="0"/>
        </w:rPr>
        <w:t xml:space="preserve"> của nhóm tài sản, ngoại trừ một bệnh viện, các khoản phải thu này, sau khi trừ đi khoản dự phòng nợ khó đòi liên quan, đã được đưa vào các khoản phải thu ròng hợp nhất của chúng tôi trong Bảng cân đối kế toán hợp nhất tóm tắt đi kèm. Tại ngày 31 tháng 3 năm 2004, </w:t>
      </w:r>
      <w:r>
        <w:rPr>
          <w:b w:val="0"/>
          <w:i/>
        </w:rPr>
        <w:t>các khoản phải thu ròng của các bệnh viện sẽ được thoái vốn lên tới tổng cộng 394 triệu đô la</w:t>
      </w:r>
      <w:r>
        <w:rPr>
          <w:b w:val="0"/>
          <w:i w:val="0"/>
        </w:rPr>
        <w:t>. [Chữ in nghiêng được thêm vào để nhấn mạnh]</w:t>
      </w:r>
    </w:p>
    <w:p>
      <w:pPr>
        <w:pStyle w:val="Heading5"/>
      </w:pPr>
      <w:r>
        <w:rPr>
          <w:rFonts w:ascii="Calibri" w:hAnsi="Calibri"/>
          <w:b/>
          <w:i/>
          <w:sz w:val="22"/>
        </w:rPr>
        <w:t>Mua mảng kinh doanh, nhưng không mua bất kỳ thứ xấu nào</w:t>
      </w:r>
    </w:p>
    <w:p>
      <w:pPr>
        <w:spacing w:after="80"/>
      </w:pPr>
      <w:r>
        <w:rPr>
          <w:b w:val="0"/>
          <w:i w:val="0"/>
        </w:rPr>
        <w:t xml:space="preserve">Trong phần trước, chúng ta đã chỉ ra cách Tenet thổi phồng dòng tiền hoạt động trong tương lai của mình bằng cách khéo léo cấu trúc việc bán một mảng kinh doanh—bằng cách bán mọi thứ </w:t>
      </w:r>
      <w:r>
        <w:rPr>
          <w:b w:val="0"/>
          <w:i/>
        </w:rPr>
        <w:t>trừ</w:t>
      </w:r>
      <w:r>
        <w:rPr>
          <w:b w:val="0"/>
          <w:i w:val="0"/>
        </w:rPr>
        <w:t xml:space="preserve"> các khoản phải thu. Vâng, một người mua mảng kinh doanh cũng có thể thổi phồng dòng tiền của mình theo cách tương tự; tức là, bằng cách mua mọi thứ </w:t>
      </w:r>
      <w:r>
        <w:rPr>
          <w:b w:val="0"/>
          <w:i/>
        </w:rPr>
        <w:t>trừ</w:t>
      </w:r>
      <w:r>
        <w:rPr>
          <w:b w:val="0"/>
          <w:i w:val="0"/>
        </w:rPr>
        <w:t xml:space="preserve"> các khoản phải trả. Và đó chính xác là chiêu trò mà Treehouse Foods đã sử dụng vào đầu năm 2016 khi mua Private Brands với giá 2,7 tỷ đô la. Thông thường trong loại thương vụ mua lại này, Treehouse sẽ tiếp nhận tài sản và nợ phải trả của Private Brands vào ngày giao dịch kết thúc. Tuy nhiên, trong trường hợp này, thương vụ mua lại </w:t>
      </w:r>
      <w:r>
        <w:rPr>
          <w:b w:val="0"/>
          <w:i/>
        </w:rPr>
        <w:t>đặc biệt loại trừ các khoản phải trả</w:t>
      </w:r>
      <w:r>
        <w:rPr>
          <w:b w:val="0"/>
          <w:i w:val="0"/>
        </w:rPr>
        <w:t xml:space="preserve"> đối với chín cơ sở sản xuất của Private Brands. Các nghĩa vụ này về cơ bản đã được tách ra khỏi thương vụ mua lại, dẫn đến giá mua cao hơn tương ứng với tài sản ròng cao hơn. Sau khi hợp nhất, dòng tiền hoạt động của Treehouse được hưởng lợi từ việc thu tiền mặt từ các tài sản vốn lưu động đã được mua lại, và tiện lợi thay lại không phải chịu khoản bù trừ tự nhiên của những lợi ích này, vì nó không nắm giữ các khoản phải trả liên quan. Thật là khéo léo.</w:t>
      </w:r>
    </w:p>
    <w:p>
      <w:pPr>
        <w:pStyle w:val="Heading5"/>
      </w:pPr>
      <w:r>
        <w:rPr>
          <w:rFonts w:ascii="Calibri" w:hAnsi="Calibri"/>
          <w:b/>
          <w:i/>
          <w:sz w:val="22"/>
        </w:rPr>
        <w:t>Mua quyền kiểm soát một mảng kinh doanh, nhưng dùng tiền mặt bị hạn chế để che giấu các dòng tiền ra</w:t>
      </w:r>
    </w:p>
    <w:p>
      <w:pPr>
        <w:spacing w:after="80"/>
      </w:pPr>
      <w:r>
        <w:rPr>
          <w:b w:val="0"/>
          <w:i w:val="0"/>
        </w:rPr>
        <w:t>Khi Whirlpool mua quyền kiểm soát trong nhà sản xuất thiết bị gia dụng Trung Quốc Hefei Sanyo, công ty đã tách tiền mặt vào một tài khoản bị hạn chế để trang trải vốn lưu động và nhu cầu nghiên cứu và phát triển đang diễn ra của mảng kinh doanh đó. Trong vài năm tiếp theo, nhu cầu thanh khoản của Hefei Sanyo (được đổi tên thành Whirlpool China) được tài trợ từ tài khoản tiền mặt bị hạn chế. Giống như hầu hết các công ty, Báo cáo Lưu chuyển Tiền tệ của Whirlpool cung cấp một bảng đối chiếu với số dư đầu kỳ và cuối kỳ của tiền mặt thông thường (không bị hạn chế), vì vậy các khoản thanh toán từ tài khoản riêng biệt không có tác động tiêu cực đến dòng tiền hoạt động hoặc dòng tiền tự do được báo cáo.</w:t>
      </w:r>
    </w:p>
    <w:p>
      <w:pPr>
        <w:pStyle w:val="Heading5"/>
      </w:pPr>
      <w:r>
        <w:rPr>
          <w:rFonts w:ascii="Calibri" w:hAnsi="Calibri"/>
          <w:b/>
          <w:i/>
          <w:sz w:val="22"/>
        </w:rPr>
        <w:t>Ranh giới mờ nhạt giữa dòng tiền hoạt động ra và dòng tiền đầu tư ra</w:t>
      </w:r>
    </w:p>
    <w:p>
      <w:pPr>
        <w:spacing w:after="80"/>
      </w:pPr>
      <w:r>
        <w:rPr>
          <w:b w:val="0"/>
          <w:i w:val="0"/>
        </w:rPr>
        <w:t>Đôi khi các thương vụ mua lại tạo ra một tình huống mờ mịt, khiến việc phân biệt giữa hoạt động đầu tư và hoạt động kinh doanh trở nên khó khăn. Điều này đặc biệt đúng khi doanh nghiệp được mua lại trước đây thuộc sở hữu của các đối tác/nhân viên, những người sẽ tiếp tục tham gia vào hoạt động kinh doanh một cách thường xuyên. MDC Partners là một ví dụ điển hình. Công ty quảng cáo có trụ sở tại thành phố New York này đã phát triển phần lớn nhờ mua lại các agency nhỏ hơn, chốt nhiều thương vụ mỗi năm. Thông thường, chỉ một phần giá mua được thanh toán trước, còn những phần đáng kể được cấu trúc dưới dạng khoản thanh toán theo kết quả (earn-out) và trả dần theo thời gian. Vì công ty chủ yếu mua lại các công ty hợp danh, các khoản thanh toán earn-out định kỳ được chuyển trực tiếp cho những nhân viên hiện hữu và có khả năng chiếm một phần lớn thu nhập hằng năm của họ. Việc những khoản thanh toán như vậy thuần túy là "thanh toán vốn" hay một phần nào đó giống như thù lao thì rất khó xác định và có thể khá chủ quan. Tuy nhiên, trong mọi trường hợp, các khoản thanh toán này đều được phản ánh như một khoản giảm dòng tiền từ hoạt động tài chính, và chúng làm giàu cho nhân viên mà không gây bất kỳ ảnh hưởng tiêu cực nào đến dòng tiền hoạt động hoặc dòng tiền tự do được báo cáo.</w:t>
      </w:r>
    </w:p>
    <w:p>
      <w:pPr>
        <w:pStyle w:val="Heading3"/>
      </w:pPr>
      <w:r>
        <w:rPr>
          <w:rFonts w:ascii="Calibri" w:hAnsi="Calibri"/>
          <w:b/>
          <w:i w:val="0"/>
          <w:sz w:val="26"/>
        </w:rPr>
        <w:t>Nhìn về phía trước</w:t>
      </w:r>
    </w:p>
    <w:p>
      <w:pPr>
        <w:spacing w:after="80"/>
      </w:pPr>
      <w:r>
        <w:rPr>
          <w:b w:val="0"/>
          <w:i w:val="0"/>
        </w:rPr>
        <w:t>Chương tiếp theo sẽ đề cập đến Trò gian lận kế toán (AA Shenanigan) số 3: Thao túng các chỉ số then chốt (Key Metrics) và hoàn tất phần thảo luận của chúng ta về các thủ thuật kế toán trong mua lại.</w:t>
      </w:r>
    </w:p>
    <w:p>
      <w:pPr>
        <w:pStyle w:val="Heading2"/>
      </w:pPr>
      <w:r>
        <w:rPr>
          <w:rFonts w:ascii="Calibri" w:hAnsi="Calibri"/>
          <w:b/>
          <w:i w:val="0"/>
          <w:sz w:val="32"/>
        </w:rPr>
        <w:t>17</w:t>
      </w:r>
    </w:p>
    <w:p>
      <w:pPr>
        <w:pStyle w:val="Heading2"/>
      </w:pPr>
      <w:r>
        <w:rPr>
          <w:rFonts w:ascii="Calibri" w:hAnsi="Calibri"/>
          <w:b/>
          <w:i w:val="0"/>
          <w:sz w:val="32"/>
        </w:rPr>
        <w:t>Trò gian lận kế toán trong mua lại số 3: Thao túng các chỉ số then chốt</w:t>
      </w:r>
    </w:p>
    <w:p>
      <w:pPr>
        <w:spacing w:after="80"/>
      </w:pPr>
      <w:r>
        <w:rPr>
          <w:b w:val="0"/>
          <w:i w:val="0"/>
        </w:rPr>
        <w:t>Nghiên cứu học thuật từ lâu đã ủng hộ quan điểm rằng hầu hết các thương vụ mua lại đều phá hủy giá trị cổ đông. Do đó, ban lãnh đạo phải nỗ lực rất nhiều để thuyết phục nhà đầu tư về lợi ích của một thương vụ. Đó chính là lúc Trò gian lận kế toán số 3: Thao túng các chỉ số then chốt phát huy tác dụng để khắc họa một thương vụ kết hợp kinh doanh dưới góc nhìn cực kỳ thuận lợi. Vì các trò gian lận chỉ số then chốt đã trở nên phổ biến hơn nhiều trong những năm gần đây, nên đã có sự gia tăng các chỉ số phi GAAP gây hiểu lầm được sử dụng bởi những công ty có xu hướng mua lại nhiều nhất.</w:t>
      </w:r>
    </w:p>
    <w:p>
      <w:pPr>
        <w:pStyle w:val="Heading3"/>
      </w:pPr>
      <w:r>
        <w:rPr>
          <w:rFonts w:ascii="Calibri" w:hAnsi="Calibri"/>
          <w:b/>
          <w:i w:val="0"/>
          <w:sz w:val="26"/>
        </w:rPr>
        <w:t>Thổi phồng tăng trưởng doanh số ở hoạt động kinh doanh cốt lõi</w:t>
      </w:r>
    </w:p>
    <w:p>
      <w:pPr>
        <w:spacing w:after="80"/>
      </w:pPr>
      <w:r>
        <w:rPr>
          <w:b w:val="0"/>
          <w:i w:val="0"/>
        </w:rPr>
        <w:t>Khi phân tích các công ty có xu hướng mua lại, nhà đầu tư thường gặp khó khăn trong việc tách biệt tăng trưởng doanh thu hữu cơ (organic revenue growth) của hoạt động kinh doanh cũ khỏi tăng trưởng doanh thu của công ty được mua lại. Một trở ngại lớn là tăng trưởng doanh thu hữu cơ không phải là một chỉ số được GAAP định nghĩa, do đó cho phép ban lãnh đạo tự đưa ra cách tính riêng (hoặc không công bố tăng trưởng hữu cơ chút nào). Đương nhiên, ban lãnh đạo muốn nhà đầu tư tin rằng hoạt động kinh doanh cốt lõi của mình đang mạnh, nên nhà đầu tư phải đặc biệt cảnh giác khi diễn giải các chỉ số tăng trưởng hữu cơ do công ty tự định nghĩa.</w:t>
      </w:r>
    </w:p>
    <w:p>
      <w:pPr>
        <w:pStyle w:val="Heading4"/>
      </w:pPr>
      <w:r>
        <w:rPr>
          <w:rFonts w:ascii="Calibri" w:hAnsi="Calibri"/>
          <w:b/>
          <w:i w:val="0"/>
          <w:sz w:val="23"/>
        </w:rPr>
        <w:t>Xác định tỷ lệ tăng trưởng doanh số đại diện sau một thương vụ mua lại</w:t>
      </w:r>
    </w:p>
    <w:p>
      <w:pPr>
        <w:spacing w:after="80"/>
      </w:pPr>
      <w:r>
        <w:rPr>
          <w:b w:val="0"/>
          <w:i w:val="0"/>
        </w:rPr>
        <w:t>Khi đánh giá một công ty vừa hoàn tất một thương vụ mua lại, điều quan trọng là phải nhận diện được tác động của thương vụ lên doanh thu được báo cáo, và đánh giá xem tỷ lệ tăng trưởng sẽ là bao nhiêu nếu không có thương vụ đó. Kết quả của doanh nghiệp được mua lại được đưa vào theo cơ sở GAAP kể từ thời điểm thương vụ hoàn tất, nên đương nhiên tăng trưởng doanh số được báo cáo sẽ bị đẩy lên một cách nhân tạo. Có một số cách để nhà đầu tư điều chỉnh sự méo mó này và đạt được hiểu biết chính xác hơn về tỷ lệ tăng trưởng thực sự bên dưới của doanh nghiệp.</w:t>
      </w:r>
    </w:p>
    <w:p>
      <w:pPr>
        <w:spacing w:after="80"/>
      </w:pPr>
      <w:r>
        <w:rPr>
          <w:b w:val="0"/>
          <w:i w:val="0"/>
        </w:rPr>
        <w:t>Trong nhiều trường hợp, bên mua lại sẽ cung cấp một chú thích (footnote disclosure) thể hiện doanh số trên cơ sở "pro-forma", bao gồm kết quả của các doanh nghiệp mới được mua lại cùng với các doanh nghiệp cũ, tính từ đầu kỳ của năm trước. Đây có thể là một công bố rất hữu ích, vì nó cung cấp tỷ lệ tăng trưởng so với cùng kỳ năm trước của các đơn vị kinh doanh hiện hợp thành công ty. Trong các trường hợp khác, bên mua lại có thể công bố phần đóng góp của công ty mục tiêu vào tổng doanh thu sau khi hợp nhất. Đây cũng là một công bố hữu ích, vì nó cung cấp cho người đọc đủ thông tin để tính toán kết quả được báo cáo có khả năng sẽ là bao nhiêu nếu không có thương vụ đó.</w:t>
      </w:r>
    </w:p>
    <w:p>
      <w:pPr>
        <w:spacing w:after="80"/>
      </w:pPr>
      <w:r>
        <w:rPr>
          <w:b w:val="0"/>
          <w:i w:val="0"/>
        </w:rPr>
        <w:t>Khi có một thương vụ mua lại đáng kể, chúng tôi khuyến nghị đọc kỹ từng công bố hiện có, và tính toán các con số, để tách ra được tỷ lệ tăng trưởng bên dưới của hoạt động kinh doanh cũ, của doanh nghiệp được mua lại, và của doanh nghiệp kết hợp.</w:t>
      </w:r>
    </w:p>
    <w:p>
      <w:pPr>
        <w:pStyle w:val="Heading4"/>
      </w:pPr>
      <w:r>
        <w:rPr>
          <w:rFonts w:ascii="Calibri" w:hAnsi="Calibri"/>
          <w:b/>
          <w:i w:val="0"/>
          <w:sz w:val="23"/>
        </w:rPr>
        <w:t>Hãy để ý những định nghĩa kỳ lạ về tăng trưởng doanh số hữu cơ hoặc pro forma</w:t>
      </w:r>
    </w:p>
    <w:p>
      <w:pPr>
        <w:spacing w:after="80"/>
      </w:pPr>
      <w:r>
        <w:rPr>
          <w:b w:val="0"/>
          <w:i w:val="0"/>
        </w:rPr>
        <w:t>Affiliated Computer Systems (ACS) có một cách trình bày kỳ lạ về tăng trưởng hữu cơ của mình, hay cái mà họ gọi là "tăng trưởng nội bộ" (internal growth). Thay vì chỉ đơn giản loại trừ toàn bộ doanh thu từ các doanh nghiệp được mua lại khi tính tăng trưởng nội bộ, ACS tính một khoản cố định để loại trừ dựa trên doanh thu của doanh nghiệp được mua lại trong năm trước đó. (Xem công bố của ACS bên dưới.) Điều này có nghĩa là ACS có thể đưa vào tăng trưởng nội bộ của mình bất kỳ thương vụ lớn nào mà công ty được mua lại đã ghi nhận ngay trước khi thương vụ mua lại diễn ra.</w:t>
      </w:r>
    </w:p>
    <w:p>
      <w:pPr>
        <w:spacing w:after="80"/>
      </w:pPr>
      <w:r>
        <w:rPr>
          <w:b w:val="0"/>
          <w:i w:val="0"/>
        </w:rPr>
        <w:t>ĐỊNH NGHĨA TĂNG TRƯỞNG DOANH THU NỘI BỘ CỦA ACS, THÔNG CÁO KẾT QUẢ KINH DOANH THÁNG 3 NĂM 2005</w:t>
      </w:r>
    </w:p>
    <w:p>
      <w:pPr>
        <w:spacing w:after="80"/>
      </w:pPr>
      <w:r>
        <w:rPr>
          <w:b w:val="0"/>
          <w:i w:val="0"/>
        </w:rPr>
        <w:t xml:space="preserve">Tăng trưởng doanh thu nội bộ được đo bằng tổng tăng trưởng doanh thu trừ đi doanh thu có được từ các thương vụ mua lại và doanh thu từ các hoạt động đã thoái vốn. Doanh thu có được từ các thương vụ mua lại </w:t>
      </w:r>
      <w:r>
        <w:rPr>
          <w:b w:val="0"/>
          <w:i/>
        </w:rPr>
        <w:t>được dựa trên doanh thu chuẩn hóa trước khi mua lại của các công ty được mua lại</w:t>
      </w:r>
      <w:r>
        <w:rPr>
          <w:b w:val="0"/>
          <w:i w:val="0"/>
        </w:rPr>
        <w:t>. [Phần in nghiêng được thêm vào để nhấn mạnh]</w:t>
      </w:r>
    </w:p>
    <w:p>
      <w:pPr>
        <w:spacing w:after="80"/>
      </w:pPr>
      <w:r>
        <w:rPr>
          <w:b w:val="0"/>
          <w:i w:val="0"/>
        </w:rPr>
        <w:t>Để minh họa, hãy giả sử một cách giả định rằng ACS đã mua lại một công ty vào ngày 1 tháng 1 năm 2005. Trong năm 2004, công ty mục tiêu đó đã tạo ra 120 triệu đô-la doanh thu (30 triệu đô-la mỗi quý). Trong những tuần trước khi thương vụ mua lại diễn ra, công ty mục tiêu cũng đã chốt một hợp đồng lớn có thể mang về thêm 10 triệu đô-la doanh thu mỗi quý bắt đầu từ năm 2005.</w:t>
      </w:r>
    </w:p>
    <w:p>
      <w:pPr>
        <w:spacing w:after="80"/>
      </w:pPr>
      <w:r>
        <w:rPr>
          <w:b w:val="0"/>
          <w:i w:val="0"/>
        </w:rPr>
        <w:t>Giờ hãy giả sử rằng vào tháng 3 năm 2005 (quý đầu tiên sau thương vụ mua lại), công ty mục tiêu tạo ra 40 triệu đô-la doanh thu đúng như dự kiến (30 triệu đô-la thông thường cộng thêm 10 triệu đô-la từ hợp đồng mới). ACS, khi tính toán mức tăng trưởng doanh thu nội bộ của chính mình cho tháng 3 năm 2005, về mặt logic lẽ ra phải loại trừ toàn bộ 40 triệu đô-la này vì không có phần nào trong đó được tính vào doanh thu của ACS nếu không có thương vụ mua lại. Tuy nhiên, cách tính của ACS lại cho phép công ty coi hợp đồng mới trị giá 10 triệu đô-la như một phần trong mức tăng trưởng "nội bộ" của chính mình. Kết quả là, mức tăng trưởng doanh thu nội bộ của ACS sẽ được hưởng lợi một cách không chính đáng từ doanh thu đến từ hoạt động kinh doanh của công ty được mua lại. Rõ ràng, đây không phải là một so sánh cùng tiêu chuẩn (apples-to-apples).</w:t>
      </w:r>
    </w:p>
    <w:p>
      <w:pPr>
        <w:spacing w:after="80"/>
      </w:pPr>
      <w:r>
        <w:rPr>
          <w:b w:val="0"/>
          <w:i w:val="0"/>
        </w:rPr>
        <w:t>MẸO</w:t>
      </w:r>
    </w:p>
    <w:p>
      <w:pPr>
        <w:spacing w:after="80"/>
      </w:pPr>
      <w:r>
        <w:rPr>
          <w:b w:val="0"/>
          <w:i w:val="0"/>
        </w:rPr>
        <w:t>Hãy soi xét kỹ cách tính tăng trưởng hữu cơ (organic growth) của các công ty hay thâu tóm, vì nó có thể bao gồm doanh thu tràn sang từ công ty mục tiêu.</w:t>
      </w:r>
    </w:p>
    <w:p>
      <w:pPr>
        <w:pStyle w:val="Heading4"/>
      </w:pPr>
      <w:r>
        <w:rPr>
          <w:rFonts w:ascii="Calibri" w:hAnsi="Calibri"/>
          <w:b/>
          <w:i w:val="0"/>
          <w:sz w:val="23"/>
        </w:rPr>
        <w:t>Hãy Dựng Ăng-Ten Khi Các Chỉ Số Then Chốt Bao Gồm Các Dòng Doanh Thu Được Mua Lại</w:t>
      </w:r>
    </w:p>
    <w:p>
      <w:pPr>
        <w:spacing w:after="80"/>
      </w:pPr>
      <w:r>
        <w:rPr>
          <w:b w:val="0"/>
          <w:i w:val="0"/>
        </w:rPr>
        <w:t>Thông thường các chỉ số doanh số cùng cửa hàng (same-store sales) loại trừ ảnh hưởng của các cửa hàng mới; tuy nhiên, khi Starbucks tiến hành mua lại các đơn vị nhận quyền khu vực (regional licensees) bắt đầu từ năm 2004, họ đã đưa các cửa hàng hiện hữu vào cơ sở so sánh (comp base) ngay lập tức. Kết quả là, Starbucks tính doanh số cùng cửa hàng dựa trên một tập hợp khác nhau mỗi quý—khó có thể coi là một chỉ số so sánh được. Nếu Starbucks đã mua lại những đơn vị nhận quyền mạnh nhất của mình, thì hoạt động mua lại này sẽ có tác động tích cực đến hiệu suất doanh số cùng cửa hàng, từ đó gây hiểu lầm cho nhà đầu tư về mức tăng trưởng doanh số cơ bản của công ty.</w:t>
      </w:r>
    </w:p>
    <w:p>
      <w:pPr>
        <w:spacing w:after="80"/>
      </w:pPr>
      <w:r>
        <w:rPr>
          <w:b w:val="0"/>
          <w:i w:val="0"/>
        </w:rPr>
        <w:t>Như đã thảo luận trong Chương 13, so sánh doanh số cùng cửa hàng với doanh thu trung bình mỗi cửa hàng là một cách hữu ích để nhận diện những thay đổi phi hữu cơ (inorganic) trong chỉ số doanh số cùng cửa hàng. Vào năm 2006, xu hướng doanh số cùng cửa hàng của Starbucks bắt đầu lệch khỏi xu hướng doanh thu mỗi cửa hàng. Khoảng cách này nới rộng vào năm 2007, và đến tháng 9 năm 2007, Starbucks báo cáo rằng lưu lượng khách tại Mỹ đã giảm lần đầu tiên trong lịch sử. Khi doanh số cùng cửa hàng tại Mỹ chuyển sang âm vào tháng 12, Starbucks tuyên bố sẽ không còn công bố doanh số cùng cửa hàng nữa, với lý do rằng nó sẽ "không còn là một chỉ báo hiệu quả về hiệu suất của Công ty."</w:t>
      </w:r>
    </w:p>
    <w:p>
      <w:pPr>
        <w:pStyle w:val="Heading4"/>
      </w:pPr>
      <w:r>
        <w:rPr>
          <w:rFonts w:ascii="Calibri" w:hAnsi="Calibri"/>
          <w:b/>
          <w:i w:val="0"/>
          <w:sz w:val="23"/>
        </w:rPr>
        <w:t>Hãy Đề Phòng Việc Mua Lại Các Công Ty Có Sản Phẩm Cạnh Tranh</w:t>
      </w:r>
    </w:p>
    <w:p>
      <w:pPr>
        <w:spacing w:after="80"/>
      </w:pPr>
      <w:r>
        <w:rPr>
          <w:b w:val="0"/>
          <w:i w:val="0"/>
        </w:rPr>
        <w:t>Đôi khi một công ty sẽ mua lại một đối thủ cạnh tranh để dần khai tử một sản phẩm cạnh tranh và chuyển khách hàng của công ty mục tiêu sang nền tảng của bên mua. Đây có thể là một chiến lược kinh doanh tốt, nhưng nó có thể tàn phá các chỉ số tăng trưởng hữu cơ. Ví dụ, nhà sản xuất máy in 3D 3D Systems đã mua lại đối thủ Z-Corp vào năm 2012 và nhanh chóng tuyên bố sẽ ngừng một số sản phẩm của Z-Corp. Đương nhiên, doanh thu của Z-Corp giảm sau khi bị mua lại, và 3D Systems báo cáo mức tăng trưởng hữu cơ mạnh mẽ. Bất kỳ mức tăng trưởng doanh thu nào mà 3D Systems thu được từ các khách hàng cũ của Z-Corp đều không nên được coi là hữu cơ.</w:t>
      </w:r>
    </w:p>
    <w:p>
      <w:pPr>
        <w:pStyle w:val="Heading3"/>
      </w:pPr>
      <w:r>
        <w:rPr>
          <w:rFonts w:ascii="Calibri" w:hAnsi="Calibri"/>
          <w:b/>
          <w:i w:val="0"/>
          <w:sz w:val="26"/>
        </w:rPr>
        <w:t>Làm Nổi Bật Lợi Nhuận Bị Thổi Phồng</w:t>
      </w:r>
    </w:p>
    <w:p>
      <w:pPr>
        <w:spacing w:after="80"/>
      </w:pPr>
      <w:r>
        <w:rPr>
          <w:b w:val="0"/>
          <w:i w:val="0"/>
        </w:rPr>
        <w:t>Các bên mua lại thường phát sinh những chi phí đáng kể liên quan đến thương vụ (pháp lý, ngân hàng đầu tư, tích hợp, v.v.) và có nhiều quyền tự quyết trong việc phân loại những chi phí này là mang tính một lần và tách chúng xuống dưới dòng (below the line). Nghĩa là, ban điều hành có thể hướng dẫn nhà đầu tư bỏ qua những chi phí như vậy và chỉ xem xét các chi phí hoạt động thường xuyên thông thường. Về lý thuyết, việc bỏ qua các chi phí một lần nghe có vẻ hợp lý, vì theo định nghĩa, chúng không nên xuất hiện vào năm sau.</w:t>
      </w:r>
    </w:p>
    <w:p>
      <w:pPr>
        <w:spacing w:after="80"/>
      </w:pPr>
      <w:r>
        <w:rPr>
          <w:b w:val="0"/>
          <w:i w:val="0"/>
        </w:rPr>
        <w:t xml:space="preserve">Tuy nhiên, đối với những công ty thực hiện hết thương vụ này đến thương vụ khác, những chi phí như vậy hoàn toàn là </w:t>
      </w:r>
      <w:r>
        <w:rPr>
          <w:b w:val="0"/>
          <w:i/>
        </w:rPr>
        <w:t>thường xuyên</w:t>
      </w:r>
      <w:r>
        <w:rPr>
          <w:b w:val="0"/>
          <w:i w:val="0"/>
        </w:rPr>
        <w:t xml:space="preserve"> và là một phần thường xuyên trong cơ cấu chi phí. Thêm vào đó, những công ty thực hiện nhiều thương vụ và phát sinh nhiều khoản xóa sổ thường vượt qua ranh giới ngạn ngữ và chuyển một cách không chính đáng một số chi phí hoạt động thường xuyên thông thường (bán hàng, R&amp;D, hành chính, v.v.) xuống dưới dòng vào nhóm phi thường xuyên.</w:t>
      </w:r>
    </w:p>
    <w:p>
      <w:pPr>
        <w:pStyle w:val="Heading4"/>
      </w:pPr>
      <w:r>
        <w:rPr>
          <w:rFonts w:ascii="Calibri" w:hAnsi="Calibri"/>
          <w:b/>
          <w:i w:val="0"/>
          <w:sz w:val="23"/>
        </w:rPr>
        <w:t>Hãy Hoài Nghi Khi Lợi Nhuận GAAP Thấp Hơn Đáng Kể So Với "Lợi Nhuận Điều Chỉnh"</w:t>
      </w:r>
    </w:p>
    <w:p>
      <w:pPr>
        <w:spacing w:after="80"/>
      </w:pPr>
      <w:r>
        <w:rPr>
          <w:b w:val="0"/>
          <w:i w:val="0"/>
        </w:rPr>
        <w:t>Một nguyên tắc kinh nghiệm tốt để đánh giá tính chính đáng của một chỉ số phi GAAP là so sánh nó với chỉ số tương ứng dựa trên GAAP. Vậy nên nếu "lợi nhuận điều chỉnh" phi GAAP bám sát lợi nhuận ròng dựa trên GAAP, chúng ta coi chỉ số phi GAAP tương đương là chính đáng. Đương nhiên, nếu chỉ số phi GAAP liên tục tạo ra kết quả "hạng A cộng" còn chỉ số tương đương dựa trên GAAP lại tạo ra kết quả "hạng D trừ", thì nhà đầu tư nên bác bỏ chỉ số phi GAAP đó.</w:t>
      </w:r>
    </w:p>
    <w:p>
      <w:pPr>
        <w:spacing w:after="80"/>
      </w:pPr>
      <w:r>
        <w:rPr>
          <w:b w:val="0"/>
          <w:i w:val="0"/>
        </w:rPr>
        <w:t xml:space="preserve">Hãy xem xét các chỉ số mà Valeant đưa ra để làm nổi bật hiệu suất "xuất sắc" của mình dưới chỉ số "lợi nhuận tiền mặt" (cash earnings). Valeant tạo ra lợi nhuận ròng dựa trên GAAP trong ba năm (2013–2016) là </w:t>
      </w:r>
      <w:r>
        <w:rPr>
          <w:b w:val="0"/>
          <w:i/>
        </w:rPr>
        <w:t>âm</w:t>
      </w:r>
      <w:r>
        <w:rPr>
          <w:b w:val="0"/>
          <w:i w:val="0"/>
        </w:rPr>
        <w:t xml:space="preserve"> 2,7 tỷ đô-la, nhưng công ty lại khoe khoang "lợi nhuận tiền mặt" phi GAAP lũy kế là </w:t>
      </w:r>
      <w:r>
        <w:rPr>
          <w:b w:val="0"/>
          <w:i/>
        </w:rPr>
        <w:t>dương</w:t>
      </w:r>
      <w:r>
        <w:rPr>
          <w:b w:val="0"/>
          <w:i w:val="0"/>
        </w:rPr>
        <w:t xml:space="preserve"> 9,6 tỷ đô-la—một chênh lệch đáng kinh ngạc lên tới hơn 12 tỷ đô-la. Với việc chỉ số phi GAAP thấp hơn chỉ số tương đương dựa trên GAAP một khoản lớn đến vậy (và một bên là lợi nhuận còn bên kia là thua lỗ), nhà đầu tư nên bác bỏ chỉ số phi GAAP này vì nó gây hiểu lầm thảm hại.</w:t>
      </w:r>
    </w:p>
    <w:p>
      <w:pPr>
        <w:spacing w:after="80"/>
      </w:pPr>
      <w:r>
        <w:rPr>
          <w:b w:val="0"/>
          <w:i w:val="0"/>
        </w:rPr>
        <w:t>Trong Hình 17-1, chúng tôi trình bày lợi nhuận GAAP so với phi GAAP mà Valeant báo cáo trong 16 quý từ năm 2013 đến năm 2016. Hãy lưu ý rằng trong hầu hết các quý, lợi nhuận ròng dựa trên GAAP hoặc là âm hoặc rất gần bằng không. Tuy nhiên, một ngoại lệ là Q4 2014, được thể hiện bằng cột cao nhất ngay giữa biểu đồ, với lợi nhuận ròng dựa trên GAAP tiệm cận 500 triệu đô-la. Tuy nhiên, con số đó đáng lẽ phải có một dấu hoa thị lớn, vì nó bao gồm khoản lãi trước thuế một lần 287 triệu đô-la từ việc bán cổ phần của mình trong một doanh nghiệp khác (Allergan). Rõ ràng, khoản lãi của Valeant nên được coi là mang tính một lần, nên khoảng cách giữa lợi nhuận GAAP và phi GAAP sẽ còn lớn hơn cả mức chênh lệch 12 tỷ đô-la.</w:t>
      </w:r>
    </w:p>
    <w:p>
      <w:pPr>
        <w:spacing w:after="80"/>
      </w:pPr>
      <w:r>
        <w:rPr>
          <w:b/>
          <w:i w:val="0"/>
        </w:rPr>
        <w:t>Hình 17-1</w:t>
      </w:r>
      <w:r>
        <w:rPr>
          <w:b w:val="0"/>
          <w:i w:val="0"/>
        </w:rPr>
        <w:t xml:space="preserve"> VRX NI so với Thu nhập Tiền mặt, 2013–2016, theo Quý</w:t>
      </w:r>
    </w:p>
    <w:p>
      <w:pPr>
        <w:jc w:val="center"/>
      </w:pPr>
      <w:r>
        <w:drawing>
          <wp:inline xmlns:a="http://schemas.openxmlformats.org/drawingml/2006/main" xmlns:pic="http://schemas.openxmlformats.org/drawingml/2006/picture">
            <wp:extent cx="5486400" cy="2670123"/>
            <wp:docPr id="59" name="Picture 59"/>
            <wp:cNvGraphicFramePr>
              <a:graphicFrameLocks noChangeAspect="1"/>
            </wp:cNvGraphicFramePr>
            <a:graphic>
              <a:graphicData uri="http://schemas.openxmlformats.org/drawingml/2006/picture">
                <pic:pic>
                  <pic:nvPicPr>
                    <pic:cNvPr id="0" name="00061.jpeg"/>
                    <pic:cNvPicPr/>
                  </pic:nvPicPr>
                  <pic:blipFill>
                    <a:blip r:embed="rId67"/>
                    <a:stretch>
                      <a:fillRect/>
                    </a:stretch>
                  </pic:blipFill>
                  <pic:spPr>
                    <a:xfrm>
                      <a:off x="0" y="0"/>
                      <a:ext cx="5486400" cy="2670123"/>
                    </a:xfrm>
                    <a:prstGeom prst="rect"/>
                  </pic:spPr>
                </pic:pic>
              </a:graphicData>
            </a:graphic>
          </wp:inline>
        </w:drawing>
      </w:r>
    </w:p>
    <w:p>
      <w:pPr>
        <w:spacing w:after="80"/>
      </w:pPr>
      <w:r>
        <w:rPr>
          <w:b w:val="0"/>
          <w:i w:val="0"/>
        </w:rPr>
        <w:t>MẸO</w:t>
      </w:r>
    </w:p>
    <w:p>
      <w:pPr>
        <w:spacing w:after="80"/>
      </w:pPr>
      <w:r>
        <w:rPr>
          <w:b w:val="0"/>
          <w:i w:val="0"/>
        </w:rPr>
        <w:t>Hãy cực kỳ hoài nghi khi ban lãnh đạo tung ra một chỉ số phi GAAP (non-GAAP) mà lúc nào trông cũng tốt hơn hẳn so với chỉ số GAAP tương ứng.</w:t>
      </w:r>
    </w:p>
    <w:p>
      <w:pPr>
        <w:pStyle w:val="Heading3"/>
      </w:pPr>
      <w:r>
        <w:rPr>
          <w:rFonts w:ascii="Calibri" w:hAnsi="Calibri"/>
          <w:b/>
          <w:i w:val="0"/>
          <w:sz w:val="26"/>
        </w:rPr>
        <w:t>Nhìn về phía trước</w:t>
      </w:r>
    </w:p>
    <w:p>
      <w:pPr>
        <w:spacing w:after="80"/>
      </w:pPr>
      <w:r>
        <w:rPr>
          <w:b w:val="0"/>
          <w:i w:val="0"/>
        </w:rPr>
        <w:t>Phần Sáu gồm hai chương kết nối mọi thứ lại với nhau. Chương 18 cho thấy sự sụp đổ của ba công ty nổi tiếng, mỗi công ty đều dùng đủ chiêu trò để lừa nhà đầu tư. Chương 19 bàn về những yếu tố then chốt của tư duy điều tra (forensic mindset) và đưa ra 10 bài học cốt lõi giúp bạn trở thành một nhà đầu tư giỏi hơn.</w:t>
      </w:r>
    </w:p>
    <w:p>
      <w:pPr>
        <w:pStyle w:val="Heading1"/>
      </w:pPr>
      <w:r>
        <w:rPr>
          <w:rFonts w:ascii="Calibri" w:hAnsi="Calibri"/>
          <w:b/>
          <w:i w:val="0"/>
          <w:sz w:val="40"/>
        </w:rPr>
        <w:t>PHẦN SÁU</w:t>
      </w:r>
    </w:p>
    <w:p>
      <w:pPr>
        <w:pStyle w:val="Heading1"/>
      </w:pPr>
      <w:r>
        <w:rPr>
          <w:rFonts w:ascii="Calibri" w:hAnsi="Calibri"/>
          <w:b/>
          <w:i w:val="0"/>
          <w:sz w:val="40"/>
        </w:rPr>
        <w:t>GHÉP TẤT CẢ LẠI VỚI NHAU</w:t>
      </w:r>
    </w:p>
    <w:p>
      <w:pPr>
        <w:spacing w:after="80"/>
      </w:pPr>
      <w:r>
        <w:rPr>
          <w:b w:val="0"/>
          <w:i w:val="0"/>
        </w:rPr>
        <w:t>Chúc mừng! Bạn đã leo hết ngọn núi chiêu trò thứ tư và cũng là ngọn núi cuối cùng. Trong Chương 18, chúng ta xem xét ba công ty lừng lẫy mà những chiêu trò kế toán đã biến họ thành vài trong số những thảm họa doanh nghiệp lớn nhất những năm gần đây. Rồi trong chương khép lại, “Tư duy Điều tra,” chúng ta cùng nhìn lại những vấn đề và câu hỏi quan trọng nhất cần ghi nhớ khi bạn rong ruổi qua các báo cáo tài chính.</w:t>
      </w:r>
    </w:p>
    <w:p>
      <w:pPr>
        <w:pStyle w:val="Heading2"/>
      </w:pPr>
      <w:r>
        <w:rPr>
          <w:rFonts w:ascii="Calibri" w:hAnsi="Calibri"/>
          <w:b/>
          <w:i w:val="0"/>
          <w:sz w:val="32"/>
        </w:rPr>
        <w:t>18</w:t>
      </w:r>
    </w:p>
    <w:p>
      <w:pPr>
        <w:pStyle w:val="Heading2"/>
      </w:pPr>
      <w:r>
        <w:rPr>
          <w:rFonts w:ascii="Calibri" w:hAnsi="Calibri"/>
          <w:b/>
          <w:i w:val="0"/>
          <w:sz w:val="32"/>
        </w:rPr>
        <w:t>Sự Sụp Đổ</w:t>
      </w:r>
    </w:p>
    <w:p>
      <w:pPr>
        <w:spacing w:after="80"/>
      </w:pPr>
      <w:r>
        <w:rPr>
          <w:b w:val="0"/>
          <w:i w:val="0"/>
        </w:rPr>
        <w:t xml:space="preserve">Cho đến giờ, </w:t>
      </w:r>
      <w:r>
        <w:rPr>
          <w:b w:val="0"/>
          <w:i/>
        </w:rPr>
        <w:t>Financial Shenanigans</w:t>
      </w:r>
      <w:r>
        <w:rPr>
          <w:b w:val="0"/>
          <w:i w:val="0"/>
        </w:rPr>
        <w:t xml:space="preserve"> chủ yếu tập trung mô tả đủ loại chiêu trò kế toán và cách nhà đầu tư có thể phát hiện chúng. Những công ty dùng chiêu trò như vậy để che giấu vấn đề kinh doanh đôi khi sụp đổ một cách ngoạn mục, gây thiệt hại lớn cho nhà đầu tư. Chúng tôi gọi cú sụp đổ đó là sự sụp đổ (unraveling).</w:t>
      </w:r>
    </w:p>
    <w:p>
      <w:pPr>
        <w:spacing w:after="80"/>
      </w:pPr>
      <w:r>
        <w:rPr>
          <w:b w:val="0"/>
          <w:i w:val="0"/>
        </w:rPr>
        <w:t>Chương này điểm qua ba công ty đã dùng đủ chiêu trò để che giấu vấn đề kinh doanh trước nhà đầu tư nhưng cuối cùng vẫn nổ tung khi các vụ bê bối kế toán bị phơi bày. Hai công ty đầu tiên được khắc họa đều có lịch sử thành công lâu dài (Hertz Global Holdings và Toshiba Corporation). Công ty thứ ba được khắc họa là một gương mặt tương đối mới, nhưng đã có màn thăng trầm ngoạn mục trong chưa đầy một thập kỷ (Valeant Pharmaceuticals).</w:t>
      </w:r>
    </w:p>
    <w:p>
      <w:pPr>
        <w:pStyle w:val="Heading3"/>
      </w:pPr>
      <w:r>
        <w:rPr>
          <w:rFonts w:ascii="Calibri" w:hAnsi="Calibri"/>
          <w:b/>
          <w:i w:val="0"/>
          <w:sz w:val="26"/>
        </w:rPr>
        <w:t>Hertz</w:t>
      </w:r>
    </w:p>
    <w:p>
      <w:pPr>
        <w:pStyle w:val="Heading4"/>
      </w:pPr>
      <w:r>
        <w:rPr>
          <w:rFonts w:ascii="Calibri" w:hAnsi="Calibri"/>
          <w:b/>
          <w:i w:val="0"/>
          <w:sz w:val="23"/>
        </w:rPr>
        <w:t>Bối cảnh và Lịch sử</w:t>
      </w:r>
    </w:p>
    <w:p>
      <w:pPr>
        <w:spacing w:after="80"/>
      </w:pPr>
      <w:r>
        <w:rPr>
          <w:b w:val="0"/>
          <w:i w:val="0"/>
        </w:rPr>
        <w:t>Được thành lập năm 1918, Hertz đã là một tên tuổi dẫn đầu trong ngành cho thuê xe suốt một thế kỷ. Trong nhiều năm, công ty thuộc sở hữu của các tập đoàn niêm yết lớn gồm RCA, UAL, và cho đến cuối năm 2005 là Ford Motor Company. Tháng 6 năm 2005, Ford công bố kế hoạch tách Hertz ra qua một đợt IPO, nhưng vài tháng sau, một bộ ba quỹ đầu tư tư nhân (Carlyle, Clayton Dubilier &amp; Rice, và Merrill Lynch Private Equity) đưa ra đề nghị mua lại toàn bộ công ty. Tháng 12 năm 2005, bộ ba này trả 15 tỷ đô-la để mua Hertz trong một thương vụ đòn bẩy nặng nề. Trong vở kịch diễn ra chóng mặt này, chưa đầy bảy tháng sau, bộ ba nộp hồ sơ đưa Hertz lên sàn, dẫn đến đợt IPO tháng 11 năm 2016. Như một “màn chào cuối” trước IPO, các nhà tài trợ quỹ đầu tư tư nhân vay mới 1 tỷ đô-la để tự trả cho mình một cổ tức đặc biệt đúng bằng số đó. Sau đợt phát hành công khai, bộ ba này tiếp tục nắm quyền kiểm soát Hertz.</w:t>
      </w:r>
    </w:p>
    <w:p>
      <w:pPr>
        <w:pStyle w:val="Heading4"/>
      </w:pPr>
      <w:r>
        <w:rPr>
          <w:rFonts w:ascii="Calibri" w:hAnsi="Calibri"/>
          <w:b/>
          <w:i w:val="0"/>
          <w:sz w:val="23"/>
        </w:rPr>
        <w:t>Những Năm Là Công Ty Đại Chúng</w:t>
      </w:r>
    </w:p>
    <w:p>
      <w:pPr>
        <w:spacing w:after="80"/>
      </w:pPr>
      <w:r>
        <w:rPr>
          <w:b w:val="0"/>
          <w:i w:val="0"/>
        </w:rPr>
        <w:t>Hertz bị ảnh hưởng nặng nề trong cuộc khủng hoảng tài chính năm 2008, và giá cổ phiếu của hãng lao dốc xuống còn 1,56 đô-la trong những ngày đen tối nhất. Trong những năm sau đó, hoạt động kinh doanh dần hồi phục, và doanh thu bắt đầu tăng từ năm 2010 và tiếp tục tăng mỗi năm cho đến hết 2013. Khi công ty có vẻ đang trong tình trạng tốt đẹp, bộ ba nhà đầu tư đã bán phần cổ phần còn lại của họ vào đầu năm 2013.</w:t>
      </w:r>
    </w:p>
    <w:p>
      <w:pPr>
        <w:spacing w:after="80"/>
      </w:pPr>
      <w:r>
        <w:rPr>
          <w:b w:val="0"/>
          <w:i w:val="0"/>
        </w:rPr>
        <w:t xml:space="preserve">Đến đầu mùa thu, những dấu hiệu đầu tiên về rắc rối có thể xảy ra cho các nhà đầu tư xuất hiện cùng với thông báo ngày 23 tháng 9 rằng CFO lâu năm của Hertz, Elyse Douglas, sẽ rời đi chỉ một tuần sau đó vì "lý do cá nhân." Có vài điều về quyết định của bà Douglas có vẻ kỳ lạ: </w:t>
      </w:r>
      <w:r>
        <w:rPr>
          <w:b w:val="0"/>
          <w:i/>
        </w:rPr>
        <w:t>thời điểm</w:t>
      </w:r>
      <w:r>
        <w:rPr>
          <w:b w:val="0"/>
          <w:i w:val="0"/>
        </w:rPr>
        <w:t xml:space="preserve"> và </w:t>
      </w:r>
      <w:r>
        <w:rPr>
          <w:b w:val="0"/>
          <w:i/>
        </w:rPr>
        <w:t>lý do</w:t>
      </w:r>
      <w:r>
        <w:rPr>
          <w:b w:val="0"/>
          <w:i w:val="0"/>
        </w:rPr>
        <w:t>. Không nghi ngờ gì, các giám đốc điều hành dày dạn kinh nghiệm thường xuyên rời bỏ công việc để đến với vị trí tốt hơn hoặc thậm chí để dành nhiều thời gian hơn cho gia đình. Nhưng họ gần như không bao giờ chỉ báo trước một tuần. Ngoài ra, vào cuối năm, đúng lúc đội ngũ tài chính nên chuẩn bị kết quả cuối năm cho các kiểm toán viên, lại là thời điểm cực kỳ rắc rối để rời khỏi công ty—đặc biệt là với thông báo ngắn ngủi như vậy. Nhiều dấu hiệu cảnh báo khác tiếp tục xuất hiện liên tiếp.</w:t>
      </w:r>
    </w:p>
    <w:p>
      <w:pPr>
        <w:spacing w:after="80"/>
      </w:pPr>
      <w:r>
        <w:rPr>
          <w:b w:val="0"/>
          <w:i w:val="0"/>
        </w:rPr>
        <w:t xml:space="preserve">Khi CFO mới, Thomas Kennedy, đến, hẳn ông đã phát hiện ra rằng công tác kế toán là một mớ hỗn độn. Bằng chứng đầu tiên về những lo ngại của ông xuất hiện khi Hertz nộp báo cáo 10-K Không Đúng Hạn (Non-Timely - NT) vào ngày 3 tháng 3 năm 2014, xin gia hạn để nộp Báo cáo Thường niên. Là lý do cho sự chậm trễ, Hertz viện dẫn rằng cần có một số điều chỉnh để sửa chữa các báo cáo tài chính đã công bố trước đó—nhưng cho biết rằng </w:t>
      </w:r>
      <w:r>
        <w:rPr>
          <w:b w:val="0"/>
          <w:i/>
        </w:rPr>
        <w:t>không có tác động trọng yếu nào được dự kiến</w:t>
      </w:r>
      <w:r>
        <w:rPr>
          <w:b w:val="0"/>
          <w:i w:val="0"/>
        </w:rPr>
        <w:t>. Thật vậy, Hertz đã có thể nộp báo cáo 10-K năm 2013 vào ngày 19 tháng 3, nhưng đáng ngại thay, nó chứa một chú thích có tiêu đề "Sửa chữa Sai sót," cho thấy rằng đã phát hiện các sai sót hàng loạt trong báo cáo tài chính của hãng cho các năm 2011, 2012 và 2013.</w:t>
      </w:r>
    </w:p>
    <w:p>
      <w:pPr>
        <w:spacing w:after="80"/>
      </w:pPr>
      <w:r>
        <w:rPr>
          <w:b w:val="0"/>
          <w:i w:val="0"/>
        </w:rPr>
        <w:t>MẸO</w:t>
      </w:r>
    </w:p>
    <w:p>
      <w:pPr>
        <w:spacing w:after="80"/>
      </w:pPr>
      <w:r>
        <w:rPr>
          <w:b w:val="0"/>
          <w:i w:val="0"/>
        </w:rPr>
        <w:t>Khi những dấu hiệu đầu tiên chỉ ra các vấn đề kế toán, đừng tin vào những đảm bảo của ban lãnh đạo theo giá trị bề mặt. Những tiết lộ ban đầu của ban lãnh đạo thường "tô hồng" vấn đề.</w:t>
      </w:r>
    </w:p>
    <w:p>
      <w:pPr>
        <w:spacing w:after="80"/>
      </w:pPr>
      <w:r>
        <w:rPr>
          <w:b w:val="0"/>
          <w:i w:val="0"/>
        </w:rPr>
        <w:t>Các cảnh báo trở nên to hơn và đáng ngại hơn với thông báo ngày 13 tháng 5 về một lần nộp trễ khác (quý đầu tiên của năm 2014) với những tiết lộ sau:</w:t>
      </w:r>
    </w:p>
    <w:p>
      <w:pPr>
        <w:spacing w:after="80"/>
      </w:pPr>
      <w:r>
        <w:rPr>
          <w:b w:val="0"/>
          <w:i w:val="0"/>
        </w:rPr>
        <w:t>Các sai sót đã được xác định liên quan đến kết luận của Hertz về việc vốn hóa và thời điểm khấu hao đối với một số tài sản không thuộc đội xe, các khoản dự phòng cho các khoản phải thu khó đòi ở Brazil, cũng như các mục khác. Hertz tiếp tục xem xét và gần đây đã xác định thêm các sai sót liên quan đến các khoản dự phòng cho số tiền không thể thu hồi đối với nghĩa vụ của người thuê đối với xe bị hư hỏng và nghĩa vụ khôi phục vào cuối các cơ sở cho thuê.</w:t>
      </w:r>
    </w:p>
    <w:p>
      <w:pPr>
        <w:spacing w:after="80"/>
      </w:pPr>
      <w:r>
        <w:rPr>
          <w:b w:val="0"/>
          <w:i w:val="0"/>
        </w:rPr>
        <w:t>Nhưng đáng kinh ngạc thay, chỉ sáu ngày sau, Hertz cảm thấy đủ thoải mái để công bố báo cáo tài chính Q1 2014 của mình. Nhưng rồi, vào ngày 3 tháng 6 năm 2014, Hertz lại đảo ngược một lần nữa và nói với các nhà đầu tư rằng báo cáo tài chính giai đoạn 2011–2013 của hãng không còn có thể được tin cậy nữa. Hertz cũng thông báo rằng kiểm toán viên của hãng, PwC, sẽ sửa đổi báo cáo kiểm soát nội bộ của mình và rất có thể đưa ra ý kiến bất lợi về kiểm soát nội bộ của Hertz tính đến ngày 31 tháng 12 năm 2013.</w:t>
      </w:r>
    </w:p>
    <w:p>
      <w:pPr>
        <w:spacing w:after="80"/>
      </w:pPr>
      <w:r>
        <w:rPr>
          <w:b w:val="0"/>
          <w:i w:val="0"/>
        </w:rPr>
        <w:t xml:space="preserve">Có lẽ chỉ để xoa dịu thần kinh căng thẳng của các nhà đầu tư (những người dễ hiểu là khá lo lắng), ban lãnh đạo Hertz đã công bố một số điều chỉnh sơ bộ, cắt giảm lợi nhuận trước thuế năm 2011 đi 19 triệu đô-la và năm 2012 chỉ 9 triệu đô-la. Vào thời điểm đó, một số nhà đầu tư theo định hướng giá trị, không nghi ngờ gì, đã trở nên quan tâm đến việc mua cổ phần của Hertz, vì nó trông cực kỳ rẻ và các điều chỉnh được báo cáo </w:t>
      </w:r>
      <w:r>
        <w:rPr>
          <w:b w:val="0"/>
          <w:i/>
        </w:rPr>
        <w:t>có vẻ không trọng yếu</w:t>
      </w:r>
      <w:r>
        <w:rPr>
          <w:b w:val="0"/>
          <w:i w:val="0"/>
        </w:rPr>
        <w:t>—chỉ thấp hơn 1,9 phần trăm so với các con số được báo cáo lần đầu, trong suốt ba năm. (Việc cắt giảm 28 triệu đô-la chỉ làm giảm tối thiểu lợi nhuận trước thuế được báo cáo là 1,4 tỷ đô-la.) Hơn nữa, nhà đầu tư có uy tín và ảnh hưởng Carl Icahn đã mua 12 phần trăm cổ phần của Hertz và nhận được ba ghế trong hội đồng quản trị.</w:t>
      </w:r>
    </w:p>
    <w:p>
      <w:pPr>
        <w:spacing w:after="80"/>
      </w:pPr>
      <w:r>
        <w:rPr>
          <w:b w:val="0"/>
          <w:i w:val="0"/>
        </w:rPr>
        <w:t xml:space="preserve">Trong khi một số nhà đầu tư bắt đầu vơ vét cổ phiếu với mức giá có vẻ hời, các nhà đầu tư thận trọng hẳn sẽ lo ngại rằng các ước tính ban đầu của ban lãnh đạo về việc điều chỉnh có xu hướng sai một cách thảm hại và hầu như luôn hóa ra tồi tệ hơn nhiều so với báo cáo đầu tiên. Thật vậy, kết quả thực tế tại Hertz sẽ tồi tệ hơn nhiều so với những gì ban lãnh đạo gợi ý ban đầu, vì sai sót </w:t>
      </w:r>
      <w:r>
        <w:rPr>
          <w:b w:val="0"/>
          <w:i/>
        </w:rPr>
        <w:t>đã được sửa đổi</w:t>
      </w:r>
      <w:r>
        <w:rPr>
          <w:b w:val="0"/>
          <w:i w:val="0"/>
        </w:rPr>
        <w:t xml:space="preserve"> không phải là 28 triệu đô-la được báo cáo ban đầu—thậm chí không gần bằng.</w:t>
      </w:r>
    </w:p>
    <w:p>
      <w:pPr>
        <w:spacing w:after="80"/>
      </w:pPr>
      <w:r>
        <w:rPr>
          <w:b w:val="0"/>
          <w:i w:val="0"/>
        </w:rPr>
        <w:t>Các nhà đầu tư phải chờ đợi trong tình trạng lấp lửng hơn một năm trước khi nhận được báo cáo tài chính đã được sửa chữa. Đó không phải là giai đoạn tốt đẹp cho Hertz khi giá cổ phiếu tiếp tục lao dốc và chủ tịch kiêm CEO lâu năm Mark Frissora bị truất phế khỏi công ty. Cuối cùng, vào tháng 7 năm 2015, Hertz hoàn thành việc điều chỉnh và cung cấp chi tiết về các vi phạm kế toán của mình. Việc điều chỉnh đã cắt giảm tới 349 triệu đô-la khỏi lợi nhuận trước thuế, bao gồm 235 triệu đô-la cho các năm 2011 đến 2013.</w:t>
      </w:r>
    </w:p>
    <w:p>
      <w:pPr>
        <w:spacing w:after="80"/>
      </w:pPr>
      <w:r>
        <w:rPr>
          <w:b w:val="0"/>
          <w:i w:val="0"/>
        </w:rPr>
        <w:t>Việc điều chỉnh tiết lộ rằng Hertz đã sử dụng nhiều thủ thuật kế toán khác nhau để che giấu hiệu suất cơ bản đang suy giảm của mình. Hầu hết các thủ thuật mà Hertz sử dụng đều thuộc ba nhóm Thao túng Lợi nhuận: (1) Thủ thuật EM số 1: Ghi nhận Doanh thu Quá Sớm; (2) Thủ thuật EM số 4: Chuyển Chi phí Hiện tại sang Giai đoạn Sau; hoặc (3) Thủ thuật EM số 5: Sử dụng Các Kỹ thuật Khác để Che giấu Chi phí hoặc Thua lỗ. Như bạn nhớ, khi ban lãnh đạo sử dụng EM số 1, doanh thu sẽ bị thổi phồng; và khi họ sử dụng EM số 4 hoặc số 5, chi phí sẽ bị giảm bớt. Tuy nhiên, trong mọi trường hợp, lợi nhuận đều bị thổi phồng.</w:t>
      </w:r>
    </w:p>
    <w:p>
      <w:pPr>
        <w:spacing w:after="80"/>
      </w:pPr>
      <w:r>
        <w:rPr>
          <w:b w:val="0"/>
          <w:i w:val="0"/>
        </w:rPr>
        <w:t>Sự sụp đổ của Hertz tiếp tục ngay cả sau khi điều chỉnh lớn, khi các vấn đề kinh doanh dai dẳng kéo doanh thu và lợi nhuận đi xuống. Việc điều chỉnh đã mang đến cho các nhà đầu tư một bức tranh hoàn toàn mới về hoạt động kinh doanh. Sau nhiều năm phân tích những con số sai lệch, các nhà đầu tư giờ đây có thể thấy thực tế kinh tế thực sự của Hertz. Và họ trở nên kinh hoàng trước những gì họ thấy. Giá cổ phiếu của Hertz tiếp tục lao dốc, và đến tháng 2 năm 2016, nó đã giảm gần 75 phần trăm so với đỉnh cao chỉ một năm rưỡi trước đó.</w:t>
      </w:r>
    </w:p>
    <w:p>
      <w:pPr>
        <w:spacing w:after="80"/>
      </w:pPr>
      <w:r>
        <w:rPr>
          <w:b w:val="0"/>
          <w:i w:val="0"/>
        </w:rPr>
        <w:t>MẸO</w:t>
      </w:r>
    </w:p>
    <w:p>
      <w:pPr>
        <w:spacing w:after="80"/>
      </w:pPr>
      <w:r>
        <w:rPr>
          <w:b w:val="0"/>
          <w:i w:val="0"/>
        </w:rPr>
        <w:t>Khi một công ty đang trong quá trình sửa chữa các sai sót kế toán trong quá khứ, các nhà đầu tư thông minh sẽ tránh xa cho đến khi họ có cơ hội phân tích hiệu suất thực sự của công ty. Có khả năng cao rằng các con số đã được sửa chữa và hiệu suất kinh doanh cơ bản sẽ tồi tệ hơn mong đợi.</w:t>
      </w:r>
    </w:p>
    <w:p>
      <w:pPr>
        <w:pStyle w:val="Heading3"/>
      </w:pPr>
      <w:r>
        <w:rPr>
          <w:rFonts w:ascii="Calibri" w:hAnsi="Calibri"/>
          <w:b/>
          <w:i w:val="0"/>
          <w:sz w:val="26"/>
        </w:rPr>
        <w:t>Toshiba</w:t>
      </w:r>
    </w:p>
    <w:p>
      <w:pPr>
        <w:pStyle w:val="Heading4"/>
      </w:pPr>
      <w:r>
        <w:rPr>
          <w:rFonts w:ascii="Calibri" w:hAnsi="Calibri"/>
          <w:b/>
          <w:i w:val="0"/>
          <w:sz w:val="23"/>
        </w:rPr>
        <w:t>Bối cảnh và Lịch sử</w:t>
      </w:r>
    </w:p>
    <w:p>
      <w:pPr>
        <w:spacing w:after="80"/>
      </w:pPr>
      <w:r>
        <w:rPr>
          <w:b w:val="0"/>
          <w:i w:val="0"/>
        </w:rPr>
        <w:t>Toshiba bắt nguồn từ việc thành lập Công ty Kỹ thuật Tanaka vào năm 1875. Năm 1939, qua một thương vụ sáp nhập trước đó, công ty lấy tên là Toshiba. Nó phát triển thành một tập đoàn đáng nể, với nhiều mảng kinh doanh đa dạng bao gồm Năng lượng và Hạ tầng, Giải pháp Cộng đồng (thang máy, chiếu sáng và HVAC), Hệ thống và Dịch vụ Chăm sóc Sức khỏe, Sản phẩm và Dịch vụ Đời sống, cùng nhiều mảng khác. Toshiba bao gồm hơn 600 công ty con hợp nhất và tạo ra doanh thu hàng năm vượt 44 tỷ USD trong năm tài chính 2017.</w:t>
      </w:r>
    </w:p>
    <w:p>
      <w:pPr>
        <w:pStyle w:val="Heading4"/>
      </w:pPr>
      <w:r>
        <w:rPr>
          <w:rFonts w:ascii="Calibri" w:hAnsi="Calibri"/>
          <w:b/>
          <w:i w:val="0"/>
          <w:sz w:val="23"/>
        </w:rPr>
        <w:t>Lịch sử Gần đây về các Vấn đề và Kế toán</w:t>
      </w:r>
    </w:p>
    <w:p>
      <w:pPr>
        <w:spacing w:after="80"/>
      </w:pPr>
      <w:r>
        <w:rPr>
          <w:b w:val="0"/>
          <w:i w:val="0"/>
        </w:rPr>
        <w:t>Năm 2015 là một cơn ác mộng đối với Toshiba, khi tin tức về một vụ bê bối kế toán kéo dài khiến giá cổ phiếu giảm một nửa. Cú đánh đầu tiên ập đến vào ngày 3 tháng 4 năm 2015, khi công ty tiết lộ rằng họ sẽ triệu tập một "Ủy ban Điều tra Đặc biệt" để tiến hành điều tra nội bộ về một số vấn đề kế toán nhất định. Cụ thể, cuộc điều tra sẽ tập trung vào việc công ty sử dụng phương pháp ghi nhận doanh thu theo tỷ lệ phần trăm hoàn thành (percentage-of-completion) trong các hợp đồng hạ tầng trước đây. Đây là một thông báo cực kỳ đáng sợ, vậy mà thị trường chỉ tỏ ra lo ngại nhẹ. Cổ phiếu chỉ giảm 5 phần trăm từ ¥512 xuống ¥487 và thực tế bắt đầu phục hồi vào cuối tháng.</w:t>
      </w:r>
    </w:p>
    <w:p>
      <w:pPr>
        <w:spacing w:after="80"/>
      </w:pPr>
      <w:r>
        <w:rPr>
          <w:b w:val="0"/>
          <w:i w:val="0"/>
        </w:rPr>
        <w:t>Những nhà đầu tư tinh ý hẳn đã coi thông báo này như một dấu hiệu cảnh báo lớn. Tin tức về một cuộc điều tra kế toán nội bộ, đặc biệt là một cuộc điều tra tập trung vào ghi nhận doanh thu, không bao giờ nên xem nhẹ. Đó là dấu hiệu cho thấy các vấn đề kế toán đang tồn tại và có khả năng nghiêm trọng. Dù phạm vi và mức độ của các vấn đề có thể chưa rõ, sẽ là khôn ngoan nếu giả định chúng sẽ tồi tệ hơn ta tưởng. Thay vì hy vọng điều tốt đẹp nhất, nhà đầu tư nên đứng ngoài quan sát.</w:t>
      </w:r>
    </w:p>
    <w:p>
      <w:pPr>
        <w:spacing w:after="80"/>
      </w:pPr>
      <w:r>
        <w:rPr>
          <w:b w:val="0"/>
          <w:i w:val="0"/>
        </w:rPr>
        <w:t>Như chúng ta vừa học được với Hertz, ban lãnh đạo thường tô hồng những tiết lộ ban đầu về các vấn đề kế toán. Sự khởi đầu của một cuộc điều tra nội bộ có khả năng đồng nghĩa với việc sẽ có thêm nhiều tin xấu. Nếu vấn đề kế toán đang bị điều tra là nhỏ, nó đã được giải quyết mà không cần đến một cuộc điều tra lớn.</w:t>
      </w:r>
    </w:p>
    <w:p>
      <w:pPr>
        <w:spacing w:after="80"/>
      </w:pPr>
      <w:r>
        <w:rPr>
          <w:b w:val="0"/>
          <w:i w:val="0"/>
        </w:rPr>
        <w:t>Vào ngày 8 tháng 5 năm 2015, một tháng sau khi ủy ban đặc biệt được thành lập, Toshiba tiết lộ rằng các vấn đề ghi nhận doanh thu còn tồi tệ hơn cả những gì ban đầu người ta nghĩ. Trước mức độ nghiêm trọng của tình hình, Toshiba đã thay đổi thành phần các thành viên ủy ban để chỉ bao gồm "các chuyên gia bên ngoài công bằng và khách quan, những người không có bất kỳ lợi ích nào trong công ty." Tin tức đáng lo ngại này khiến cổ phiếu giảm thêm 17 phần trăm xuống ¥403.</w:t>
      </w:r>
    </w:p>
    <w:p>
      <w:pPr>
        <w:spacing w:after="80"/>
      </w:pPr>
      <w:r>
        <w:rPr>
          <w:b w:val="0"/>
          <w:i w:val="0"/>
        </w:rPr>
        <w:t>Vào ngày 20 tháng 7 năm 2015, ủy ban điều tra của Toshiba công bố các phát hiện sơ bộ khiến nhà đầu tư sốc: Toshiba sẽ buộc phải hạ thấp lợi nhuận đã báo cáo trước đó kéo dài bảy năm về tận năm tài chính 2008, với mức giảm đáng kinh ngạc là 1,2 tỷ USD (¥ tỷ). Ngày hôm sau, chủ tịch của hãng, Hisao Tanaka, từ chức trong ô nhục, khi ông gọi vụ bê bối này là "sự kiện gây tổn hại nhất cho thương hiệu của chúng tôi trong lịch sử 140 năm của công ty."</w:t>
      </w:r>
    </w:p>
    <w:p>
      <w:pPr>
        <w:spacing w:after="80"/>
      </w:pPr>
      <w:r>
        <w:rPr>
          <w:b w:val="0"/>
          <w:i w:val="0"/>
        </w:rPr>
        <w:t>Giá cổ phiếu của Toshiba tiếp tục lao dốc, và đến tháng 9, ủy ban công bố báo cáo đầy đủ của mình và các con số còn tồi tệ hơn cả những phát hiện sơ bộ. Đáng kinh ngạc là, các điều chỉnh lại lợi nhuận bao trùm tất cả các năm từ 2008 đến 2014, trải dài qua thời kỳ cầm quyền của ba vị CEO khác nhau. Tổng mức phóng đại lợi nhuận trước thuế lên tới gần 1,9 tỷ USD (¥225 tỷ). Các điều chỉnh lớn nhất xảy ra vào năm 2011 và 2012, và những khoản lớn nhất liên quan đến (1) thổi phồng doanh thu bằng cách áp dụng sai phương pháp kế toán theo tỷ lệ phần trăm hoàn thành, (2) nhồi hàng vào các kênh phân phối trong các giao dịch của mảng kinh doanh PC, và (3) không ghi nhận các khoản chi phí cho suy giảm giá trị và khấu hao. Đến tháng 12 năm 2015, cổ phiếu của Toshiba đã giảm xuống ¥215, giảm 60 phần trăm so với đỉnh điểm tháng 3 năm 2015.</w:t>
      </w:r>
    </w:p>
    <w:p>
      <w:pPr>
        <w:pStyle w:val="Heading3"/>
      </w:pPr>
      <w:r>
        <w:rPr>
          <w:rFonts w:ascii="Calibri" w:hAnsi="Calibri"/>
          <w:b/>
          <w:i w:val="0"/>
          <w:sz w:val="26"/>
        </w:rPr>
        <w:t>Valeant Pharmaceuticals</w:t>
      </w:r>
    </w:p>
    <w:p>
      <w:pPr>
        <w:pStyle w:val="Heading4"/>
      </w:pPr>
      <w:r>
        <w:rPr>
          <w:rFonts w:ascii="Calibri" w:hAnsi="Calibri"/>
          <w:b/>
          <w:i w:val="0"/>
          <w:sz w:val="23"/>
        </w:rPr>
        <w:t>Bối cảnh và Lịch sử</w:t>
      </w:r>
    </w:p>
    <w:p>
      <w:pPr>
        <w:spacing w:after="80"/>
      </w:pPr>
      <w:r>
        <w:rPr>
          <w:b w:val="0"/>
          <w:i w:val="0"/>
        </w:rPr>
        <w:t xml:space="preserve">Dù được thành lập vào năm 1960, câu chuyện về sự thăng trầm chóng mặt của Valeant bắt đầu vào năm 2007, khi Valeant thuê công ty tư vấn quản lý McKinsey &amp; Company để giúp khởi động tăng trưởng trong hoạt động kinh doanh. Nhóm McKinsey, do Michael Pearson dẫn đầu, đã tư vấn một chiến lược cấp tiến—cắt giảm R&amp;D nội bộ và theo đuổi tăng trưởng thông qua mua lại và tăng giá. Rõ ràng, Pearson đã gây ấn tượng với hội đồng quản trị của Valeant, và vào đầu năm 2008, ông được tuyển dụng để làm CEO của công ty. Trong bảy năm tiếp theo, Valeant thực hiện hàng loạt thương vụ mua lại, gánh chịu một khoản nợ khổng lồ để tài trợ cho các thương vụ này. Trong suốt thời gian đó, hoạt động kinh doanh cốt lõi của Valeant chỉ đạt mức tăng trưởng hữu cơ èo uột, và công ty thường xuyên báo cáo các khoản </w:t>
      </w:r>
      <w:r>
        <w:rPr>
          <w:b w:val="0"/>
          <w:i/>
        </w:rPr>
        <w:t>lỗ</w:t>
      </w:r>
      <w:r>
        <w:rPr>
          <w:b w:val="0"/>
          <w:i w:val="0"/>
        </w:rPr>
        <w:t xml:space="preserve"> ròng dựa trên GAAP. Nhưng Valeant đã sử dụng nhiều chỉ số phi GAAP gây hiểu lầm khác nhau để thuyết phục nhà đầu tư rằng chiến lược của Pearson đang diễn ra tốt đẹp.</w:t>
      </w:r>
    </w:p>
    <w:p>
      <w:pPr>
        <w:spacing w:after="80"/>
      </w:pPr>
      <w:r>
        <w:rPr>
          <w:b w:val="0"/>
          <w:i w:val="0"/>
        </w:rPr>
        <w:t>Không giống như những vụ gian lận kế toán tai tiếng và được biết đến rộng rãi hơn, câu chuyện Valeant thực sự là về một công ty tương đối nhỏ mà cách đây một thập kỷ đã có những ảo tưởng về sự vĩ đại và đặt mục tiêu trở thành một trong năm công ty dược phẩm lớn nhất tại Hoa Kỳ. Và kế hoạch của Pearson để làm điều đó rất phi truyền thống; nó sẽ tránh việc khám phá thuốc và các khoản chi R&amp;D khác vốn phổ biến trong ngành, thay vào đó dựa vào việc mua các công ty đã thành danh với những loại thuốc đã được chứng minh và khách hàng hiện hữu. Khi đã là một phần trong danh mục thuốc của Valeant, công ty sau đó có thể tăng giá đáng kể như một động lực bổ sung cho tăng trưởng doanh số. Nhà đầu tư đã cổ vũ họ khi Pearson nhìn giá trị cổ phần cá nhân của mình tăng lên mức đáng kinh ngạc là 3 tỷ USD vào mùa hè năm 2015. Khi cổ phiếu đạt đỉnh vào tháng 8 năm 2015, giá trị thị trường của Valeant chạm mức 90 tỷ USD (một mức leo dốc gần như không thể tưởng tượng từ khoảng 2 tỷ USD khi Pearson trở thành CEO vào tháng 2 năm 2008). Đến mùa xuân năm 2017, giá trị thị trường của Valeant lao dốc trở lại khoảng 3 tỷ USD, xóa sổ 87 tỷ USD giá trị vốn chủ sở hữu.</w:t>
      </w:r>
    </w:p>
    <w:p>
      <w:pPr>
        <w:spacing w:after="80"/>
      </w:pPr>
      <w:r>
        <w:rPr>
          <w:b w:val="0"/>
          <w:i w:val="0"/>
        </w:rPr>
        <w:t>Trong khi nhiều nhà đầu tư bị bắt chẹt khi giá trị thị trường bắt đầu sụp đổ, các dấu hiệu cảnh báo đã ở khắp mọi nơi. Có lẽ rõ ràng nhất là, để thực thi chiến lược của mình, Valeant sẽ cần đảm bảo nguồn cung ổn định các mục tiêu mua lại hấp dẫn với mức giá hợp lý. Hơn nữa, khối lượng các thương vụ sẽ phải mở rộng mỗi năm để cung cấp mức tăng trưởng có ý nghĩa cho cơ sở doanh thu ngày càng tăng của nó. Trong điều kiện tốt nhất, đây sẽ là một chiến lược không bền vững; tuy nhiên, việc Valeant lựa chọn các mục tiêu khác thường khiến cho tăng trưởng vĩnh viễn thông qua M&amp;A thậm chí còn ít khả thi hơn.</w:t>
      </w:r>
    </w:p>
    <w:p>
      <w:pPr>
        <w:pStyle w:val="Heading4"/>
      </w:pPr>
      <w:r>
        <w:rPr>
          <w:rFonts w:ascii="Calibri" w:hAnsi="Calibri"/>
          <w:b/>
          <w:i w:val="0"/>
          <w:sz w:val="23"/>
        </w:rPr>
        <w:t>Sáp nhập với Biovail</w:t>
      </w:r>
    </w:p>
    <w:p>
      <w:pPr>
        <w:spacing w:after="80"/>
      </w:pPr>
      <w:r>
        <w:rPr>
          <w:b w:val="0"/>
          <w:i w:val="0"/>
        </w:rPr>
        <w:t>Năm 2010, sau nhiều lần ngỏ ý thất bại trước đó để hoàn tất một thương vụ, Valeant và Biovail có trụ sở tại Canada đã đồng ý sáp nhập, cho phép Valeant có trụ sở tại Hoa Kỳ được đánh thuế ở mức rất thấp 5 phần trăm của Canada (thay vì mức 35 phần trăm của Hoa Kỳ) và chuyển trụ sở chính đến Quebec, Canada.</w:t>
      </w:r>
    </w:p>
    <w:p>
      <w:pPr>
        <w:spacing w:after="80"/>
      </w:pPr>
      <w:r>
        <w:rPr>
          <w:b w:val="0"/>
          <w:i w:val="0"/>
        </w:rPr>
        <w:t>Biovail được thành lập bởi Eugene Melnyk, và cả Biovail lẫn Melnyk đều từng có những va chạm với cơ quan quản lý và tòa án. Ví dụ, vào tháng 3 năm 2008, SEC đã kiện Biovail và một số cựu lãnh đạo của công ty, cáo buộc rằng họ “</w:t>
      </w:r>
      <w:r>
        <w:rPr>
          <w:b w:val="0"/>
          <w:i/>
        </w:rPr>
        <w:t>bị ám ảnh với việc đạt được mục tiêu lợi nhuận hàng quý, liên tục khai khống lợi nhuận và che giấu thua lỗ để lừa dối nhà đầu tư và tạo ra vẻ ngoài như đang đạt được các mục tiêu lợi nhuận</w:t>
      </w:r>
      <w:r>
        <w:rPr>
          <w:b w:val="0"/>
          <w:i w:val="0"/>
        </w:rPr>
        <w:t>.” Biovail đã dàn xếp vụ kiện bằng cách trả 10 triệu đô la. Các vấn đề của công ty vẫn tiếp diễn, và vào tháng 2 năm 2009, Biovail đã dàn xếp với Ủy ban Chứng khoán Ontario sau khi các đại diện thừa nhận đã đưa ra những tuyên bố sai sự thật và thực hiện hành vi bất hợp pháp. Melnyk sau đó bị cấm đảm nhận các vị trí cấp cao tại các công ty đại chúng ở Canada trong 5 năm và bị nhà chức trách Canada phạt 565.000 đô la. Ông cũng dàn xếp với SEC và đồng ý trả hơn 1 triệu đô la tiền phạt.</w:t>
      </w:r>
    </w:p>
    <w:p>
      <w:pPr>
        <w:spacing w:after="80"/>
      </w:pPr>
      <w:r>
        <w:rPr>
          <w:b w:val="0"/>
          <w:i w:val="0"/>
        </w:rPr>
        <w:t>DẤU HIỆU CẢNH BÁO</w:t>
      </w:r>
    </w:p>
    <w:p>
      <w:pPr>
        <w:spacing w:after="80"/>
      </w:pPr>
      <w:r>
        <w:rPr>
          <w:b w:val="0"/>
          <w:i w:val="0"/>
        </w:rPr>
        <w:t>Valeant chắc chắn đã biết về lịch sử nhơ nhớp của Biovail trước khi chốt thương vụ vào tháng 9 năm 2010, khi công ty vẫn còn thời gian để rút lui. Đáng tiếc thay, khi ban lãnh đạo bị thúc đẩy phải liên tục thực hiện các thương vụ để tăng trưởng (và để đẩy giá cổ phiếu lên), những “chi tiết nhỏ nhặt” như văn hóa phi đạo đức tại Biovail cùng lịch sử hành vi phi đạo đức và bất hợp pháp của công ty có thể bị ban lãnh đạo bỏ qua. Tuy nhiên, những nhà đầu tư biết suy nghĩ kỹ càng thì không bao giờ nên bỏ qua một nền văn hóa kinh doanh hay báo cáo tài chính phi đạo đức.</w:t>
      </w:r>
    </w:p>
    <w:p>
      <w:pPr>
        <w:spacing w:after="80"/>
      </w:pPr>
      <w:r>
        <w:rPr>
          <w:b w:val="0"/>
          <w:i w:val="0"/>
        </w:rPr>
        <w:t xml:space="preserve">Ngoài ra, như đã thảo luận trong Chương 11, Biovail đã thổi phồng dòng tiền từ hoạt động kinh doanh của mình (trong giai đoạn trước khi sáp nhập với Valeant) bằng cách mua lại một số quyền dược phẩm thông qua các giao dịch phi tiền mặt. Cụ thể, thay vì trả tiền mặt tại thời điểm mua bán, Biovail đền bù cho bên bán bằng cách phát hành một trái phiếu—về cơ bản là một giấy nợ dài hạn mà theo đó công ty sẽ trả tiền mặt </w:t>
      </w:r>
      <w:r>
        <w:rPr>
          <w:b w:val="0"/>
          <w:i/>
        </w:rPr>
        <w:t>trong tương lai</w:t>
      </w:r>
      <w:r>
        <w:rPr>
          <w:b w:val="0"/>
          <w:i w:val="0"/>
        </w:rPr>
        <w:t>. Vì không có tiền mặt nào được trao tay tại thời điểm mua bán, nên không có ảnh hưởng gì đến Báo cáo Lưu chuyển Tiền tệ. Và khi Biovail thanh toán dần các giấy nợ theo thời gian, các khoản thanh toán tiền mặt được trình bày trên SCF như là việc trả nợ—tức là một dòng tiền ra từ hoạt động tài chính. Như vậy, bằng kỹ thuật hai bước tinh vi này, khoản giảm dòng tiền từ hoạt động kinh doanh thông thường để mua quyền dược phẩm đã được chuyển sang dòng tiền từ hoạt động tài chính—qua đó thổi phồng CFFO của Biovail.</w:t>
      </w:r>
    </w:p>
    <w:p>
      <w:pPr>
        <w:spacing w:after="80"/>
      </w:pPr>
      <w:r>
        <w:rPr>
          <w:b w:val="0"/>
          <w:i w:val="0"/>
        </w:rPr>
        <w:t>Đúng như dự đoán, các nhà đầu tư, hoặc không biết hoặc không quan tâm đến lịch sử của Biovail, đã hò reo trước tin sáp nhập khi giá cổ phiếu tăng vọt và tiếp tục tăng trong những tháng sau thương vụ.</w:t>
      </w:r>
    </w:p>
    <w:p>
      <w:pPr>
        <w:pStyle w:val="Heading4"/>
      </w:pPr>
      <w:r>
        <w:rPr>
          <w:rFonts w:ascii="Calibri" w:hAnsi="Calibri"/>
          <w:b/>
          <w:i w:val="0"/>
          <w:sz w:val="23"/>
        </w:rPr>
        <w:t>Thương vụ mua lại Medicis</w:t>
      </w:r>
    </w:p>
    <w:p>
      <w:pPr>
        <w:spacing w:after="80"/>
      </w:pPr>
      <w:r>
        <w:rPr>
          <w:b w:val="0"/>
          <w:i w:val="0"/>
        </w:rPr>
        <w:t>Hai năm sau khi sáp nhập với Biovail, vào tháng 12 năm 2012, Valeant chốt thương vụ lớn tiếp theo của mình, Medicis. Giống như Biovail, Medicis cũng có lịch sử nổi tiếng về các vấn đề kế toán, đặc biệt là việc khai khống doanh thu bằng cách ghi nhận sai các khoản hàng bán bị trả lại. Công ty đã từng bị xử phạt, và đơn vị kiểm toán của công ty là Ernst &amp; Young đã bị cáo buộc thực hiện các cuộc kiểm toán kém hiệu quả, không phát hiện và sửa chữa những vấn đề đó. Trong giai đoạn ngay trước thương vụ mua lại, doanh số của Medicis chậm lại—dường như để chúng có thể được ghi nhận dưới quyền sở hữu của Valeant và giúp thể hiện mức tăng trưởng bổ sung. Như đã trình bày chi tiết trong Chương 3, Valeant sau đó đã thay đổi các chính sách kế toán của Medicis để ghi nhận doanh thu sớm hơn trong quy trình bán hàng nhằm tăng thêm doanh số được báo cáo.</w:t>
      </w:r>
    </w:p>
    <w:p>
      <w:pPr>
        <w:spacing w:after="80"/>
      </w:pPr>
      <w:r>
        <w:rPr>
          <w:b w:val="0"/>
          <w:i w:val="0"/>
        </w:rPr>
        <w:t>Ngoài những vấn đề kế toán này, một số dấu hiệu cảnh báo khác cũng xuất hiện, bao gồm (1) cựu CEO của Medicis là Jonah Shacknai phàn nàn về sự xung đột đáng kể với các lãnh đạo Valeant và tinh thần thấp của đội ngũ ông; và (2) Valeant công bố khoản xóa sổ 100 triệu đô la liên quan đến quyết định sa thải hàng trăm nhân viên bán hàng tại đơn vị Medicis.</w:t>
      </w:r>
    </w:p>
    <w:p>
      <w:pPr>
        <w:pStyle w:val="Heading4"/>
      </w:pPr>
      <w:r>
        <w:rPr>
          <w:rFonts w:ascii="Calibri" w:hAnsi="Calibri"/>
          <w:b/>
          <w:i w:val="0"/>
          <w:sz w:val="23"/>
        </w:rPr>
        <w:t>Thương vụ mua lại Bausch &amp; Lomb</w:t>
      </w:r>
    </w:p>
    <w:p>
      <w:pPr>
        <w:spacing w:after="80"/>
      </w:pPr>
      <w:r>
        <w:rPr>
          <w:b w:val="0"/>
          <w:i w:val="0"/>
        </w:rPr>
        <w:t>Vào đầu năm 2013, chỉ vài tháng sau thương vụ Medicis, Pearson đã sẵn sàng thực hiện một thương vụ lớn hơn nhiều. Một cơ hội hấp dẫn xuất hiện khi công ty cổ phần tư nhân Warburg Pincus (WP) nộp hồ sơ đăng ký với SEC để đưa Bausch &amp; Lomb (B&amp;L) lên sàn chứng khoán. Pearson chớp ngay cơ hội này để mua thẳng B&amp;L, và WP quyết định rút đợt phát hành và thay vào đó bán công ty cho Valeant. Theo một mô thức đã trở nên quen thuộc, Bausch &amp; Lomb cũng có những bê bối kế toán nghiêm trọng trong lịch sử gần đây của mình.</w:t>
      </w:r>
    </w:p>
    <w:p>
      <w:pPr>
        <w:spacing w:after="80"/>
      </w:pPr>
      <w:r>
        <w:rPr>
          <w:b w:val="0"/>
          <w:i w:val="0"/>
        </w:rPr>
        <w:t>Các nhà đầu tư phấn khích tột độ khi tin Valeant đề nghị mua B&amp;L được công bố, giá cổ phiếu Valeant tăng vọt hơn 20 phần trăm trong hai ngày với khối lượng giao dịch gấp hơn 15 lần khối lượng giao dịch hàng ngày thông thường. Warburg Pincus đã mua được cổ phần kiểm soát B&amp;L thông qua một thương vụ mua lại bằng đòn bẩy vào năm 2007, bỏ ra 1,7 tỷ đô la vốn cổ phần. Vì vậy, khi Valeant đề nghị trả 8,7 tỷ đô la để mua lại doanh nghiệp, đó là một món hời lớn cho Warburg và các đối tác hữu hạn của mình. Ít rõ ràng hơn là lý do tại sao đây lại là một thương vụ tốt cho các nhà đầu tư Valeant, vì doanh nghiệp này có mức tăng trưởng yếu ớt, khả năng sinh lời kém, và núi nợ; tuy nhiên, bằng cách tập trung vào các kết quả phi GAAP, Pearson đã có thể kích thích cổ đông và giá cổ phiếu.</w:t>
      </w:r>
    </w:p>
    <w:p>
      <w:pPr>
        <w:spacing w:after="80"/>
      </w:pPr>
      <w:r>
        <w:rPr>
          <w:b w:val="0"/>
          <w:i w:val="0"/>
        </w:rPr>
        <w:t>NHỮNG LO NGẠI VỀ MỘT CÔNG TY ĐƯỢC BÁN BỞI MỘT CÔNG TY CỔ PHẦN TƯ NHÂN</w:t>
      </w:r>
    </w:p>
    <w:p>
      <w:pPr>
        <w:spacing w:after="80"/>
      </w:pPr>
      <w:r>
        <w:rPr>
          <w:b w:val="0"/>
          <w:i w:val="0"/>
        </w:rPr>
        <w:t>Như bạn đã biết đến giờ, chúng tôi không hề hâm mộ cách tiếp cận dựa trên M&amp;A vì có quá nhiều thứ có thể (và thường xuyên) đi sai. Nhưng khi bên bán là một chủ sở hữu lâu năm (và lý tưởng nhất là người sáng lập), chúng ta có thể thở phào nhẹ nhõm khi biết rằng doanh nghiệp có lẽ đã được xây dựng cẩn thận, với nền tảng vững chắc, và thường với mục tiêu là được xây dựng để trường tồn.</w:t>
      </w:r>
    </w:p>
    <w:p>
      <w:pPr>
        <w:spacing w:after="80"/>
      </w:pPr>
      <w:r>
        <w:rPr>
          <w:b w:val="0"/>
          <w:i w:val="0"/>
        </w:rPr>
        <w:t>Mọi thứ trở nên phức tạp hơn khi bên bán có tầm nhìn rất ngắn hạn, như một công ty mua lại bằng đòn bẩy. Mục tiêu của những công ty như vậy là làm lợi cho chính họ và các đối tác hữu hạn bằng cách lướt sóng thương vụ mua lại và tối đa hóa lợi nhuận của mình. Họ thường làm điều đó bằng cách (1) bỏ rất ít vốn cổ phần vào khoản đầu tư, chủ yếu dùng nợ; (2) tự trả cho mình cổ tức đặc biệt, ngay cả khi điều đó có nghĩa là chất thêm nợ lên Bảng cân đối kế toán của một công ty trong danh mục đầu tư; (3) thực hiện thêm các thương vụ mua lại, lại chất thêm nợ; và (4) cắt giảm các chi phí “tùy ý”, như R&amp;D, điều có thể giúp lợi nhuận ngắn hạn nhưng khiến thành công dài hạn trở nên bấp bênh hơn.</w:t>
      </w:r>
    </w:p>
    <w:p>
      <w:pPr>
        <w:spacing w:after="80"/>
      </w:pPr>
      <w:r>
        <w:rPr>
          <w:b w:val="0"/>
          <w:i w:val="0"/>
        </w:rPr>
        <w:t xml:space="preserve">Việc B&amp;L vay nợ đáng kể dưới thời Warburg Pincus đã khiến công ty bị đòn bẩy nặng nề. Chỉ hai tháng trước khi Valeant mua lại B&amp;L vào tháng 8 năm 2013, những nhà phân tích chăm chỉ có thể đã sửng sốt khi thấy mức nợ phình lên tới 4,2 tỷ đô la, tăng 26 phần trăm chỉ trong sáu tháng trước đó. Trong giai đoạn đó, vốn chủ sở hữu của cổ đông lao dốc từ khoảng 800 triệu đô la xuống chỉ còn 8,4 triệu đô la, và dòng tiền từ hoạt động kinh doanh chìm từ </w:t>
      </w:r>
      <w:r>
        <w:rPr>
          <w:b w:val="0"/>
          <w:i/>
        </w:rPr>
        <w:t>dương</w:t>
      </w:r>
      <w:r>
        <w:rPr>
          <w:b w:val="0"/>
          <w:i w:val="0"/>
        </w:rPr>
        <w:t xml:space="preserve"> 78,8 triệu đô la trong giai đoạn năm 2012 xuống </w:t>
      </w:r>
      <w:r>
        <w:rPr>
          <w:b w:val="0"/>
          <w:i/>
        </w:rPr>
        <w:t>âm</w:t>
      </w:r>
      <w:r>
        <w:rPr>
          <w:b w:val="0"/>
          <w:i w:val="0"/>
        </w:rPr>
        <w:t xml:space="preserve"> 114,5 triệu đô la vào năm 2013. Rõ ràng, khoản nợ bùng nổ đột ngột cùng với dòng tiền đang chìm xuống lẽ ra phải khiến bất kỳ bên mua lại thận trọng tiềm năng nào phải dừng lại suy nghĩ. Nhưng tất nhiên, Valeant chắc chắn không được coi là một bên mua lại thận trọng và </w:t>
      </w:r>
      <w:r>
        <w:rPr>
          <w:b w:val="0"/>
          <w:i/>
        </w:rPr>
        <w:t>buộc phải</w:t>
      </w:r>
      <w:r>
        <w:rPr>
          <w:b w:val="0"/>
          <w:i w:val="0"/>
        </w:rPr>
        <w:t xml:space="preserve"> tiếp tục thực hiện các thương vụ để tạo ra ảo giác về một công ty thành công.</w:t>
      </w:r>
    </w:p>
    <w:p>
      <w:pPr>
        <w:pStyle w:val="Heading4"/>
      </w:pPr>
      <w:r>
        <w:rPr>
          <w:rFonts w:ascii="Calibri" w:hAnsi="Calibri"/>
          <w:b/>
          <w:i w:val="0"/>
          <w:sz w:val="23"/>
        </w:rPr>
        <w:t>Những thương vụ thù địch thất bại để lại dư vị đắng cay cho nhà đầu tư</w:t>
      </w:r>
    </w:p>
    <w:p>
      <w:pPr>
        <w:spacing w:after="80"/>
      </w:pPr>
      <w:r>
        <w:rPr>
          <w:b w:val="0"/>
          <w:i w:val="0"/>
        </w:rPr>
        <w:t>Ngoài những thương vụ mua lại đã hoàn tất, Valeant còn đối mặt với một số chiến dịch bất thành; những sự việc này đã gây tổn hại cho công ty và có lẽ đã đẩy nó vào con đường nhanh hơn dẫn tới sự sụp đổ cuối cùng.</w:t>
      </w:r>
    </w:p>
    <w:p>
      <w:pPr>
        <w:spacing w:after="80"/>
      </w:pPr>
      <w:r>
        <w:rPr>
          <w:b w:val="0"/>
          <w:i w:val="0"/>
        </w:rPr>
        <w:t>Năm 2011, Valeant thực hiện một nước đi đầy tham vọng nhắm vào Cephalon, một công ty dược sinh học của Mỹ, với lời đề nghị 5,7 tỷ đô la. Khi Cephalon đẩy lại và nói rằng "không hứng thú", Valeant trở nên hung hăng hơn nhiều, đe dọa sẽ đến thẳng ban giám đốc của Cephalon và đề cử danh sách thành viên hội đồng quản trị của riêng mình.</w:t>
      </w:r>
    </w:p>
    <w:p>
      <w:pPr>
        <w:spacing w:after="80"/>
      </w:pPr>
      <w:r>
        <w:rPr>
          <w:b/>
          <w:i w:val="0"/>
        </w:rPr>
        <w:t>Bình luận:</w:t>
      </w:r>
      <w:r>
        <w:rPr>
          <w:b w:val="0"/>
          <w:i w:val="0"/>
        </w:rPr>
        <w:t xml:space="preserve"> Các nhà đầu tư lẽ ra nên coi đây là một dấu hiệu cảnh báo quan trọng, vì Valeant đã chuyển từ việc chỉ thực hiện các thương vụ "thân thiện" sang thỉnh thoảng làm cả những thương vụ "thù địch". Pearson bắt đầu lộ bài. Ông dường như ngày càng tuyệt vọng muốn thực hiện thêm một thương vụ lớn nữa và từ chối chấp nhận câu trả lời "không". Lý do thứ hai đáng lo ngại là sự thờ ơ rõ rệt đối với nhân viên của công ty mục tiêu, vì Valeant dự định sa thải nhiều người và dường như chỉ quan tâm đến việc giành được các loại thuốc mới và khách hàng từ công ty mục tiêu. Chúng tôi cảm nhận rằng các lãnh đạo tại Valeant chẳng mấy bận tâm đến việc duy trì văn hóa và giá trị được vun đắp tại các công ty mới mua lại; đó hẳn phải là một lá cờ đỏ nhấp nháy đối với nhà đầu tư.</w:t>
      </w:r>
    </w:p>
    <w:p>
      <w:pPr>
        <w:spacing w:after="80"/>
      </w:pPr>
      <w:r>
        <w:rPr>
          <w:b w:val="0"/>
          <w:i w:val="0"/>
        </w:rPr>
        <w:t>Lời đề nghị thù địch thứ hai, và hệ quả lớn hơn, diễn ra vào năm 2014, liên quan đến cả Allergan và một nhà quản lý quỹ đầu cơ hoạt động tích cực, Bill Ackman.</w:t>
      </w:r>
    </w:p>
    <w:p>
      <w:pPr>
        <w:pStyle w:val="Heading4"/>
      </w:pPr>
      <w:r>
        <w:rPr>
          <w:rFonts w:ascii="Calibri" w:hAnsi="Calibri"/>
          <w:b/>
          <w:i w:val="0"/>
          <w:sz w:val="23"/>
        </w:rPr>
        <w:t>Sáu tháng đã thay đổi mọi thứ đối với Valeant—theo hướng tồi tệ hơn</w:t>
      </w:r>
    </w:p>
    <w:p>
      <w:pPr>
        <w:spacing w:after="80"/>
      </w:pPr>
      <w:r>
        <w:rPr>
          <w:b w:val="0"/>
          <w:i w:val="0"/>
        </w:rPr>
        <w:t>Sau nhiều năm thành công trong việc giữ mình kín tiếng, đến năm 2014 Valeant trở thành cái tên quen thuộc và liên tục trở thành chủ đề của cả các bản tin tài chính lẫn truyền thông đại chúng. Công ty đã lập nên một thứ "quan hệ đối tác" không theo lẽ thường với Bill Ackman để tạo điều kiện cho một thương vụ thâu tóm thù địch khác, và lần này nhắm vào mục tiêu lớn nhất từ trước đến nay, Allergan. Quỹ của Ackman, Pershing Square Capital ("PSC") tích lũy một lượng cổ phần đáng kể tại Allergan và dùng ảnh hưởng của mình để cố thuyết phục ban giám đốc cùng các nhà đầu tư tổ chức của mục tiêu đồng ý với lời đề nghị của Valeant. Ackman thậm chí còn khởi động chiến dịch quảng bá công khai của riêng mình cho thương vụ này để giúp đẩy nó đi tới đích. Trong khi đó, ngày càng nhiều cơ quan truyền thông bắt đầu đặt câu hỏi về đạo đức của mối quan hệ đối tác với Ackman và liệu nó có vi phạm các quy tắc giao dịch nội gián hay không, và các vụ kiện tụng nối tiếp nhau. Cuối tháng 12 năm 2017, vụ kiện với Allergan được dàn xếp, buộc quỹ đầu cơ Pershing Square của Ackman phải trả 194 triệu đô la và Valeant trả thêm 96 triệu đô la, tùy thuộc vào sự phê chuẩn của tòa án. Sự chú ý tiêu cực này, cùng với một chiến dịch thù địch vốn đã đầy tranh cãi, bắt đầu khiến Valeant bị nhìn nhận như kẻ tuyệt vọng muốn có một thương vụ mua lại lớn bằng mọi giá.</w:t>
      </w:r>
    </w:p>
    <w:p>
      <w:pPr>
        <w:spacing w:after="80"/>
      </w:pPr>
      <w:r>
        <w:rPr>
          <w:b w:val="0"/>
          <w:i w:val="0"/>
        </w:rPr>
        <w:t>Mọi chuyện chỉ càng tồi tệ hơn khi Allergan dứt khoát từ chối lời đề nghị cuối cùng của Valeant, phần lớn là bằng cổ phiếu, làm dấy lên những câu hỏi căn bản về mô hình kinh doanh không theo lẽ thường của Valeant. Không chỉ đà tăng của giá cổ phiếu Valeant đột ngột dừng lại trong suốt sáu tháng giành giật Allergan, mà quan trọng hơn, những lời xì xào về danh tiếng, mô hình kinh doanh khác thường và các thủ thuật kế toán hung hăng của công ty ngày càng lớn. Và những nhà báo mà chỉ một năm trước còn hầu như chẳng đưa tin về Valeant bắt đầu mổ xẻ các phương thức kinh doanh của công ty để tìm kiếm một câu chuyện lớn hơn.</w:t>
      </w:r>
    </w:p>
    <w:p>
      <w:pPr>
        <w:pStyle w:val="Heading4"/>
      </w:pPr>
      <w:r>
        <w:rPr>
          <w:rFonts w:ascii="Calibri" w:hAnsi="Calibri"/>
          <w:b/>
          <w:i w:val="0"/>
          <w:sz w:val="23"/>
        </w:rPr>
        <w:t>Thương vụ mua lại Salix Pharmaceuticals, thương vụ lớn nhất và khiếm khuyết nhất của Valeant</w:t>
      </w:r>
    </w:p>
    <w:p>
      <w:pPr>
        <w:spacing w:after="80"/>
      </w:pPr>
      <w:r>
        <w:rPr>
          <w:b w:val="0"/>
          <w:i w:val="0"/>
        </w:rPr>
        <w:t>Valeant bị thương tích nặng nề trong thương vụ thâu tóm thù địch bất thành nhắm vào Allergan năm 2014, nhưng cuối cùng tìm được một mục tiêu lớn khác vào đầu năm 2015, và mua lại Salix Pharmaceuticals vào ngày 1 tháng 4. Không có gì đáng ngạc nhiên, đây lại là một công ty đang gặp rắc rối, vừa mới vật lộn vượt qua một vụ bê bối kế toán lớn.</w:t>
      </w:r>
    </w:p>
    <w:p>
      <w:pPr>
        <w:spacing w:after="80"/>
      </w:pPr>
      <w:r>
        <w:rPr>
          <w:b w:val="0"/>
          <w:i w:val="0"/>
        </w:rPr>
        <w:t>Salix Pharmaceuticals được thành lập năm 1989, và trong những năm gần đây đặt trụ sở tại Raleigh, North Carolina. Công ty phát triển và bán thuốc cùng thiết bị y tế để phòng ngừa và điều trị các rối loạn tiêu hóa. Năm 2014 là một năm bận rộn đối với Salix trên mặt trận mua bán và sáp nhập (M&amp;A), bắt đầu bằng thương vụ mua lại Santarus vào tháng 1 với giá 2,6 tỷ đô la. Suốt phần lớn năm đó, Salix đàm phán với nhiều bên muốn mua để bán chính mình, nhưng điều đó đột ngột dừng lại khi những tiết lộ về các vấn đề kế toán của chính công ty bị phơi bày vào mùa thu. Cuối năm diễn ra khá sóng gió, khi cả CEO lẫn CFO của Salix đều ra đi trong bóng đen u ám và một bên mua mới (Valeant) tham gia đấu giá.</w:t>
      </w:r>
    </w:p>
    <w:p>
      <w:pPr>
        <w:spacing w:after="80"/>
      </w:pPr>
      <w:r>
        <w:rPr>
          <w:b w:val="0"/>
          <w:i w:val="0"/>
        </w:rPr>
        <w:t xml:space="preserve">Bắt đầu từ ngày 7 tháng 11 năm 2014, ba vụ kiện tập thể đã được đệ trình chống lại Salix, cáo buộc gian lận kế toán. Công ty </w:t>
      </w:r>
      <w:r>
        <w:rPr>
          <w:b w:val="0"/>
          <w:i/>
        </w:rPr>
        <w:t>đã</w:t>
      </w:r>
      <w:r>
        <w:rPr>
          <w:b w:val="0"/>
          <w:i w:val="0"/>
        </w:rPr>
        <w:t xml:space="preserve"> phải trình bày lại báo cáo tài chính đã kiểm toán cho năm 2013 và các báo cáo quý chưa kiểm toán cho cả ba quý trong năm 2014. Rõ ràng như ban ngày rằng công ty đã chơi trò kế toán lắt léo để tô điểm cho hoạt động kinh doanh hòng bán mình. Vì một lý do kỳ lạ nào đó, những thủ thuật kế toán hung hăng này dường như chẳng khiến Valeant bận tâm chút nào.</w:t>
      </w:r>
    </w:p>
    <w:p>
      <w:pPr>
        <w:spacing w:after="80"/>
      </w:pPr>
      <w:r>
        <w:rPr>
          <w:b w:val="0"/>
          <w:i w:val="0"/>
        </w:rPr>
        <w:t xml:space="preserve">Hãy nghĩ về điều này một lát. Tại sao ai đó lại muốn mua công ty này khi bên mua nhiều khả năng sẽ phải chịu trách nhiệm pháp lý khổng lồ tiềm tàng? Ngay cả khi bạn có thể thấy thoải mái với rủi ro pháp lý, những lo ngại về văn hóa và đạo đức vẫn lù lù hiện ra. Gạt sang một bên cả rủi ro pháp lý lẫn các vấn đề văn hóa/đạo đức tại Salix, bạn vẫn chẳng có manh mối nào về tình hình sức khỏe và hiệu quả thực sự của công ty vì </w:t>
      </w:r>
      <w:r>
        <w:rPr>
          <w:b w:val="0"/>
          <w:i/>
        </w:rPr>
        <w:t>các con số đã bị gian lận</w:t>
      </w:r>
      <w:r>
        <w:rPr>
          <w:b w:val="0"/>
          <w:i w:val="0"/>
        </w:rPr>
        <w:t>.</w:t>
      </w:r>
    </w:p>
    <w:p>
      <w:pPr>
        <w:pStyle w:val="Heading4"/>
      </w:pPr>
      <w:r>
        <w:rPr>
          <w:rFonts w:ascii="Calibri" w:hAnsi="Calibri"/>
          <w:b/>
          <w:i w:val="0"/>
          <w:sz w:val="23"/>
        </w:rPr>
        <w:t>Người khác đã nhòm ngó, nhưng bỏ đi</w:t>
      </w:r>
    </w:p>
    <w:p>
      <w:pPr>
        <w:spacing w:after="80"/>
      </w:pPr>
      <w:r>
        <w:rPr>
          <w:b w:val="0"/>
          <w:i w:val="0"/>
        </w:rPr>
        <w:t>Khoảng sáu tháng trước khi Valeant tiếp cận Salix để bàn thương vụ, một số bên mua khác đã đánh hơi xung quanh, và ít nhất một bên đã đặt lên bàn một lời đề nghị đáng kể. Đó là cho đến khi các vấn đề kế toán bị phát hiện. Trớ trêu thay, chính Allergan đã từng đề nghị mua Salix với giá lên tới 205 đô la mỗi cổ phiếu bằng tiền mặt, trị giá 13 tỷ đô la. Nhưng khi ban lãnh đạo của mình phát hiện những vấn đề kế toán nghiêm trọng vào tháng 10 năm 2014, Allergan được cho là đã rút lại lời đề nghị và rời khỏi bàn đàm phán.</w:t>
      </w:r>
    </w:p>
    <w:p>
      <w:pPr>
        <w:spacing w:after="80"/>
      </w:pPr>
      <w:r>
        <w:rPr>
          <w:b w:val="0"/>
          <w:i w:val="0"/>
        </w:rPr>
        <w:t>Hệ quả từ các vấn đề kế toán đã khiến cả CEO Carolyn Logan lẫn CFO Adam Derbyshire mất việc, khi cổ đông phải chịu mức giảm giá trị 35 phần trăm lúc gian lận bị phơi bày.</w:t>
      </w:r>
    </w:p>
    <w:p>
      <w:pPr>
        <w:spacing w:after="80"/>
      </w:pPr>
      <w:r>
        <w:rPr>
          <w:b w:val="0"/>
          <w:i w:val="0"/>
        </w:rPr>
        <w:t>Không mấy bận tâm đến những vấn đề này, vào ngày 1 tháng 4 năm 2015, Pearson hoàn tất thương vụ trị giá 11 tỷ đô la, và cũng giống như các thương vụ sáp nhập trước đó, tin tức này được nhà đầu tư hoan nghênh và giá cổ phiếu Valeant lại tăng vọt.</w:t>
      </w:r>
    </w:p>
    <w:p>
      <w:pPr>
        <w:pStyle w:val="Heading4"/>
      </w:pPr>
      <w:r>
        <w:rPr>
          <w:rFonts w:ascii="Calibri" w:hAnsi="Calibri"/>
          <w:b/>
          <w:i w:val="0"/>
          <w:sz w:val="23"/>
        </w:rPr>
        <w:t>Những lời trình bày lại và cảnh báo từ Kiểm toán viên về Điểm yếu trong Kiểm soát Nội bộ</w:t>
      </w:r>
    </w:p>
    <w:p>
      <w:pPr>
        <w:spacing w:after="80"/>
      </w:pPr>
      <w:r>
        <w:rPr>
          <w:b w:val="0"/>
          <w:i w:val="0"/>
        </w:rPr>
        <w:t>Vào ngày 2 tháng 3 năm 2015, gần một tháng trước khi Valeant chốt thương vụ, Salix đã nộp báo cáo 10-K cho năm 2014, kèm theo báo cáo tài chính được trình bày lại cho năm 2013 và từng quý trong ba quý của năm 2014. Trong hồ sơ nộp có bao gồm đánh giá của kiểm toán viên về kiểm soát nội bộ tại Salix:</w:t>
      </w:r>
    </w:p>
    <w:p>
      <w:pPr>
        <w:spacing w:after="80"/>
      </w:pPr>
      <w:r>
        <w:rPr>
          <w:b w:val="0"/>
          <w:i w:val="0"/>
        </w:rPr>
        <w:t>Ban điều hành đã xác định các điểm yếu trọng yếu trong kiểm soát liên quan đến hàng bán bị trả lại và trao đổi thông tin giữa bộ phận quan hệ thương mại với kế toán/tài chính để ghi nhận các khoản trả lại đã thỏa thuận bởi nhân viên thương mại; kiểm soát việc ghi nhận doanh thu đối với bán hàng cho khách hàng có điều khoản giao hàng FOB điểm đến; kiểm soát việc tuân thủ các chính sách và quy trình đã thiết lập để có được, đánh giá, xem xét và phê duyệt các thỏa thuận với khách hàng; và kiểm soát việc phân loại số dư trong báo cáo tài chính hợp nhất.</w:t>
      </w:r>
    </w:p>
    <w:p>
      <w:pPr>
        <w:spacing w:after="80"/>
      </w:pPr>
      <w:r>
        <w:rPr>
          <w:b w:val="0"/>
          <w:i w:val="0"/>
        </w:rPr>
        <w:t>Dịch ra tiếng Việt bình dân: các biện pháp kiểm soát để đảm bảo báo cáo tài chính chính xác thì tệ hại và rất nhiều thứ có thể sai sót. Thực tế, chúng đã sai rồi! Trong Q4 2013, Salix đã ghi nhận sai $14.4 triệu doanh thu lẽ ra phải được ghi vào Q1 2014. Thêm nữa, lợi nhuận Q1 bị thổi phồng vì công ty đã báo cáo thiếu "dự phòng cho hàng bán bị trả lại" khi ghi $8.7 triệu trong khi đáng lẽ phải là $16.9 triệu—lại một lần nữa thổi phồng doanh thu. Trong Q2 2014, Salix đã thực hiện một khoản thanh toán đáng ngờ $7.5 triệu cho một nhà bán buôn (tức là một khách hàng) và hạch toán khoản thanh toán đó như chi phí tiếp thị, thay vì giảm trừ vào tổng doanh thu. Rồi trong Q3 2014, Salix chỉ còn đúng một quý cuối để "vắt" doanh thu trước khi ký kết thương vụ, nên họ cố không bỏ lỡ cơ hội đó bằng cách ghi $15.2 triệu doanh thu mà thực ra thuộc về Q4. Một lần nữa, không có thông tin nào trong số này dường như làm giảm bớt mong muốn chốt thương vụ của Valeant.</w:t>
      </w:r>
    </w:p>
    <w:p>
      <w:pPr>
        <w:pStyle w:val="Heading4"/>
      </w:pPr>
      <w:r>
        <w:rPr>
          <w:rFonts w:ascii="Calibri" w:hAnsi="Calibri"/>
          <w:b/>
          <w:i w:val="0"/>
          <w:sz w:val="23"/>
        </w:rPr>
        <w:t>Quả bóng Valeant vỡ tung</w:t>
      </w:r>
    </w:p>
    <w:p>
      <w:pPr>
        <w:spacing w:after="80"/>
      </w:pPr>
      <w:r>
        <w:rPr>
          <w:b w:val="0"/>
          <w:i w:val="0"/>
        </w:rPr>
        <w:t>Khi Valeant công bố đề nghị mua lại Salix vào tháng 2 năm 2015, các nhà đầu tư của họ vô cùng phấn khích. Giá cổ phiếu ngay lập tức tăng $25 chỉ trong một ngày từ $173 lên $199. Trong năm tháng tiếp theo, giá cổ phiếu Valeant tiếp tục tăng vọt, đạt đỉnh cao nhất mọi thời đại là $263 vào ngày 5 tháng 8, định giá công ty ở mức $90 tỷ. Với mỗi thương vụ mua lại, khoản lỗ theo GAAP của họ càng trầm trọng hơn, nhưng chỉ số lợi nhuận mà ban điều hành tập trung vào, "thu nhập tiền mặt," lại tăng trưởng và tích lũy.</w:t>
      </w:r>
    </w:p>
    <w:p>
      <w:pPr>
        <w:spacing w:after="80"/>
      </w:pPr>
      <w:r>
        <w:rPr>
          <w:b w:val="0"/>
          <w:i w:val="0"/>
        </w:rPr>
        <w:t>Tình thế bắt đầu xoay chiều chống lại Valeant vào cuối tháng 8, khi các cáo buộc về việc nâng giá quá cao được đưa ra nhắm vào một số công ty dược phẩm. Tháng tiếp theo, ứng viên tổng thống đảng Dân chủ Hillary Clinton làm ngành dược phẩm hoảng sợ bằng một dòng tweet đáng ngại rằng: "Việc nâng giá kiểu này trong thị trường thuốc đặc trị là không thể chấp nhận được. Ngày mai tôi sẽ trình bày kế hoạch để xử lý vấn đề này." Kết quả là, các nhà đầu tư bắt đầu lo ngại rằng chính phủ sẽ mạnh tay trấn áp việc định giá tại các công ty dược và làm giảm lợi nhuận. Dòng tweet của Clinton đã góp phần đẩy giá cổ phiếu Valeant giảm trở lại xuống $229 (Hình 18-1).</w:t>
      </w:r>
    </w:p>
    <w:p>
      <w:pPr>
        <w:spacing w:after="80"/>
      </w:pPr>
      <w:r>
        <w:rPr>
          <w:b/>
          <w:i w:val="0"/>
        </w:rPr>
        <w:t>Hình 18-1</w:t>
      </w:r>
      <w:r>
        <w:rPr>
          <w:b w:val="0"/>
          <w:i w:val="0"/>
        </w:rPr>
        <w:t xml:space="preserve"> Giá cổ phiếu Valeant, 2/1/2008 đến 12/31/2016</w:t>
      </w:r>
    </w:p>
    <w:p>
      <w:pPr>
        <w:jc w:val="center"/>
      </w:pPr>
      <w:r>
        <w:drawing>
          <wp:inline xmlns:a="http://schemas.openxmlformats.org/drawingml/2006/main" xmlns:pic="http://schemas.openxmlformats.org/drawingml/2006/picture">
            <wp:extent cx="5486400" cy="3273301"/>
            <wp:docPr id="60" name="Picture 60"/>
            <wp:cNvGraphicFramePr>
              <a:graphicFrameLocks noChangeAspect="1"/>
            </wp:cNvGraphicFramePr>
            <a:graphic>
              <a:graphicData uri="http://schemas.openxmlformats.org/drawingml/2006/picture">
                <pic:pic>
                  <pic:nvPicPr>
                    <pic:cNvPr id="0" name="00012.jpeg"/>
                    <pic:cNvPicPr/>
                  </pic:nvPicPr>
                  <pic:blipFill>
                    <a:blip r:embed="rId68"/>
                    <a:stretch>
                      <a:fillRect/>
                    </a:stretch>
                  </pic:blipFill>
                  <pic:spPr>
                    <a:xfrm>
                      <a:off x="0" y="0"/>
                      <a:ext cx="5486400" cy="3273301"/>
                    </a:xfrm>
                    <a:prstGeom prst="rect"/>
                  </pic:spPr>
                </pic:pic>
              </a:graphicData>
            </a:graphic>
          </wp:inline>
        </w:drawing>
      </w:r>
    </w:p>
    <w:p>
      <w:pPr>
        <w:jc w:val="center"/>
      </w:pPr>
      <w:r>
        <w:drawing>
          <wp:inline xmlns:a="http://schemas.openxmlformats.org/drawingml/2006/main" xmlns:pic="http://schemas.openxmlformats.org/drawingml/2006/picture">
            <wp:extent cx="5486400" cy="5016617"/>
            <wp:docPr id="61" name="Picture 61"/>
            <wp:cNvGraphicFramePr>
              <a:graphicFrameLocks noChangeAspect="1"/>
            </wp:cNvGraphicFramePr>
            <a:graphic>
              <a:graphicData uri="http://schemas.openxmlformats.org/drawingml/2006/picture">
                <pic:pic>
                  <pic:nvPicPr>
                    <pic:cNvPr id="0" name="00002.jpeg"/>
                    <pic:cNvPicPr/>
                  </pic:nvPicPr>
                  <pic:blipFill>
                    <a:blip r:embed="rId69"/>
                    <a:stretch>
                      <a:fillRect/>
                    </a:stretch>
                  </pic:blipFill>
                  <pic:spPr>
                    <a:xfrm>
                      <a:off x="0" y="0"/>
                      <a:ext cx="5486400" cy="5016617"/>
                    </a:xfrm>
                    <a:prstGeom prst="rect"/>
                  </pic:spPr>
                </pic:pic>
              </a:graphicData>
            </a:graphic>
          </wp:inline>
        </w:drawing>
      </w:r>
    </w:p>
    <w:p>
      <w:pPr>
        <w:spacing w:after="80"/>
      </w:pPr>
      <w:r>
        <w:rPr>
          <w:b w:val="0"/>
          <w:i w:val="0"/>
        </w:rPr>
        <w:t>Trong ba tháng tiếp theo, Valeant trở thành mục tiêu khổng lồ trên lưng, và chỉ trích đến từ mọi phía. Vào tháng 10, một nhóm nhà báo điều tra đã công bố một bài phanh phui tiết lộ mối quan hệ mờ ám và gian lận với một nhà thuốc đặt hàng qua thư tên là Philidor Rx. Giá cổ phiếu Valeant rơi vào tình trạng lao dốc tự do, giảm xuống dưới $90 vào cuối tháng 11. Nhiều "tín đồ" nghĩ rằng đợt bán tháo đã quá đà đã cố kiếm chác nhanh từ tình huống "bị đè nén," nhưng chỉ thành công trong việc bắt con dao đang rơi.</w:t>
      </w:r>
    </w:p>
    <w:p>
      <w:pPr>
        <w:spacing w:after="80"/>
      </w:pPr>
      <w:r>
        <w:rPr>
          <w:b w:val="0"/>
          <w:i w:val="0"/>
        </w:rPr>
        <w:t>Vào tháng 3 năm 2016, Pearson bị phế truất khỏi vị trí CEO và hội đồng quản trị cáo buộc cựu CFO (và thành viên hội đồng quản trị hiện tại) Howard Schiller đã tham gia vào "hành vi không đúng mực." SEC đang điều tra công ty về tội gian lận, và các nhà đầu tư tiếp tục mất niềm tin. Sự sụp đổ tăng tốc suốt năm 2016 và đầu năm 2017 khi hoạt động kinh doanh của Valeant tan rã và toàn bộ khoản nợ huy động để tài trợ cho các thương vụ mua lại tồi tệ quay trở lại ám ảnh công ty. Đến tháng 4 năm 2017, với các cựu lãnh đạo đang bị điều tra hình sự về tội gian lận, giá cổ phiếu Valeant lao dốc xuống dưới $9, một mức giảm đáng kinh ngạc 96 phần trăm so với đỉnh cao mùa hè 2015.</w:t>
      </w:r>
    </w:p>
    <w:p>
      <w:pPr>
        <w:pStyle w:val="Heading4"/>
      </w:pPr>
      <w:r>
        <w:rPr>
          <w:rFonts w:ascii="Calibri" w:hAnsi="Calibri"/>
          <w:b/>
          <w:i w:val="0"/>
          <w:sz w:val="23"/>
        </w:rPr>
        <w:t>Những bài học quan trọng từ câu chuyện Valeant</w:t>
      </w:r>
    </w:p>
    <w:p>
      <w:pPr>
        <w:spacing w:after="80"/>
      </w:pPr>
      <w:r>
        <w:rPr>
          <w:b w:val="0"/>
          <w:i w:val="0"/>
        </w:rPr>
        <w:t>Valeant đã được định mệnh sụp đổ vì các trình bày tài chính của nó đã mô tả sai lệch một công ty đang phát triển nhanh và thịnh vượng, trong khi thực tế, các con số của nó bị tô vẽ bằng những thủ thuật kế toán. Các nhà đầu tư sắc sảo hiểu rằng dù không thể biết chính xác chất xúc tác nào sẽ châm ngòi cho sự sụp đổ, họ biết rằng sự sụp đổ là không thể tránh khỏi, bất kể quả bóng được bơm căng đến mức nào. Dòng tweet của Clinton và những phát hiện về Philidor là những sự kiện gây cháy đã châm ngòi cho sự sụp đổ. Dù không có cách nào dự đoán rằng những sự kiện cụ thể này sẽ là "giọt nước tràn ly" theo đúng nghĩa, nhưng nếu không có chúng, chắc chắn một điều gì đó khác sẽ châm ngòi cho sự sụp đổ cuối cùng của Valeant.</w:t>
      </w:r>
    </w:p>
    <w:p>
      <w:pPr>
        <w:pStyle w:val="Heading3"/>
      </w:pPr>
      <w:r>
        <w:rPr>
          <w:rFonts w:ascii="Calibri" w:hAnsi="Calibri"/>
          <w:b/>
          <w:i w:val="0"/>
          <w:sz w:val="26"/>
        </w:rPr>
        <w:t>Nhìn về phía trước</w:t>
      </w:r>
    </w:p>
    <w:p>
      <w:pPr>
        <w:spacing w:after="80"/>
      </w:pPr>
      <w:r>
        <w:rPr>
          <w:b w:val="0"/>
          <w:i w:val="0"/>
        </w:rPr>
        <w:t>Trong chương kết luận, chúng tôi đan xen qua nhiều bài học trong cuốn sách này (và kinh nghiệm của chúng tôi từ một phần tư thế kỷ qua) và trình bày 10 bài học quan trọng nhất để giúp bạn phát hiện các thủ thuật gian lận và cải thiện đáng kể hiệu suất đầu tư của mình.</w:t>
      </w:r>
    </w:p>
    <w:p>
      <w:pPr>
        <w:pStyle w:val="Heading2"/>
      </w:pPr>
      <w:r>
        <w:rPr>
          <w:rFonts w:ascii="Calibri" w:hAnsi="Calibri"/>
          <w:b/>
          <w:i w:val="0"/>
          <w:sz w:val="32"/>
        </w:rPr>
        <w:t>19</w:t>
      </w:r>
    </w:p>
    <w:p>
      <w:pPr>
        <w:pStyle w:val="Heading2"/>
      </w:pPr>
      <w:r>
        <w:rPr>
          <w:rFonts w:ascii="Calibri" w:hAnsi="Calibri"/>
          <w:b/>
          <w:i w:val="0"/>
          <w:sz w:val="32"/>
        </w:rPr>
        <w:t>Tư duy Pháp y</w:t>
      </w:r>
    </w:p>
    <w:p>
      <w:pPr>
        <w:spacing w:after="80"/>
      </w:pPr>
      <w:r>
        <w:rPr>
          <w:b w:val="0"/>
          <w:i w:val="0"/>
        </w:rPr>
        <w:t xml:space="preserve">Trong suốt một phần tư thế kỷ kể từ khi xuất bản lần đầu cuốn </w:t>
      </w:r>
      <w:r>
        <w:rPr>
          <w:b w:val="0"/>
          <w:i/>
        </w:rPr>
        <w:t>Financial Shenanigans</w:t>
      </w:r>
      <w:r>
        <w:rPr>
          <w:b w:val="0"/>
          <w:i w:val="0"/>
        </w:rPr>
        <w:t>, chúng tôi đã phát hiện ra nhiều thủ thuật kế toán được giấu kín trong các hồ sơ doanh nghiệp và chia sẻ phân tích của mình với hàng ngàn chuyên gia lẫn sinh viên. Khi thảo luận về những phát hiện của mình (và điều gì đã dẫn chúng tôi đến đó), chúng tôi thường được hỏi làm sao chúng tôi nhận ra những chiêu trò này trong khi những người khác, cùng đánh giá trên những tài liệu y hệt, lại không thấy được. Có phải vì chúng tôi làm việc chăm chỉ hơn hay thông minh hơn các nhà phân tích khác? Chúng tôi nghĩ là không. Thay vào đó, chúng tôi tin rằng thành công của mình bắt nguồn từ việc khởi đầu với một tư duy rất khác biệt—tư duy điều tra (forensic). Cách tiếp cận này kết hợp những phẩm chất như hoài nghi, tò mò và khiêm tốn, rồi hòa quyện chúng với sự hiểu biết sâu sắc về hành vi con người và các nguyên tắc chơi đẹp.</w:t>
      </w:r>
    </w:p>
    <w:p>
      <w:pPr>
        <w:spacing w:after="80"/>
      </w:pPr>
      <w:r>
        <w:rPr>
          <w:b w:val="0"/>
          <w:i w:val="0"/>
        </w:rPr>
        <w:t>Trong những trang tiếp theo, chúng tôi tóm tắt các yếu tố then chốt của tư duy điều tra, giúp bạn luôn tập trung vào những vấn đề và câu hỏi cốt lõi, đồng thời hỗ trợ bạn phát hiện các mánh khóe kế toán và gian lận trong báo cáo tài chính.</w:t>
      </w:r>
    </w:p>
    <w:p>
      <w:pPr>
        <w:pStyle w:val="Heading3"/>
      </w:pPr>
      <w:r>
        <w:rPr>
          <w:rFonts w:ascii="Calibri" w:hAnsi="Calibri"/>
          <w:b/>
          <w:i w:val="0"/>
          <w:sz w:val="26"/>
        </w:rPr>
        <w:t>1. Hoài nghi là một lợi thế cạnh tranh</w:t>
      </w:r>
    </w:p>
    <w:p>
      <w:pPr>
        <w:spacing w:after="80"/>
      </w:pPr>
      <w:r>
        <w:rPr>
          <w:b w:val="0"/>
          <w:i w:val="0"/>
        </w:rPr>
        <w:t>Theo nhiều cách, thị trường vốn được thiết kế để lan truyền tin tốt. Các công ty dịch vụ tài chính ở cả phía mua lẫn phía bán, cùng chính các tổ chức phát hành cổ phiếu, thường kiếm được nhiều tiền hơn khi giá cổ phiếu tăng. Các tổ chức phát hành được khuyến khích công bố tin tốt, các công ty phía bán thì lan truyền tin đó, còn nhà đầu tư thì tin theo. Chính động lực này là một phần nguyên nhân đôi khi tạo ra bong bóng tài sản và các chu kỳ bùng nổ/suy thoái. Những nhà đầu tư có thể giữ được sự khách quan và hoài nghi, trong khi đám đông cứ lặp lại và khuếch đại sự phấn khích của nhau, sẽ có cơ hội tốt hơn để hưởng lợi từ những khoảng cách rõ ràng hơn so với thực tế.</w:t>
      </w:r>
    </w:p>
    <w:p>
      <w:pPr>
        <w:spacing w:after="80"/>
      </w:pPr>
      <w:r>
        <w:rPr>
          <w:b w:val="0"/>
          <w:i w:val="0"/>
        </w:rPr>
        <w:t>ÁP DỤNG TƯ DUY ĐIỀU TRA</w:t>
      </w:r>
    </w:p>
    <w:p>
      <w:pPr>
        <w:spacing w:after="80"/>
      </w:pPr>
      <w:r>
        <w:rPr>
          <w:b w:val="0"/>
          <w:i w:val="0"/>
        </w:rPr>
        <w:t>1. Hoài nghi là một lợi thế cạnh tranh.</w:t>
      </w:r>
    </w:p>
    <w:p>
      <w:pPr>
        <w:spacing w:after="80"/>
      </w:pPr>
      <w:r>
        <w:rPr>
          <w:b w:val="0"/>
          <w:i w:val="0"/>
        </w:rPr>
        <w:t>2. Đặc biệt chú ý đến những thay đổi—luôn hỏi "tại sao?" và "tại sao lại là lúc này?"</w:t>
      </w:r>
    </w:p>
    <w:p>
      <w:pPr>
        <w:spacing w:after="80"/>
      </w:pPr>
      <w:r>
        <w:rPr>
          <w:b w:val="0"/>
          <w:i w:val="0"/>
        </w:rPr>
        <w:t>3. Nhìn xa hơn "các vấn đề kế toán" để xem liệu có phải những vấn đề kinh doanh đang bị che đậy.</w:t>
      </w:r>
    </w:p>
    <w:p>
      <w:pPr>
        <w:spacing w:after="80"/>
      </w:pPr>
      <w:r>
        <w:rPr>
          <w:b w:val="0"/>
          <w:i w:val="0"/>
        </w:rPr>
        <w:t>4. Chú ý đến văn hóa doanh nghiệp và để mắt tới những môi trường dễ nảy sinh hành vi xấu.</w:t>
      </w:r>
    </w:p>
    <w:p>
      <w:pPr>
        <w:spacing w:after="80"/>
      </w:pPr>
      <w:r>
        <w:rPr>
          <w:b w:val="0"/>
          <w:i w:val="0"/>
        </w:rPr>
        <w:t>5. Đừng bao giờ mù quáng chấp nhận khung đo lường lợi nhuận của công ty.</w:t>
      </w:r>
    </w:p>
    <w:p>
      <w:pPr>
        <w:spacing w:after="80"/>
      </w:pPr>
      <w:r>
        <w:rPr>
          <w:b w:val="0"/>
          <w:i w:val="0"/>
        </w:rPr>
        <w:t>6. Động lực rất quan trọng: hãy đặc biệt chú ý đến cách các lãnh đạo được trả thù lao.</w:t>
      </w:r>
    </w:p>
    <w:p>
      <w:pPr>
        <w:spacing w:after="80"/>
      </w:pPr>
      <w:r>
        <w:rPr>
          <w:b w:val="0"/>
          <w:i w:val="0"/>
        </w:rPr>
        <w:t>7. Ngay cả trong công bố tài chính: vị trí, vị trí, vị trí.</w:t>
      </w:r>
    </w:p>
    <w:p>
      <w:pPr>
        <w:spacing w:after="80"/>
      </w:pPr>
      <w:r>
        <w:rPr>
          <w:b w:val="0"/>
          <w:i w:val="0"/>
        </w:rPr>
        <w:t>8. Giống như chơi golf, mỗi cú đánh đều đáng giá.</w:t>
      </w:r>
    </w:p>
    <w:p>
      <w:pPr>
        <w:spacing w:after="80"/>
      </w:pPr>
      <w:r>
        <w:rPr>
          <w:b w:val="0"/>
          <w:i w:val="0"/>
        </w:rPr>
        <w:t>9. Các mẫu hành vi mang lại một tín hiệu đáng tin cậy.</w:t>
      </w:r>
    </w:p>
    <w:p>
      <w:pPr>
        <w:spacing w:after="80"/>
      </w:pPr>
      <w:r>
        <w:rPr>
          <w:b w:val="0"/>
          <w:i w:val="0"/>
        </w:rPr>
        <w:t>10. Hãy khiêm tốn và tò mò, và đừng bao giờ ngừng học hỏi.</w:t>
      </w:r>
    </w:p>
    <w:p>
      <w:pPr>
        <w:spacing w:after="80"/>
      </w:pPr>
      <w:r>
        <w:rPr>
          <w:b w:val="0"/>
          <w:i w:val="0"/>
        </w:rPr>
        <w:t>Từ năm 1995 đến năm 2000, doanh thu của Enron đã tăng từ dưới 10 tỷ đô la lên hơn 100 tỷ đô la, một kỳ tích mà chưa từng có công ty Mỹ nào đạt được nhanh đến vậy trước đó. Ban lãnh đạo được tôn sùng như những người thông minh nhất trong giới kinh doanh. Thế nhưng, Enron hoạt động trong một ngành đã trưởng thành và bị quản lý chặt chẽ, và hầu như chẳng tạo ra chút thu nhập kế toán hay dòng tiền nào cả. Một vài người hoài nghi đã nhận ra và đặt câu hỏi về mô hình tăng trưởng doanh số khó tin đó thì có thể thấy rằng doanh nghiệp này chỉ là một ngôi nhà bằng những quân bài.</w:t>
      </w:r>
    </w:p>
    <w:p>
      <w:pPr>
        <w:pStyle w:val="Heading3"/>
      </w:pPr>
      <w:r>
        <w:rPr>
          <w:rFonts w:ascii="Calibri" w:hAnsi="Calibri"/>
          <w:b/>
          <w:i w:val="0"/>
          <w:sz w:val="26"/>
        </w:rPr>
        <w:t>2. Hãy Đặc Biệt Chú Ý Đến Những Thay Đổi—Luôn Hỏi "Tại Sao?" và "Tại Sao Là Bây Giờ?"</w:t>
      </w:r>
    </w:p>
    <w:p>
      <w:pPr>
        <w:spacing w:after="80"/>
      </w:pPr>
      <w:r>
        <w:rPr>
          <w:b w:val="0"/>
          <w:i w:val="0"/>
        </w:rPr>
        <w:t xml:space="preserve">Nhiều hiểu biết sâu sắc được nêu bật trong cuốn sách này đến từ việc nhận ra một </w:t>
      </w:r>
      <w:r>
        <w:rPr>
          <w:b w:val="0"/>
          <w:i/>
        </w:rPr>
        <w:t>thay đổi</w:t>
      </w:r>
      <w:r>
        <w:rPr>
          <w:b w:val="0"/>
          <w:i w:val="0"/>
        </w:rPr>
        <w:t xml:space="preserve"> quan trọng nào đó (những thay đổi trong thực hành kế toán, công bố chính sách, xu hướng trên Bảng Cân Đối Kế Toán, các chỉ số then chốt, điều khoản thanh toán của khách hàng, sự ra đi của lãnh đạo, kiểm toán viên, v.v.). Trong hầu hết các trường hợp liên quan đến một thay đổi, ban lãnh đạo, với cặp kính màu hồng, đã vẽ ra những lời giải thích có vẻ hợp lý và tâng bốc để thuyết phục nhà đầu tư đừng lo lắng. Tuy nhiên, quá thường xuyên, chúng tôi nhận thấy những lời giải thích này là không liên quan, sáo rỗng, hoặc lạc đề. Ví dụ, những thay đổi trong chính sách kế toán thường được gán cho mong muốn đi theo thông lệ của các công ty cùng ngành, hàng tồn kho cao hơn được giải thích là do cần sản xuất sản phẩm trước khi bán, và sự ra đi của lãnh đạo được giải thích là do muốn dành nhiều thời gian hơn cho gia đình, v.v. Hỏi "tại sao" thay đổi xảy ra là một câu hỏi quan trọng, nhưng một câu hỏi thậm chí còn sâu sắc hơn là "tại sao là bây giờ?" Điều gì đã thúc đẩy thay đổi được thực hiện vào đúng thời điểm đó? Hỏi "tại sao là bây giờ?" thường dẫn nhà đầu tư đào sâu hơn vào việc kết quả sẽ trông như thế nào nếu không có thay đổi đó.</w:t>
      </w:r>
    </w:p>
    <w:p>
      <w:pPr>
        <w:spacing w:after="80"/>
      </w:pPr>
      <w:r>
        <w:rPr>
          <w:b w:val="0"/>
          <w:i w:val="0"/>
        </w:rPr>
        <w:t>Trong Chương 3, chúng ta đã thảo luận về một thay đổi rất hệ trọng trong việc ghi nhận doanh thu tại Ulvac, một nhà sản xuất chất bán dẫn Nhật Bản. Việc công ty chọn bắt đầu sử dụng phương pháp kế toán theo tỷ lệ phần trăm hoàn thành là một động thái bất thường và táo bạo; tuy nhiên, yếu tố "tại sao là bây giờ?" chính là điều khiến việc giải thích thay đổi này trở nên mạnh mẽ đến vậy. Nếu không có thay đổi trong kế toán, các báo cáo tài chính sẽ cho thấy rằng hoạt động kinh doanh của Ulvac thực ra đang sụp đổ, chứ không phải đang cải thiện như những con số được báo cáo đã thể hiện một cách gây nhầm lẫn.</w:t>
      </w:r>
    </w:p>
    <w:p>
      <w:pPr>
        <w:pStyle w:val="Heading3"/>
      </w:pPr>
      <w:r>
        <w:rPr>
          <w:rFonts w:ascii="Calibri" w:hAnsi="Calibri"/>
          <w:b/>
          <w:i w:val="0"/>
          <w:sz w:val="26"/>
        </w:rPr>
        <w:t>3. Nhìn Xa Hơn "Các Vấn Đề Kế Toán" Để Xem Liệu Các Vấn Đề Kinh Doanh Có Đang Bị Che Giấu Không</w:t>
      </w:r>
    </w:p>
    <w:p>
      <w:pPr>
        <w:spacing w:after="80"/>
      </w:pPr>
      <w:r>
        <w:rPr>
          <w:b w:val="0"/>
          <w:i w:val="0"/>
        </w:rPr>
        <w:t>Khi có thắc mắc về việc một công ty sử dụng các thực hành kế toán không phù hợp, nhà đầu tư có xu hướng chỉ xem những vấn đề đó là "các vấn đề kế toán" cần được điều tra và cuối cùng là khắc phục (thường với sự giúp đỡ của một công ty kế toán big-four). Báo chí tài chính củng cố điều này bằng cách tập trung vào các quy tắc kỹ thuật đã bị vi phạm, mức độ nghiêm trọng của các vi phạm, và ai trong tổ chức được cho là phải chịu trách nhiệm. Trong khi đây đều là những vấn đề quan trọng, chúng tôi tin rằng điều quan trọng hơn đối với nhà đầu tư là tập trung vào câu hỏi này: "Những ứng dụng kế toán sai lệch này đã phục vụ việc che giấu các vấn đề trong hoạt động kinh doanh đến mức độ nào?"</w:t>
      </w:r>
    </w:p>
    <w:p>
      <w:pPr>
        <w:spacing w:after="80"/>
      </w:pPr>
      <w:r>
        <w:rPr>
          <w:b w:val="0"/>
          <w:i w:val="0"/>
        </w:rPr>
        <w:t>Khi Hertz thông báo rằng họ sẽ điều chỉnh lại báo cáo tài chính của nhiều năm để sửa chữa việc kế toán không phù hợp, báo chí đã đặt những câu hỏi dễ đoán như sau: Bản chất của các vấn đề là gì? Ai phải chịu trách nhiệm? Điều này định hình các cuộc thảo luận phổ biến trong giới đầu tư, những người nói về "gánh nặng các vấn đề kế toán" của công ty. Đáng chú ý là rất ít sự chú ý được dành cho việc tại sao Hertz lại làm kế toán một cách cẩu thả và tùy tiện như vậy, và điều đó có ý nghĩa gì về sức khỏe thực sự của hoạt động kinh doanh. Kết quả là, nhà đầu tư đã bị bất ngờ khi sau khi bụi mù của việc điều chỉnh cuối cùng lắng xuống, hoạt động kinh doanh kém sinh lợi đáng kể so với những gì được hiểu trước đó.</w:t>
      </w:r>
    </w:p>
    <w:p>
      <w:pPr>
        <w:pStyle w:val="Heading3"/>
      </w:pPr>
      <w:r>
        <w:rPr>
          <w:rFonts w:ascii="Calibri" w:hAnsi="Calibri"/>
          <w:b/>
          <w:i w:val="0"/>
          <w:sz w:val="26"/>
        </w:rPr>
        <w:t>4. Chú Ý Đến Văn Hóa Doanh Nghiệp và Cảnh Giác Với Những Mảnh Đất Màu Mỡ Cho Hành Vi Xấu</w:t>
      </w:r>
    </w:p>
    <w:p>
      <w:pPr>
        <w:spacing w:after="80"/>
      </w:pPr>
      <w:r>
        <w:rPr>
          <w:b w:val="0"/>
          <w:i w:val="0"/>
        </w:rPr>
        <w:t>Những trò lừa đảo được khắc họa trong cuốn sách này không đại diện cho hành vi doanh nghiệp bình thường; thay vào đó, chúng phản ánh những hành động ngoại lệ của các lãnh đạo hung hăng và không trung thực hơn. Chúng cũng thường không chỉ là những lựa chọn riêng lẻ của những kẻ xấu, mà là kết quả của một môi trường và bối cảnh khiến những lựa chọn đó trở nên dễ xảy ra hơn. Như chúng ta đã thảo luận trong Chương 2, một số đặc điểm nhất định tại một công ty tạo ra mảnh đất màu mỡ cho hành vi xấu. Các cơ chế kiểm tra và cân bằng yếu kém, một CEO độc đoán, và một văn hóa đạt mục tiêu bằng mọi giá là những yếu tố làm tăng nguy cơ xảy ra các trò lừa đảo.</w:t>
      </w:r>
    </w:p>
    <w:p>
      <w:pPr>
        <w:spacing w:after="80"/>
      </w:pPr>
      <w:r>
        <w:rPr>
          <w:b w:val="0"/>
          <w:i w:val="0"/>
        </w:rPr>
        <w:t>Bức thư của Joe Nacchio, cựu CEO của Qwest Communications, gửi cho đội ngũ bán hàng của ông là một ví dụ điển hình cho văn hóa thắng bằng mọi giá đến từ cấp cao nhất: "Điều quan trọng nhất chúng ta làm là đạt được các con số của mình. Nó quan trọng hơn bất kỳ sản phẩm riêng lẻ nào.... Chúng ta dừng mọi thứ khác lại khi chúng ta không đạt được các con số." Văn hóa này đã thúc đẩy nhân viên Qwest cắt xén mọi thứ khi cần thiết để đạt được các con số, và thậm chí tham gia vào gian lận trắng trợn.</w:t>
      </w:r>
    </w:p>
    <w:p>
      <w:pPr>
        <w:pStyle w:val="Heading3"/>
      </w:pPr>
      <w:r>
        <w:rPr>
          <w:rFonts w:ascii="Calibri" w:hAnsi="Calibri"/>
          <w:b/>
          <w:i w:val="0"/>
          <w:sz w:val="26"/>
        </w:rPr>
        <w:t>5. Đừng Bao Giờ Mù Quáng Chấp Nhận Khuôn Khổ Sinh Lợi Của Công Ty</w:t>
      </w:r>
    </w:p>
    <w:p>
      <w:pPr>
        <w:spacing w:after="80"/>
      </w:pPr>
      <w:r>
        <w:rPr>
          <w:b w:val="0"/>
          <w:i w:val="0"/>
        </w:rPr>
        <w:t>Trong các thông cáo báo chí, cuộc gọi thu nhập, và bài trình bày cho nhà đầu tư, các lãnh đạo công ty thường tận dụng cơ hội để báo cáo kết quả theo cách ấn tượng và tâng bốc nhất. Ngoài việc báo cáo lợi nhuận GAAP bắt buộc, ban lãnh đạo thường thảo luận về các chỉ số phi GAAP như "EBITDA," "lợi nhuận kinh doanh cơ bản," "thu nhập điều chỉnh," hoặc nhiều biến thể khác. Trong một số trường hợp, những chỉ số thay thế này cung cấp một bổ sung có giá trị cho các con số dựa trên GAAP; tuy nhiên, trong nhiều trường hợp, chúng bỏ qua những khía cạnh quan trọng của cấu trúc chi phí của hoạt động kinh doanh. Ngay cả khi một số chỉ số trở thành tiêu chuẩn ngành, nhà đầu tư phải xem xét mức độ chúng thực sự phản ánh đầy đủ kinh tế học của hoạt động kinh doanh.</w:t>
      </w:r>
    </w:p>
    <w:p>
      <w:pPr>
        <w:spacing w:after="80"/>
      </w:pPr>
      <w:r>
        <w:rPr>
          <w:b w:val="0"/>
          <w:i w:val="0"/>
        </w:rPr>
        <w:t>Ví dụ, Linn Energy tập trung nhà đầu tư vào "dòng tiền có thể phân phối" của mình để biện minh cho việc chi trả cổ tức ngày càng tăng. Chỉ số đó dựa trên sự phân biệt mơ hồ của ban lãnh đạo giữa chi tiêu vốn "định hướng tăng trưởng" và các khoản thanh toán khác được coi là "định hướng duy trì." Trong nhiều trường hợp, những phân biệt như vậy là tùy tiện hoặc cố ý gây nhầm lẫn, dẫn đến việc ban lãnh đạo trình bày những con số hào nhoáng được thổi phồng.</w:t>
      </w:r>
    </w:p>
    <w:p>
      <w:pPr>
        <w:spacing w:after="80"/>
      </w:pPr>
      <w:r>
        <w:rPr>
          <w:b w:val="0"/>
          <w:i w:val="0"/>
        </w:rPr>
        <w:t>Khi đánh giá một chỉ số sinh lợi phi GAAP, chúng tôi khuyên bạn nên dừng lại để xem xét chỉ số đó trả lời câu hỏi nào, và sau đó đánh giá liệu bản thân câu hỏi đó có đáng giá không. Trong trường hợp dòng tiền có thể phân phối của Linn Energy, câu hỏi mà chỉ số này dường như trả lời là "Công ty đã tạo ra bao nhiêu dòng tiền từ các tài sản của mình, không tính tất cả các khoản chi tiêu mà ban lãnh đạo coi là liên quan đến hoạt động mở rộng?" Khi đã diễn đạt được câu hỏi, có thể sẽ rõ ràng rằng đó không phải là một câu hỏi hữu ích lắm, vì đánh giá của ban lãnh đạo về chi tiêu vốn theo danh mục (vốn tăng trưởng so với vốn duy trì) hoàn toàn mang tính chủ quan, và trong nhiều trường hợp, những phân biệt đó không có khác biệt có ý nghĩa.</w:t>
      </w:r>
    </w:p>
    <w:p>
      <w:pPr>
        <w:pStyle w:val="Heading3"/>
      </w:pPr>
      <w:r>
        <w:rPr>
          <w:rFonts w:ascii="Calibri" w:hAnsi="Calibri"/>
          <w:b/>
          <w:i w:val="0"/>
          <w:sz w:val="26"/>
        </w:rPr>
        <w:t>6. Động Lực Rất Quan Trọng: Hãy Đặc Biệt Chú Ý Đến Cách Các Lãnh Đạo Được Trả Thù Lao</w:t>
      </w:r>
    </w:p>
    <w:p>
      <w:pPr>
        <w:spacing w:after="80"/>
      </w:pPr>
      <w:r>
        <w:rPr>
          <w:b w:val="0"/>
          <w:i w:val="0"/>
        </w:rPr>
        <w:t>Quan điểm thông thường được các chuyên gia về thù lao ủng hộ (và được nhà đầu tư chấp nhận) là thù lao của ban lãnh đạo nên được gắn trực tiếp với hiệu suất. Hiệu suất tầm thường nên mang lại thù lao tầm thường (hoặc bị sa thải), và hiệu suất tuyệt vời nên được thưởng bằng một gói thù lao hậu hĩnh. Đương nhiên, hiệu suất được đo lường tương đối với các mục tiêu đã đề ra. Hãy đặc biệt chú ý đến những mục tiêu này, vì chúng chắc chắn sẽ định hình chiến lược của ban lãnh đạo cho hoạt động kinh doanh.</w:t>
      </w:r>
    </w:p>
    <w:p>
      <w:pPr>
        <w:spacing w:after="80"/>
      </w:pPr>
      <w:r>
        <w:rPr>
          <w:b w:val="0"/>
          <w:i w:val="0"/>
        </w:rPr>
        <w:t xml:space="preserve">Khi hội đồng quản trị của Valeant thiết lập kế hoạch thù lao khuyến khích cho CEO, chỉ số hiệu suất tài chính quan trọng nhất được chỉ định là "thu nhập tiền mặt trên mỗi cổ phiếu." Chỉ số này được tính toán để loại trừ tất cả các chi phí liên quan đến hoạt động M&amp;A, bao gồm chi phí tái cấu trúc, tích hợp, và suy giảm giá trị, cũng như chi phí khấu hao liên quan đến các tài sản được mua lại. Dựa trên những mục tiêu này, cách hiệu quả nhất để tối đa hóa khoản tiền thưởng cơ bản sẽ là thực hiện các thương vụ mua lại lớn bằng tiền mặt, </w:t>
      </w:r>
      <w:r>
        <w:rPr>
          <w:b w:val="0"/>
          <w:i/>
        </w:rPr>
        <w:t>bất kể giá nào</w:t>
      </w:r>
      <w:r>
        <w:rPr>
          <w:b w:val="0"/>
          <w:i w:val="0"/>
        </w:rPr>
        <w:t>—vì làm như vậy chắc chắn sẽ cải thiện thu nhập tiền mặt trên mỗi cổ phiếu. Nếu hội đồng quản trị thay vào đó chỉ định một mục tiêu hiệu suất dựa trên một thước đo sinh lợi bao quát hơn (chẳng hạn như thu nhập ròng GAAP), công ty có thể đã theo đuổi một chiến lược rất khác.</w:t>
      </w:r>
    </w:p>
    <w:p>
      <w:pPr>
        <w:pStyle w:val="Heading3"/>
      </w:pPr>
      <w:r>
        <w:rPr>
          <w:rFonts w:ascii="Calibri" w:hAnsi="Calibri"/>
          <w:b/>
          <w:i w:val="0"/>
          <w:sz w:val="26"/>
        </w:rPr>
        <w:t>7. Ngay cả trong Công bố Tài chính: Vị trí, Vị trí, Vị trí</w:t>
      </w:r>
    </w:p>
    <w:p>
      <w:pPr>
        <w:spacing w:after="80"/>
      </w:pPr>
      <w:r>
        <w:rPr>
          <w:b w:val="0"/>
          <w:i w:val="0"/>
        </w:rPr>
        <w:t>Các Báo cáo Kết quả Kinh doanh (Earnings Releases), báo cáo tài chính thường niên và giữa niên độ, cùng các hồ sơ pháp lý khác đều bao gồm sự kết hợp giữa những công bố bắt buộc và nội dung tự nguyện, bao gồm thông tin bổ sung và bình luận. Đương nhiên, các công ty có thể làm nổi bật những thông tin tích cực nhất trong Báo cáo Kết quả Kinh doanh và bài thuyết trình nhà đầu tư hàng quý — những tài liệu được phổ biến rộng rãi và đọc nhiều — rồi chôn vùi những công bố cần thiết nhưng kém đẹp đẽ vào những trang cuối của hồ sơ pháp lý, nơi ít độc giả tìm thấy. Vì lý do này, chúng tôi luôn đọc trọn vẹn những tài liệu đó, và những "ăng-ten" hoài nghi của chúng tôi hoạt động mạnh nhất ở những phần của hồ sơ quá kỹ thuật hoặc quá nhàm chán đối với hầu hết độc giả. Khi bắt gặp thông tin đáng lo ngại có vẻ liên quan đến sức khỏe của doanh nghiệp trong những phần cuối này (thường in chữ nhỏ), chúng tôi có thể khá tự tin rằng mình đã phát hiện ra những công bố mà ban lãnh đạo đang cố che giấu khỏi nhà đầu tư. Đây thường là những dữ liệu đầu vào giá trị nhất.</w:t>
      </w:r>
    </w:p>
    <w:p>
      <w:pPr>
        <w:spacing w:after="80"/>
      </w:pPr>
      <w:r>
        <w:rPr>
          <w:b w:val="0"/>
          <w:i w:val="0"/>
        </w:rPr>
        <w:t>Trong Chương 7, chúng ta đã thảo luận về cú hích bất thường đối với lợi nhuận của Under Armour trong quý 4 năm 2016, khi công ty đảo ngược khoản phí 48 triệu đô la (trước đó được trích trước như tiền thưởng) trở lại Báo cáo Thu nhập. Hành động này đã hạ thấp một cách nhân tạo chi phí SG&amp;A được báo cáo, khiến khả năng sinh lời trông mạnh hơn trong quý. Điều thú vị là, lần duy nhất đề cập đến việc đảo ngược này nằm sâu trong hồ sơ 10-K của công ty, ở một chú thích cho một bảng hoàn toàn không liên quan chi tiết về các mô hình tính thời vụ của doanh nghiệp. Rõ ràng đây là một công bố mà ban lãnh đạo đang cố chôn vùi.</w:t>
      </w:r>
    </w:p>
    <w:p>
      <w:pPr>
        <w:pStyle w:val="Heading3"/>
      </w:pPr>
      <w:r>
        <w:rPr>
          <w:rFonts w:ascii="Calibri" w:hAnsi="Calibri"/>
          <w:b/>
          <w:i w:val="0"/>
          <w:sz w:val="26"/>
        </w:rPr>
        <w:t>8. Giống như trong Golf, Mỗi Cú Đánh Đều Tính</w:t>
      </w:r>
    </w:p>
    <w:p>
      <w:pPr>
        <w:spacing w:after="80"/>
      </w:pPr>
      <w:r>
        <w:rPr>
          <w:b w:val="0"/>
          <w:i w:val="0"/>
        </w:rPr>
        <w:t>Golf khác biệt so với bất kỳ môn thể thao có khán giả nào khác được chơi phổ biến ở đất nước này. Không giống quần vợt, bóng đá hay bóng rổ, trong golf mỗi cú đánh đều cực kỳ quan trọng. Các tay golf chuyên nghiệp chơi 72 hố trong một giải đấu bốn ngày, và người chơi cần ít cú đánh nhất sẽ thắng. Nếu bạn có vài hố tồi tệ, bạn vẫn có thể thắng, nhưng mỗi cú đánh bạn thực hiện đều sẽ được tính vào tổng điểm cuối cùng. Và đó cũng chính là cách trò chơi kế toán và báo cáo tài chính vận hành theo GAAP. Các công ty thường xuyên khuyến khích nhà đầu tư bỏ qua một số chi phí hoặc dòng tiền ra nhất định đang xin một "mulligan" (một cú đánh miễn phí). Những điều đó chỉ nên được chấp nhận trong những trường hợp cực kỳ hiếm hoi.</w:t>
      </w:r>
    </w:p>
    <w:p>
      <w:pPr>
        <w:spacing w:after="80"/>
      </w:pPr>
      <w:r>
        <w:rPr>
          <w:b w:val="0"/>
          <w:i w:val="0"/>
        </w:rPr>
        <w:t>Trong Chương 5, chúng ta đã thảo luận về việc trong hơn một phần tư thế kỷ, Whirlpool liên tục loại trừ các khoản phí tái cấu trúc hàng năm khi trình bày lợi nhuận phi GAAP, có lẽ với lý do rằng những chi phí đó không thuộc hoạt động bình thường của công ty. Tương tự, các đợt thu hồi sản phẩm, kiện tụng, tích hợp M&amp;A, và các chi phí khác đều là một phần của chi phí kinh doanh. Giả vờ rằng chúng không phải vậy chẳng khác nào gian lận trên sân golf — nhưng với hậu quả tồi tệ hơn nhiều!</w:t>
      </w:r>
    </w:p>
    <w:p>
      <w:pPr>
        <w:pStyle w:val="Heading3"/>
      </w:pPr>
      <w:r>
        <w:rPr>
          <w:rFonts w:ascii="Calibri" w:hAnsi="Calibri"/>
          <w:b/>
          <w:i w:val="0"/>
          <w:sz w:val="26"/>
        </w:rPr>
        <w:t>9. Các Mô Hình Hành Vi Mang Lại Tín Hiệu Đáng Tin Cậy</w:t>
      </w:r>
    </w:p>
    <w:p>
      <w:pPr>
        <w:spacing w:after="80"/>
      </w:pPr>
      <w:r>
        <w:rPr>
          <w:b w:val="0"/>
          <w:i w:val="0"/>
        </w:rPr>
        <w:t>Từ lâu chúng tôi đã là người hâm mộ Richard Thaler, người đoạt giải Nobel, một người tiên phong của tài chính hành vi (behavioral finance). Ông đã phát triển những lý thuyết rất hữu ích về lý do tại sao nhà đầu tư liên tục đưa ra những quyết định có vẻ phi lý, và ông gợi ý cách tránh những thiên kiến có vấn đề.</w:t>
      </w:r>
    </w:p>
    <w:p>
      <w:pPr>
        <w:spacing w:after="80"/>
      </w:pPr>
      <w:r>
        <w:rPr>
          <w:b w:val="0"/>
          <w:i w:val="0"/>
        </w:rPr>
        <w:t xml:space="preserve">Khoảng 15 năm trước, Howard đã phát biểu tại một hội nghị đầu tư ở Chicago, ngay sau khi Thaler trình bày nghiên cứu của mình. Howard đã tận dụng phần trình bày của Thaler, bổ sung rằng trong khi nghiên cứu của Thaler đã thành công trong việc phác họa </w:t>
      </w:r>
      <w:r>
        <w:rPr>
          <w:b w:val="0"/>
          <w:i/>
        </w:rPr>
        <w:t>hành vi có thể dự đoán của nhà đầu tư</w:t>
      </w:r>
      <w:r>
        <w:rPr>
          <w:b w:val="0"/>
          <w:i w:val="0"/>
        </w:rPr>
        <w:t xml:space="preserve">, công việc của chúng tôi tập trung vào việc phác họa </w:t>
      </w:r>
      <w:r>
        <w:rPr>
          <w:b w:val="0"/>
          <w:i/>
        </w:rPr>
        <w:t>hành vi có thể dự đoán của các giám đốc điều hành doanh nghiệp</w:t>
      </w:r>
      <w:r>
        <w:rPr>
          <w:b w:val="0"/>
          <w:i w:val="0"/>
        </w:rPr>
        <w:t>. Thật vậy, những nhà đầu tư tinh ý với các mô hình hành vi của giám đốc điều hành có thể được lợi khi biết rằng những mô hình này có xu hướng tồn tại dai dẳng. Ví dụ, một CFO sử dụng các phương pháp kế toán hung hăng ở một công ty thì cũng dễ làm điều tương tự ở một công ty tiếp theo. Hơn nữa, nếu một chỉ số trên Bảng Cân đối Kế toán báo hiệu rằng công ty đã "nhồi đầy kênh phân phối" bằng hàng tồn kho, nhà đầu tư nên tìm kiếm những xu hướng tương tự trong lịch sử công ty để xem liệu có sự thiếu hụt doanh thu nào theo sau hành vi hung hăng tương tự trong quá khứ hay không. Mặc dù phân tích pháp y (forensic analysis) mang tính nghệ thuật nhiều hơn khoa học, bạn sẽ thấy rằng nhiều mối quan hệ và mô hình có sự tồn tại dai dẳng đáng tin cậy.</w:t>
      </w:r>
    </w:p>
    <w:p>
      <w:pPr>
        <w:pStyle w:val="Heading3"/>
      </w:pPr>
      <w:r>
        <w:rPr>
          <w:rFonts w:ascii="Calibri" w:hAnsi="Calibri"/>
          <w:b/>
          <w:i w:val="0"/>
          <w:sz w:val="26"/>
        </w:rPr>
        <w:t>10. Hãy Khiêm Tốn và Tò Mò, và Đừng Bao Giờ Ngừng Học Hỏi</w:t>
      </w:r>
    </w:p>
    <w:p>
      <w:pPr>
        <w:spacing w:after="80"/>
      </w:pPr>
      <w:r>
        <w:rPr>
          <w:b w:val="0"/>
          <w:i w:val="0"/>
        </w:rPr>
        <w:t xml:space="preserve">Khi chúng tôi hoàn thành ấn bản kỷ niệm hai mươi lăm năm đặc biệt này của </w:t>
      </w:r>
      <w:r>
        <w:rPr>
          <w:b w:val="0"/>
          <w:i/>
        </w:rPr>
        <w:t>Financial Shenanigans</w:t>
      </w:r>
      <w:r>
        <w:rPr>
          <w:b w:val="0"/>
          <w:i w:val="0"/>
        </w:rPr>
        <w:t>, rõ ràng là chúng tôi đã học được rất nhiều kể từ ấn bản gốc. Bẩm sinh chúng tôi là những người tò mò, và luôn tìm kiếm cơ hội để học những điều mới. Ngoài ra, chúng tôi may mắn được bao quanh bởi những đồng đội, khách hàng cũng có động lực tương tự để giải quyết những vấn đề phức tạp và tiếp thu kỹ năng, chuyên môn mới. Vì chúng tôi đã trở thành những "guru" có uy tín trong lĩnh vực kế toán pháp y, chúng tôi giữ mình khiêm tốn, ý thức sâu sắc rằng con đường học hỏi phía trước vẫn còn dốc, với rất nhiều điều để học từ mọi người xung quanh. Chúng tôi cũng trân trọng tầm quan trọng của việc nhận ra khi mình mắc sai lầm và học hỏi từ đó. Quan trọng nhất, mỗi ngày chúng tôi đến văn phòng với kỳ vọng sẽ làm việc chăm chỉ, tìm ra cách giải quyết những vấn đề khó khăn, học được điều gì đó hữu ích, và dạy cho người khác điều gì đó giá trị.</w:t>
      </w:r>
    </w:p>
    <w:p>
      <w:pPr>
        <w:pStyle w:val="Heading3"/>
      </w:pPr>
      <w:r>
        <w:rPr>
          <w:rFonts w:ascii="Calibri" w:hAnsi="Calibri"/>
          <w:b/>
          <w:i w:val="0"/>
          <w:sz w:val="26"/>
        </w:rPr>
        <w:t>Những Suy Nghĩ Kết Luận</w:t>
      </w:r>
    </w:p>
    <w:p>
      <w:pPr>
        <w:spacing w:after="80"/>
      </w:pPr>
      <w:r>
        <w:rPr>
          <w:b w:val="0"/>
          <w:i w:val="0"/>
        </w:rPr>
        <w:t xml:space="preserve">Ấn bản thứ tư này của </w:t>
      </w:r>
      <w:r>
        <w:rPr>
          <w:b w:val="0"/>
          <w:i/>
        </w:rPr>
        <w:t>Financial Shenanigans</w:t>
      </w:r>
      <w:r>
        <w:rPr>
          <w:b w:val="0"/>
          <w:i w:val="0"/>
        </w:rPr>
        <w:t xml:space="preserve"> cập nhật cho nhà đầu tư những bài học thu được từ việc chúng tôi xem xét nhiều thực hành báo cáo tài chính lừa dối được sử dụng trong một phần tư thế kỷ qua. Kể từ khi chúng tôi xuất bản ấn bản gốc của </w:t>
      </w:r>
      <w:r>
        <w:rPr>
          <w:b w:val="0"/>
          <w:i/>
        </w:rPr>
        <w:t>Financial Shenanigans</w:t>
      </w:r>
      <w:r>
        <w:rPr>
          <w:b w:val="0"/>
          <w:i w:val="0"/>
        </w:rPr>
        <w:t>, ban lãnh đạo doanh nghiệp vẫn tiếp tục sáng chế ra những cách mới để thao túng báo cáo tài chính của mình nhằm thổi phồng giá cổ phiếu và các chỉ số liên quan đến thù lao khác. Và, hướng tới tương lai, khi ban lãnh đạo nỗ lực tạo ra những thủ thuật tân kỳ, những nhà đầu tư siêng năng phải tiếp tục học cách phát hiện những trò lừa tài chính mới này.</w:t>
      </w:r>
    </w:p>
    <w:p>
      <w:pPr>
        <w:spacing w:after="80"/>
      </w:pPr>
      <w:r>
        <w:rPr>
          <w:b w:val="0"/>
          <w:i/>
        </w:rPr>
        <w:t>Điều gì đã có sẽ lại có, điều gì đã làm sẽ lại được làm; không có gì mới dưới mặt trời.</w:t>
      </w:r>
      <w:r>
        <w:rPr>
          <w:b w:val="0"/>
          <w:i w:val="0"/>
        </w:rPr>
        <w:t xml:space="preserve"> (Truyền Đạo 1:9)</w:t>
      </w:r>
    </w:p>
    <w:p>
      <w:pPr>
        <w:spacing w:after="80"/>
      </w:pPr>
      <w:r>
        <w:rPr>
          <w:b w:val="0"/>
          <w:i w:val="0"/>
        </w:rPr>
        <w:t>Các vụ bê bối tài chính doanh nghiệp đã tồn tại chừng nào còn có doanh nghiệp và nhà đầu tư. Ban lãnh đạo bất lương đã săn đuổi những nhà đầu tư không ngờ vực, và đã đến lúc những nhà đầu tư như vậy phải nhân đôi nỗ lực để cảnh giác với những trò lừa tài chính như thế để có thể tự bảo vệ mình.</w:t>
      </w:r>
    </w:p>
    <w:p>
      <w:pPr>
        <w:spacing w:after="80"/>
      </w:pPr>
      <w:r>
        <w:rPr>
          <w:b w:val="0"/>
          <w:i w:val="0"/>
        </w:rPr>
        <w:t>Vì những trò lừa ở mức cơ bản nhất thể hiện nỗ lực của ban lãnh đạo nhằm tô điểm tích cực cho hiệu quả tài chính và sức khỏe kinh tế của công ty, thông điệp phổ quát của chúng tôi là nhà đầu tư nên giả định rằng thôi thúc phóng đại điều tích cực và che giấu điều tiêu cực sẽ không bao giờ biến mất. Và ở đâu có cám dỗ, ở đó thường có những trò lừa theo sau.</w:t>
      </w:r>
    </w:p>
    <w:p>
      <w:pPr>
        <w:pStyle w:val="Heading2"/>
      </w:pPr>
      <w:r>
        <w:rPr>
          <w:rFonts w:ascii="Calibri" w:hAnsi="Calibri"/>
          <w:b/>
          <w:i w:val="0"/>
          <w:sz w:val="32"/>
        </w:rPr>
        <w:t>Mục lục</w:t>
      </w:r>
    </w:p>
    <w:p>
      <w:pPr>
        <w:spacing w:after="80"/>
      </w:pPr>
      <w:r>
        <w:rPr>
          <w:b w:val="0"/>
          <w:i/>
        </w:rPr>
        <w:t>Xin lưu ý rằng các liên kết trong mục lục trỏ đến phần đầu trang của bản in. Vị trí trong e-reader chỉ mang tính tương đối, và bạn có thể cần lật xuống một hoặc nhiều lần sau khi nhấp vào liên kết để đến được nội dung được đánh mục</w:t>
      </w:r>
      <w:r>
        <w:rPr>
          <w:b w:val="0"/>
          <w:i w:val="0"/>
        </w:rPr>
        <w:t>.</w:t>
      </w:r>
    </w:p>
    <w:p>
      <w:pPr>
        <w:spacing w:after="80"/>
      </w:pPr>
      <w:r>
        <w:rPr>
          <w:b w:val="0"/>
          <w:i w:val="0"/>
        </w:rPr>
        <w:t xml:space="preserve">AA. </w:t>
      </w:r>
      <w:r>
        <w:rPr>
          <w:b w:val="0"/>
          <w:i/>
        </w:rPr>
        <w:t>Xem</w:t>
      </w:r>
      <w:r>
        <w:rPr>
          <w:b w:val="0"/>
          <w:i w:val="0"/>
        </w:rPr>
        <w:t xml:space="preserve"> Kế toán mua lại (Acquisition Accounting)</w:t>
      </w:r>
    </w:p>
    <w:p>
      <w:pPr>
        <w:spacing w:after="80"/>
      </w:pPr>
      <w:r>
        <w:rPr>
          <w:b w:val="0"/>
          <w:i w:val="0"/>
        </w:rPr>
        <w:t xml:space="preserve">Kế toán. </w:t>
      </w:r>
      <w:r>
        <w:rPr>
          <w:b w:val="0"/>
          <w:i/>
        </w:rPr>
        <w:t>Xem thêm</w:t>
      </w:r>
      <w:r>
        <w:rPr>
          <w:b w:val="0"/>
          <w:i w:val="0"/>
        </w:rPr>
        <w:t xml:space="preserve"> Kế toán mua lại (Acquisition Accounting); Kế toán chương trình (Program accounting)</w:t>
      </w:r>
    </w:p>
    <w:p>
      <w:pPr>
        <w:spacing w:after="80"/>
      </w:pPr>
      <w:r>
        <w:rPr>
          <w:b w:val="0"/>
          <w:i w:val="0"/>
        </w:rPr>
        <w:t>cơ sở dồn tích so với cơ sở tiền mặt, 144–146</w:t>
      </w:r>
    </w:p>
    <w:p>
      <w:pPr>
        <w:spacing w:after="80"/>
      </w:pPr>
      <w:r>
        <w:rPr>
          <w:b w:val="0"/>
          <w:i w:val="0"/>
        </w:rPr>
        <w:t>đối với AOL, 87–88</w:t>
      </w:r>
    </w:p>
    <w:p>
      <w:pPr>
        <w:spacing w:after="80"/>
      </w:pPr>
      <w:r>
        <w:rPr>
          <w:b w:val="0"/>
          <w:i w:val="0"/>
        </w:rPr>
        <w:t>những thay đổi của Dunkin’ Donuts trong, 74–75</w:t>
      </w:r>
    </w:p>
    <w:p>
      <w:pPr>
        <w:spacing w:after="80"/>
      </w:pPr>
      <w:r>
        <w:rPr>
          <w:b w:val="0"/>
          <w:i w:val="0"/>
        </w:rPr>
        <w:t>ghi nhận chi phí với các giả định cho, 109–112</w:t>
      </w:r>
    </w:p>
    <w:p>
      <w:pPr>
        <w:spacing w:after="80"/>
      </w:pPr>
      <w:r>
        <w:rPr>
          <w:b w:val="0"/>
          <w:i w:val="0"/>
        </w:rPr>
        <w:t>đối với Intel Corporation, 93</w:t>
      </w:r>
    </w:p>
    <w:p>
      <w:pPr>
        <w:spacing w:after="80"/>
      </w:pPr>
      <w:r>
        <w:rPr>
          <w:b w:val="0"/>
          <w:i w:val="0"/>
        </w:rPr>
        <w:t>nhà đầu tư liên quan đến những thay đổi trong, 88–89</w:t>
      </w:r>
    </w:p>
    <w:p>
      <w:pPr>
        <w:spacing w:after="80"/>
      </w:pPr>
      <w:r>
        <w:rPr>
          <w:b w:val="0"/>
          <w:i w:val="0"/>
        </w:rPr>
        <w:t>thu nhập hoạt động liên quan đến, 79</w:t>
      </w:r>
    </w:p>
    <w:p>
      <w:pPr>
        <w:spacing w:after="80"/>
      </w:pPr>
      <w:r>
        <w:rPr>
          <w:b w:val="0"/>
          <w:i w:val="0"/>
        </w:rPr>
        <w:t>quy tắc SFAS 131, 125, 126</w:t>
      </w:r>
    </w:p>
    <w:p>
      <w:pPr>
        <w:spacing w:after="80"/>
      </w:pPr>
      <w:r>
        <w:rPr>
          <w:b w:val="0"/>
          <w:i w:val="0"/>
        </w:rPr>
        <w:t>quy tắc SOP 91–7, 88</w:t>
      </w:r>
    </w:p>
    <w:p>
      <w:pPr>
        <w:spacing w:after="80"/>
      </w:pPr>
      <w:r>
        <w:rPr>
          <w:b w:val="0"/>
          <w:i w:val="0"/>
        </w:rPr>
        <w:t>các quy tắc như những kẻ đồng lõa, 149</w:t>
      </w:r>
    </w:p>
    <w:p>
      <w:pPr>
        <w:spacing w:after="80"/>
      </w:pPr>
      <w:r>
        <w:rPr>
          <w:b w:val="0"/>
          <w:i w:val="0"/>
        </w:rPr>
        <w:t>các quy tắc SFAS 93, 145, 151</w:t>
      </w:r>
    </w:p>
    <w:p>
      <w:pPr>
        <w:spacing w:after="80"/>
      </w:pPr>
      <w:r>
        <w:rPr>
          <w:b w:val="0"/>
          <w:i w:val="0"/>
        </w:rPr>
        <w:t>SCF liên quan đến, 144–145</w:t>
      </w:r>
    </w:p>
    <w:p>
      <w:pPr>
        <w:spacing w:after="80"/>
      </w:pPr>
      <w:r>
        <w:rPr>
          <w:b w:val="0"/>
          <w:i w:val="0"/>
        </w:rPr>
        <w:t>Toshiba công bố về, 275–276</w:t>
      </w:r>
    </w:p>
    <w:p>
      <w:pPr>
        <w:spacing w:after="80"/>
      </w:pPr>
      <w:r>
        <w:rPr>
          <w:b w:val="0"/>
          <w:i w:val="0"/>
        </w:rPr>
        <w:t>hai bước, 83–84, 95–96, 132</w:t>
      </w:r>
    </w:p>
    <w:p>
      <w:pPr>
        <w:spacing w:after="80"/>
      </w:pPr>
      <w:r>
        <w:rPr>
          <w:b w:val="0"/>
          <w:i w:val="0"/>
        </w:rPr>
        <w:t>Khoản phải trả, 185–186</w:t>
      </w:r>
    </w:p>
    <w:p>
      <w:pPr>
        <w:spacing w:after="80"/>
      </w:pPr>
      <w:r>
        <w:rPr>
          <w:b w:val="0"/>
          <w:i w:val="0"/>
        </w:rPr>
        <w:t>Khoản phải thu</w:t>
      </w:r>
    </w:p>
    <w:p>
      <w:pPr>
        <w:spacing w:after="80"/>
      </w:pPr>
      <w:r>
        <w:rPr>
          <w:b w:val="0"/>
          <w:i w:val="0"/>
        </w:rPr>
        <w:t>đánh giá của nhà đầu tư về, 199</w:t>
      </w:r>
    </w:p>
    <w:p>
      <w:pPr>
        <w:spacing w:after="80"/>
      </w:pPr>
      <w:r>
        <w:rPr>
          <w:b w:val="0"/>
          <w:i w:val="0"/>
        </w:rPr>
        <w:t>các chỉ số bị bóp méo để che giấu doanh thu, 220–226</w:t>
      </w:r>
    </w:p>
    <w:p>
      <w:pPr>
        <w:spacing w:after="80"/>
      </w:pPr>
      <w:r>
        <w:rPr>
          <w:b w:val="0"/>
          <w:i w:val="0"/>
        </w:rPr>
        <w:t>thương phiếu phải thu liên quan đến, 221–223</w:t>
      </w:r>
    </w:p>
    <w:p>
      <w:pPr>
        <w:spacing w:after="80"/>
      </w:pPr>
      <w:r>
        <w:rPr>
          <w:b w:val="0"/>
          <w:i w:val="0"/>
        </w:rPr>
        <w:t>doanh số bán hàng liên quan đến DSO, 220–221</w:t>
      </w:r>
    </w:p>
    <w:p>
      <w:pPr>
        <w:spacing w:after="80"/>
      </w:pPr>
      <w:r>
        <w:rPr>
          <w:b w:val="0"/>
          <w:i w:val="0"/>
        </w:rPr>
        <w:t>ACI Worldwide, 208</w:t>
      </w:r>
    </w:p>
    <w:p>
      <w:pPr>
        <w:spacing w:after="80"/>
      </w:pPr>
      <w:r>
        <w:rPr>
          <w:b w:val="0"/>
          <w:i w:val="0"/>
        </w:rPr>
        <w:t>Ackman, Bill, 281</w:t>
      </w:r>
    </w:p>
    <w:p>
      <w:pPr>
        <w:spacing w:after="80"/>
      </w:pPr>
      <w:r>
        <w:rPr>
          <w:b w:val="0"/>
          <w:i w:val="0"/>
        </w:rPr>
        <w:t xml:space="preserve">Thương vụ mua lại, 12, 234. </w:t>
      </w:r>
      <w:r>
        <w:rPr>
          <w:b w:val="0"/>
          <w:i/>
        </w:rPr>
        <w:t>Xem thêm</w:t>
      </w:r>
      <w:r>
        <w:rPr>
          <w:b w:val="0"/>
          <w:i w:val="0"/>
        </w:rPr>
        <w:t xml:space="preserve"> Kế toán thương vụ mua lại</w:t>
      </w:r>
    </w:p>
    <w:p>
      <w:pPr>
        <w:spacing w:after="80"/>
      </w:pPr>
      <w:r>
        <w:rPr>
          <w:b w:val="0"/>
          <w:i w:val="0"/>
        </w:rPr>
        <w:t>Valeant Pharmaceuticals cố gắng mua lại Allergan, 281–282</w:t>
      </w:r>
    </w:p>
    <w:p>
      <w:pPr>
        <w:spacing w:after="80"/>
      </w:pPr>
      <w:r>
        <w:rPr>
          <w:b w:val="0"/>
          <w:i w:val="0"/>
        </w:rPr>
        <w:t>Xem xét Bảng cân đối kế toán cho, 256</w:t>
      </w:r>
    </w:p>
    <w:p>
      <w:pPr>
        <w:spacing w:after="80"/>
      </w:pPr>
      <w:r>
        <w:rPr>
          <w:b w:val="0"/>
          <w:i w:val="0"/>
        </w:rPr>
        <w:t>Valeant Pharmaceuticals mua lại B&amp;L, 279–280</w:t>
      </w:r>
    </w:p>
    <w:p>
      <w:pPr>
        <w:spacing w:after="80"/>
      </w:pPr>
      <w:r>
        <w:rPr>
          <w:b w:val="0"/>
          <w:i w:val="0"/>
        </w:rPr>
        <w:t>bởi Cephalon, 177</w:t>
      </w:r>
    </w:p>
    <w:p>
      <w:pPr>
        <w:spacing w:after="80"/>
      </w:pPr>
      <w:r>
        <w:rPr>
          <w:b w:val="0"/>
          <w:i w:val="0"/>
        </w:rPr>
        <w:t>Valeant Pharmaceuticals cố gắng mua lại Cephalon, 280–281</w:t>
      </w:r>
    </w:p>
    <w:p>
      <w:pPr>
        <w:spacing w:after="80"/>
      </w:pPr>
      <w:r>
        <w:rPr>
          <w:b w:val="0"/>
          <w:i w:val="0"/>
        </w:rPr>
        <w:t>Lạm phát CFFO từ, 250–256</w:t>
      </w:r>
    </w:p>
    <w:p>
      <w:pPr>
        <w:spacing w:after="80"/>
      </w:pPr>
      <w:r>
        <w:rPr>
          <w:b w:val="0"/>
          <w:i w:val="0"/>
        </w:rPr>
        <w:t>hậu quả của, 239</w:t>
      </w:r>
    </w:p>
    <w:p>
      <w:pPr>
        <w:spacing w:after="80"/>
      </w:pPr>
      <w:r>
        <w:rPr>
          <w:b w:val="0"/>
          <w:i w:val="0"/>
        </w:rPr>
        <w:t>khoản nợ tiềm tàng liên quan đến, 247–248</w:t>
      </w:r>
    </w:p>
    <w:p>
      <w:pPr>
        <w:spacing w:after="80"/>
      </w:pPr>
      <w:r>
        <w:rPr>
          <w:b w:val="0"/>
          <w:i w:val="0"/>
        </w:rPr>
        <w:t>của các hợp đồng, 256–258</w:t>
      </w:r>
    </w:p>
    <w:p>
      <w:pPr>
        <w:spacing w:after="80"/>
      </w:pPr>
      <w:r>
        <w:rPr>
          <w:b w:val="0"/>
          <w:i w:val="0"/>
        </w:rPr>
        <w:t>thất bại, 235–237</w:t>
      </w:r>
    </w:p>
    <w:p>
      <w:pPr>
        <w:spacing w:after="80"/>
      </w:pPr>
      <w:r>
        <w:rPr>
          <w:b w:val="0"/>
          <w:i w:val="0"/>
        </w:rPr>
        <w:t>của Hefei Sanyo bởi Whirlpool, 261–262</w:t>
      </w:r>
    </w:p>
    <w:p>
      <w:pPr>
        <w:spacing w:after="80"/>
      </w:pPr>
      <w:r>
        <w:rPr>
          <w:b w:val="0"/>
          <w:i w:val="0"/>
        </w:rPr>
        <w:t>nhà đầu tư đánh giá các công bố thông tin về, 264</w:t>
      </w:r>
    </w:p>
    <w:p>
      <w:pPr>
        <w:spacing w:after="80"/>
      </w:pPr>
      <w:r>
        <w:rPr>
          <w:b w:val="0"/>
          <w:i w:val="0"/>
        </w:rPr>
        <w:t>doanh thu Krispy Kreme trong, 243</w:t>
      </w:r>
    </w:p>
    <w:p>
      <w:pPr>
        <w:spacing w:after="80"/>
      </w:pPr>
      <w:r>
        <w:rPr>
          <w:b w:val="0"/>
          <w:i w:val="0"/>
        </w:rPr>
        <w:t>như các khoản nợ phải trả, 112–113, 114–115, 116</w:t>
      </w:r>
    </w:p>
    <w:p>
      <w:pPr>
        <w:spacing w:after="80"/>
      </w:pPr>
      <w:r>
        <w:rPr>
          <w:b w:val="0"/>
          <w:i w:val="0"/>
        </w:rPr>
        <w:t>của Maytas bởi Satyam, 21</w:t>
      </w:r>
    </w:p>
    <w:p>
      <w:pPr>
        <w:spacing w:after="80"/>
      </w:pPr>
      <w:r>
        <w:rPr>
          <w:b w:val="0"/>
          <w:i w:val="0"/>
        </w:rPr>
        <w:t>của Medicis bởi Valeant Pharmaceuticals, 44–45, 246–247, 279</w:t>
      </w:r>
    </w:p>
    <w:p>
      <w:pPr>
        <w:spacing w:after="80"/>
      </w:pPr>
      <w:r>
        <w:rPr>
          <w:b w:val="0"/>
          <w:i w:val="0"/>
        </w:rPr>
        <w:t>bởi Nuance Communications, 177–178</w:t>
      </w:r>
    </w:p>
    <w:p>
      <w:pPr>
        <w:spacing w:after="80"/>
      </w:pPr>
      <w:r>
        <w:rPr>
          <w:b w:val="0"/>
          <w:i w:val="0"/>
        </w:rPr>
        <w:t>Thương vụ mua lại (</w:t>
      </w:r>
      <w:r>
        <w:rPr>
          <w:b w:val="0"/>
          <w:i/>
        </w:rPr>
        <w:t>tiếp theo</w:t>
      </w:r>
      <w:r>
        <w:rPr>
          <w:b w:val="0"/>
          <w:i w:val="0"/>
        </w:rPr>
        <w:t>)</w:t>
      </w:r>
    </w:p>
    <w:p>
      <w:pPr>
        <w:spacing w:after="80"/>
      </w:pPr>
      <w:r>
        <w:rPr>
          <w:b w:val="0"/>
          <w:i w:val="0"/>
        </w:rPr>
        <w:t>dòng tiền vào từ hoạt động kinh doanh kế thừa cùng với, 250–256</w:t>
      </w:r>
    </w:p>
    <w:p>
      <w:pPr>
        <w:spacing w:after="80"/>
      </w:pPr>
      <w:r>
        <w:rPr>
          <w:b w:val="0"/>
          <w:i w:val="0"/>
        </w:rPr>
        <w:t>của Platinum Technologies bởi CA, 128</w:t>
      </w:r>
    </w:p>
    <w:p>
      <w:pPr>
        <w:spacing w:after="80"/>
      </w:pPr>
      <w:r>
        <w:rPr>
          <w:b w:val="0"/>
          <w:i w:val="0"/>
        </w:rPr>
        <w:t>của Private Brands bởi Treehouse Foods, 261</w:t>
      </w:r>
    </w:p>
    <w:p>
      <w:pPr>
        <w:spacing w:after="80"/>
      </w:pPr>
      <w:r>
        <w:rPr>
          <w:b w:val="0"/>
          <w:i w:val="0"/>
        </w:rPr>
        <w:t>Nghiên cứu và phát triển (R&amp;D) liên quan đến, 240</w:t>
      </w:r>
    </w:p>
    <w:p>
      <w:pPr>
        <w:spacing w:after="80"/>
      </w:pPr>
      <w:r>
        <w:rPr>
          <w:b w:val="0"/>
          <w:i w:val="0"/>
        </w:rPr>
        <w:t>các khoản dự phòng được hoàn nhập vào thu nhập sau, 126–128</w:t>
      </w:r>
    </w:p>
    <w:p>
      <w:pPr>
        <w:spacing w:after="80"/>
      </w:pPr>
      <w:r>
        <w:rPr>
          <w:b w:val="0"/>
          <w:i w:val="0"/>
        </w:rPr>
        <w:t>các khoản chi phí tái cấu trúc trong, 137–138</w:t>
      </w:r>
    </w:p>
    <w:p>
      <w:pPr>
        <w:spacing w:after="80"/>
      </w:pPr>
      <w:r>
        <w:rPr>
          <w:b w:val="0"/>
          <w:i w:val="0"/>
        </w:rPr>
        <w:t>của Salix Pharmaceuticals bởi Valeant Pharmaceuticals, 45, 242–243, 282–284</w:t>
      </w:r>
    </w:p>
    <w:p>
      <w:pPr>
        <w:spacing w:after="80"/>
      </w:pPr>
      <w:r>
        <w:rPr>
          <w:b w:val="0"/>
          <w:i w:val="0"/>
        </w:rPr>
        <w:t>bởi Sears, 235</w:t>
      </w:r>
    </w:p>
    <w:p>
      <w:pPr>
        <w:spacing w:after="80"/>
      </w:pPr>
      <w:r>
        <w:rPr>
          <w:b w:val="0"/>
          <w:i w:val="0"/>
        </w:rPr>
        <w:t>giai đoạn stub (stub period), 127, 242</w:t>
      </w:r>
    </w:p>
    <w:p>
      <w:pPr>
        <w:spacing w:after="80"/>
      </w:pPr>
      <w:r>
        <w:rPr>
          <w:b w:val="0"/>
          <w:i w:val="0"/>
        </w:rPr>
        <w:t>của Telxon Corporation bởi Symbol Technologies, 141</w:t>
      </w:r>
    </w:p>
    <w:p>
      <w:pPr>
        <w:spacing w:after="80"/>
      </w:pPr>
      <w:r>
        <w:rPr>
          <w:b w:val="0"/>
          <w:i w:val="0"/>
        </w:rPr>
        <w:t>của TLC bởi Mattel, 236</w:t>
      </w:r>
    </w:p>
    <w:p>
      <w:pPr>
        <w:spacing w:after="80"/>
      </w:pPr>
      <w:r>
        <w:rPr>
          <w:b w:val="0"/>
          <w:i w:val="0"/>
        </w:rPr>
        <w:t>bởi Tyco, 249–250, 255–256</w:t>
      </w:r>
    </w:p>
    <w:p>
      <w:pPr>
        <w:spacing w:after="80"/>
      </w:pPr>
      <w:r>
        <w:rPr>
          <w:b w:val="0"/>
          <w:i w:val="0"/>
        </w:rPr>
        <w:t>của UAL, 235</w:t>
      </w:r>
    </w:p>
    <w:p>
      <w:pPr>
        <w:spacing w:after="80"/>
      </w:pPr>
      <w:r>
        <w:rPr>
          <w:b w:val="0"/>
          <w:i w:val="0"/>
        </w:rPr>
        <w:t>bởi WorldCom, 8, 249–250</w:t>
      </w:r>
    </w:p>
    <w:p>
      <w:pPr>
        <w:spacing w:after="80"/>
      </w:pPr>
      <w:r>
        <w:rPr>
          <w:b w:val="0"/>
          <w:i w:val="0"/>
        </w:rPr>
        <w:t>đối với Xerox, 141</w:t>
      </w:r>
    </w:p>
    <w:p>
      <w:pPr>
        <w:spacing w:after="80"/>
      </w:pPr>
      <w:r>
        <w:rPr>
          <w:b w:val="0"/>
          <w:i w:val="0"/>
        </w:rPr>
        <w:t>của Z-Corp bởi 3D Systems, 266</w:t>
      </w:r>
    </w:p>
    <w:p>
      <w:pPr>
        <w:spacing w:after="80"/>
      </w:pPr>
      <w:r>
        <w:rPr>
          <w:b w:val="0"/>
          <w:i w:val="0"/>
        </w:rPr>
        <w:t>Kế toán mua lại (Acquisition Accounting - AA)</w:t>
      </w:r>
    </w:p>
    <w:p>
      <w:pPr>
        <w:spacing w:after="80"/>
      </w:pPr>
      <w:r>
        <w:rPr>
          <w:b w:val="0"/>
          <w:i w:val="0"/>
        </w:rPr>
        <w:t>các danh mục được xác định, 16, 238</w:t>
      </w:r>
    </w:p>
    <w:p>
      <w:pPr>
        <w:spacing w:after="80"/>
      </w:pPr>
      <w:r>
        <w:rPr>
          <w:b w:val="0"/>
          <w:i w:val="0"/>
        </w:rPr>
        <w:t>các so sánh, 237</w:t>
      </w:r>
    </w:p>
    <w:p>
      <w:pPr>
        <w:spacing w:after="80"/>
      </w:pPr>
      <w:r>
        <w:rPr>
          <w:b w:val="0"/>
          <w:i w:val="0"/>
        </w:rPr>
        <w:t>quy ước, 239, 241</w:t>
      </w:r>
    </w:p>
    <w:p>
      <w:pPr>
        <w:spacing w:after="80"/>
      </w:pPr>
      <w:r>
        <w:rPr>
          <w:b w:val="0"/>
          <w:i w:val="0"/>
        </w:rPr>
        <w:t>báo cáo tài chính bị bóp méo bởi, 239</w:t>
      </w:r>
    </w:p>
    <w:p>
      <w:pPr>
        <w:spacing w:after="80"/>
      </w:pPr>
      <w:r>
        <w:rPr>
          <w:b w:val="0"/>
          <w:i w:val="0"/>
        </w:rPr>
        <w:t>các kỹ thuật để thổi phồng CFFO, 250</w:t>
      </w:r>
    </w:p>
    <w:p>
      <w:pPr>
        <w:spacing w:after="80"/>
      </w:pPr>
      <w:r>
        <w:rPr>
          <w:b w:val="0"/>
          <w:i w:val="0"/>
        </w:rPr>
        <w:t>các kỹ thuật để thổi phồng doanh thu và lợi nhuận, 241</w:t>
      </w:r>
    </w:p>
    <w:p>
      <w:pPr>
        <w:spacing w:after="80"/>
      </w:pPr>
      <w:r>
        <w:rPr>
          <w:b w:val="0"/>
          <w:i w:val="0"/>
        </w:rPr>
        <w:t xml:space="preserve">ACS. </w:t>
      </w:r>
      <w:r>
        <w:rPr>
          <w:b w:val="0"/>
          <w:i/>
        </w:rPr>
        <w:t>Xem</w:t>
      </w:r>
      <w:r>
        <w:rPr>
          <w:b w:val="0"/>
          <w:i w:val="0"/>
        </w:rPr>
        <w:t xml:space="preserve"> Affiliated Computer Systems</w:t>
      </w:r>
    </w:p>
    <w:p>
      <w:pPr>
        <w:spacing w:after="80"/>
      </w:pPr>
      <w:r>
        <w:rPr>
          <w:b w:val="0"/>
          <w:i w:val="0"/>
        </w:rPr>
        <w:t xml:space="preserve">Các hoạt động. </w:t>
      </w:r>
      <w:r>
        <w:rPr>
          <w:b w:val="0"/>
          <w:i/>
        </w:rPr>
        <w:t>Xem</w:t>
      </w:r>
      <w:r>
        <w:rPr>
          <w:b w:val="0"/>
          <w:i w:val="0"/>
        </w:rPr>
        <w:t xml:space="preserve"> Hoạt động tài chính; Hoạt động đầu tư; Hoạt động kinh doanh</w:t>
      </w:r>
    </w:p>
    <w:p>
      <w:pPr>
        <w:spacing w:after="80"/>
      </w:pPr>
      <w:r>
        <w:rPr>
          <w:b w:val="0"/>
          <w:i w:val="0"/>
        </w:rPr>
        <w:t xml:space="preserve">ADA. </w:t>
      </w:r>
      <w:r>
        <w:rPr>
          <w:b w:val="0"/>
          <w:i/>
        </w:rPr>
        <w:t>Xem</w:t>
      </w:r>
      <w:r>
        <w:rPr>
          <w:b w:val="0"/>
          <w:i w:val="0"/>
        </w:rPr>
        <w:t xml:space="preserve"> Allowance for doubtful accounts</w:t>
      </w:r>
    </w:p>
    <w:p>
      <w:pPr>
        <w:spacing w:after="80"/>
      </w:pPr>
      <w:r>
        <w:rPr>
          <w:b w:val="0"/>
          <w:i w:val="0"/>
        </w:rPr>
        <w:t xml:space="preserve">Quảng cáo. </w:t>
      </w:r>
      <w:r>
        <w:rPr>
          <w:b w:val="0"/>
          <w:i/>
        </w:rPr>
        <w:t>Xem</w:t>
      </w:r>
      <w:r>
        <w:rPr>
          <w:b w:val="0"/>
          <w:i w:val="0"/>
        </w:rPr>
        <w:t xml:space="preserve"> Quảng cáo trực tuyến</w:t>
      </w:r>
    </w:p>
    <w:p>
      <w:pPr>
        <w:spacing w:after="80"/>
      </w:pPr>
      <w:r>
        <w:rPr>
          <w:b w:val="0"/>
          <w:i w:val="0"/>
        </w:rPr>
        <w:t>Affiliated Computer Systems (ACS), 264–265</w:t>
      </w:r>
    </w:p>
    <w:p>
      <w:pPr>
        <w:spacing w:after="80"/>
      </w:pPr>
      <w:r>
        <w:rPr>
          <w:b w:val="0"/>
          <w:i w:val="0"/>
        </w:rPr>
        <w:t>Các chi nhánh liên kết, 59</w:t>
      </w:r>
    </w:p>
    <w:p>
      <w:pPr>
        <w:spacing w:after="80"/>
      </w:pPr>
      <w:r>
        <w:rPr>
          <w:b w:val="0"/>
          <w:i w:val="0"/>
        </w:rPr>
        <w:t>AIG, 54–56</w:t>
      </w:r>
    </w:p>
    <w:p>
      <w:pPr>
        <w:spacing w:after="80"/>
      </w:pPr>
      <w:r>
        <w:rPr>
          <w:b w:val="0"/>
          <w:i w:val="0"/>
        </w:rPr>
        <w:t xml:space="preserve">AIP. </w:t>
      </w:r>
      <w:r>
        <w:rPr>
          <w:b w:val="0"/>
          <w:i/>
        </w:rPr>
        <w:t>Xem</w:t>
      </w:r>
      <w:r>
        <w:rPr>
          <w:b w:val="0"/>
          <w:i w:val="0"/>
        </w:rPr>
        <w:t xml:space="preserve"> Chương trình khuyến khích tiền mặt thường niên</w:t>
      </w:r>
    </w:p>
    <w:p>
      <w:pPr>
        <w:spacing w:after="80"/>
      </w:pPr>
      <w:r>
        <w:rPr>
          <w:b w:val="0"/>
          <w:i w:val="0"/>
        </w:rPr>
        <w:t>Alcatel, 76</w:t>
      </w:r>
    </w:p>
    <w:p>
      <w:pPr>
        <w:spacing w:after="80"/>
      </w:pPr>
      <w:r>
        <w:rPr>
          <w:b w:val="0"/>
          <w:i w:val="0"/>
        </w:rPr>
        <w:t>Allergan, 281–282, 283</w:t>
      </w:r>
    </w:p>
    <w:p>
      <w:pPr>
        <w:spacing w:after="80"/>
      </w:pPr>
      <w:r>
        <w:rPr>
          <w:b w:val="0"/>
          <w:i w:val="0"/>
        </w:rPr>
        <w:t>Dự phòng nợ khó đòi (ADA), 99–100</w:t>
      </w:r>
    </w:p>
    <w:p>
      <w:pPr>
        <w:spacing w:after="80"/>
      </w:pPr>
      <w:r>
        <w:rPr>
          <w:b w:val="0"/>
          <w:i w:val="0"/>
        </w:rPr>
        <w:t xml:space="preserve">Khấu hao, 91–95, 133–134. </w:t>
      </w:r>
      <w:r>
        <w:rPr>
          <w:b w:val="0"/>
          <w:i/>
        </w:rPr>
        <w:t>Xem thêm</w:t>
      </w:r>
      <w:r>
        <w:rPr>
          <w:b w:val="0"/>
          <w:i w:val="0"/>
        </w:rPr>
        <w:t xml:space="preserve"> Lợi nhuận trước lãi vay, thuế, khấu hao và phân bổ</w:t>
      </w:r>
    </w:p>
    <w:p>
      <w:pPr>
        <w:spacing w:after="80"/>
      </w:pPr>
      <w:r>
        <w:rPr>
          <w:b w:val="0"/>
          <w:i w:val="0"/>
        </w:rPr>
        <w:t>Chương trình khuyến khích tiền mặt thường niên (AIP), 22</w:t>
      </w:r>
    </w:p>
    <w:p>
      <w:pPr>
        <w:spacing w:after="80"/>
      </w:pPr>
      <w:r>
        <w:rPr>
          <w:b w:val="0"/>
          <w:i w:val="0"/>
        </w:rPr>
        <w:t>AOL</w:t>
      </w:r>
    </w:p>
    <w:p>
      <w:pPr>
        <w:spacing w:after="80"/>
      </w:pPr>
      <w:r>
        <w:rPr>
          <w:b w:val="0"/>
          <w:i w:val="0"/>
        </w:rPr>
        <w:t>khấu hao cho, 133–134</w:t>
      </w:r>
    </w:p>
    <w:p>
      <w:pPr>
        <w:spacing w:after="80"/>
      </w:pPr>
      <w:r>
        <w:rPr>
          <w:b w:val="0"/>
          <w:i w:val="0"/>
        </w:rPr>
        <w:t>DMAC cho, 87–88, 132–134</w:t>
      </w:r>
    </w:p>
    <w:p>
      <w:pPr>
        <w:spacing w:after="80"/>
      </w:pPr>
      <w:r>
        <w:rPr>
          <w:b w:val="0"/>
          <w:i w:val="0"/>
        </w:rPr>
        <w:t>thu nhập ròng cho, 92–93</w:t>
      </w:r>
    </w:p>
    <w:p>
      <w:pPr>
        <w:spacing w:after="80"/>
      </w:pPr>
      <w:r>
        <w:rPr>
          <w:b w:val="0"/>
          <w:i w:val="0"/>
        </w:rPr>
        <w:t>chi phí chào mời cho, 87</w:t>
      </w:r>
    </w:p>
    <w:p>
      <w:pPr>
        <w:spacing w:after="80"/>
      </w:pPr>
      <w:r>
        <w:rPr>
          <w:b w:val="0"/>
          <w:i w:val="0"/>
        </w:rPr>
        <w:t>là doanh nghiệp dựa trên đăng ký, 206</w:t>
      </w:r>
    </w:p>
    <w:p>
      <w:pPr>
        <w:spacing w:after="80"/>
      </w:pPr>
      <w:r>
        <w:rPr>
          <w:b w:val="0"/>
          <w:i w:val="0"/>
        </w:rPr>
        <w:t>Time Warner liên quan đến, 235</w:t>
      </w:r>
    </w:p>
    <w:p>
      <w:pPr>
        <w:spacing w:after="80"/>
      </w:pPr>
      <w:r>
        <w:rPr>
          <w:b w:val="0"/>
          <w:i w:val="0"/>
        </w:rPr>
        <w:t>Apple, 234</w:t>
      </w:r>
    </w:p>
    <w:p>
      <w:pPr>
        <w:spacing w:after="80"/>
      </w:pPr>
      <w:r>
        <w:rPr>
          <w:b w:val="0"/>
          <w:i w:val="0"/>
        </w:rPr>
        <w:t xml:space="preserve">Ứng dụng. </w:t>
      </w:r>
      <w:r>
        <w:rPr>
          <w:b w:val="0"/>
          <w:i/>
        </w:rPr>
        <w:t>Xem</w:t>
      </w:r>
      <w:r>
        <w:rPr>
          <w:b w:val="0"/>
          <w:i w:val="0"/>
        </w:rPr>
        <w:t xml:space="preserve"> Ứng dụng Exchange</w:t>
      </w:r>
    </w:p>
    <w:p>
      <w:pPr>
        <w:spacing w:after="80"/>
      </w:pPr>
      <w:r>
        <w:rPr>
          <w:b w:val="0"/>
          <w:i w:val="0"/>
        </w:rPr>
        <w:t xml:space="preserve">ARPU. </w:t>
      </w:r>
      <w:r>
        <w:rPr>
          <w:b w:val="0"/>
          <w:i/>
        </w:rPr>
        <w:t>Xem</w:t>
      </w:r>
      <w:r>
        <w:rPr>
          <w:b w:val="0"/>
          <w:i w:val="0"/>
        </w:rPr>
        <w:t xml:space="preserve"> Doanh thu trung bình trên mỗi người dùng</w:t>
      </w:r>
    </w:p>
    <w:p>
      <w:pPr>
        <w:spacing w:after="80"/>
      </w:pPr>
      <w:r>
        <w:rPr>
          <w:b w:val="0"/>
          <w:i w:val="0"/>
        </w:rPr>
        <w:t xml:space="preserve">Thỏa thuận. </w:t>
      </w:r>
      <w:r>
        <w:rPr>
          <w:b w:val="0"/>
          <w:i/>
        </w:rPr>
        <w:t>Xem</w:t>
      </w:r>
      <w:r>
        <w:rPr>
          <w:b w:val="0"/>
          <w:i w:val="0"/>
        </w:rPr>
        <w:t xml:space="preserve"> Thỏa thuận không truy đòi; Thỏa thuận truy đòi</w:t>
      </w:r>
    </w:p>
    <w:p>
      <w:pPr>
        <w:spacing w:after="80"/>
      </w:pPr>
      <w:r>
        <w:rPr>
          <w:b w:val="0"/>
          <w:i w:val="0"/>
        </w:rPr>
        <w:t>Arthur Andersen, 5–6, 9, 42</w:t>
      </w:r>
    </w:p>
    <w:p>
      <w:pPr>
        <w:spacing w:after="80"/>
      </w:pPr>
      <w:r>
        <w:rPr>
          <w:b w:val="0"/>
          <w:i w:val="0"/>
        </w:rPr>
        <w:t xml:space="preserve">Tài sản. </w:t>
      </w:r>
      <w:r>
        <w:rPr>
          <w:b w:val="0"/>
          <w:i/>
        </w:rPr>
        <w:t>Xem thêm</w:t>
      </w:r>
      <w:r>
        <w:rPr>
          <w:b w:val="0"/>
          <w:i w:val="0"/>
        </w:rPr>
        <w:t xml:space="preserve"> Lợi ích; Hàng tồn kho; Các khoản phải thu</w:t>
      </w:r>
    </w:p>
    <w:p>
      <w:pPr>
        <w:spacing w:after="80"/>
      </w:pPr>
      <w:r>
        <w:rPr>
          <w:b w:val="0"/>
          <w:i w:val="0"/>
        </w:rPr>
        <w:t>trên Bảng cân đối kế toán của AOL, 87–88</w:t>
      </w:r>
    </w:p>
    <w:p>
      <w:pPr>
        <w:spacing w:after="80"/>
      </w:pPr>
      <w:r>
        <w:rPr>
          <w:b w:val="0"/>
          <w:i w:val="0"/>
        </w:rPr>
        <w:t>trên Bảng cân đối kế toán, 105–106</w:t>
      </w:r>
    </w:p>
    <w:p>
      <w:pPr>
        <w:spacing w:after="80"/>
      </w:pPr>
      <w:r>
        <w:rPr>
          <w:b w:val="0"/>
          <w:i w:val="0"/>
        </w:rPr>
        <w:t>đánh giá tổn thất tài sản đối với, 199</w:t>
      </w:r>
    </w:p>
    <w:p>
      <w:pPr>
        <w:spacing w:after="80"/>
      </w:pPr>
      <w:r>
        <w:rPr>
          <w:b w:val="0"/>
          <w:i w:val="0"/>
        </w:rPr>
        <w:t>ghi nhận chi phí liên quan đến, 98–103</w:t>
      </w:r>
    </w:p>
    <w:p>
      <w:pPr>
        <w:spacing w:after="80"/>
      </w:pPr>
      <w:r>
        <w:rPr>
          <w:b w:val="0"/>
          <w:i w:val="0"/>
        </w:rPr>
        <w:t>các khoản chi phí được tránh trong tương lai nhờ việc xóa sổ, 132–138</w:t>
      </w:r>
    </w:p>
    <w:p>
      <w:pPr>
        <w:spacing w:after="80"/>
      </w:pPr>
      <w:r>
        <w:rPr>
          <w:b w:val="0"/>
          <w:i w:val="0"/>
        </w:rPr>
        <w:t>các khoản chi phí so với, 84–85, 92</w:t>
      </w:r>
    </w:p>
    <w:p>
      <w:pPr>
        <w:spacing w:after="80"/>
      </w:pPr>
      <w:r>
        <w:rPr>
          <w:b w:val="0"/>
          <w:i w:val="0"/>
        </w:rPr>
        <w:t>các chỉ số bị bóp méo để che giấu tổn thất tài sản, 227–229</w:t>
      </w:r>
    </w:p>
    <w:p>
      <w:pPr>
        <w:spacing w:after="80"/>
      </w:pPr>
      <w:r>
        <w:rPr>
          <w:b w:val="0"/>
          <w:i w:val="0"/>
        </w:rPr>
        <w:t>trên Bảng cân đối kế toán của Syntax-Brillian, 89–90</w:t>
      </w:r>
    </w:p>
    <w:p>
      <w:pPr>
        <w:spacing w:after="80"/>
      </w:pPr>
      <w:r>
        <w:rPr>
          <w:b w:val="0"/>
          <w:i w:val="0"/>
        </w:rPr>
        <w:t>ghi giảm giá trị với giá trị bị tổn thất, 95–97</w:t>
      </w:r>
    </w:p>
    <w:p>
      <w:pPr>
        <w:spacing w:after="80"/>
      </w:pPr>
      <w:r>
        <w:rPr>
          <w:b w:val="0"/>
          <w:i w:val="0"/>
        </w:rPr>
        <w:t>Kiểm toán viên</w:t>
      </w:r>
    </w:p>
    <w:p>
      <w:pPr>
        <w:spacing w:after="80"/>
      </w:pPr>
      <w:r>
        <w:rPr>
          <w:b w:val="0"/>
          <w:i w:val="0"/>
        </w:rPr>
        <w:t>Arthur Andersen của Sunbeam, 42</w:t>
      </w:r>
    </w:p>
    <w:p>
      <w:pPr>
        <w:spacing w:after="80"/>
      </w:pPr>
      <w:r>
        <w:rPr>
          <w:b w:val="0"/>
          <w:i w:val="0"/>
        </w:rPr>
        <w:t>Arthur Andersen của WM, 5–6</w:t>
      </w:r>
    </w:p>
    <w:p>
      <w:pPr>
        <w:spacing w:after="80"/>
      </w:pPr>
      <w:r>
        <w:rPr>
          <w:b w:val="0"/>
          <w:i w:val="0"/>
        </w:rPr>
        <w:t>các cơ chế kiểm tra và cân bằng liên quan đến, 22–24</w:t>
      </w:r>
    </w:p>
    <w:p>
      <w:pPr>
        <w:spacing w:after="80"/>
      </w:pPr>
      <w:r>
        <w:rPr>
          <w:b w:val="0"/>
          <w:i w:val="0"/>
        </w:rPr>
        <w:t>cho Dell Computer, 116–118</w:t>
      </w:r>
    </w:p>
    <w:p>
      <w:pPr>
        <w:spacing w:after="80"/>
      </w:pPr>
      <w:r>
        <w:rPr>
          <w:b w:val="0"/>
          <w:i w:val="0"/>
        </w:rPr>
        <w:t>Deloitte &amp; Touche của Parmalat Finanziaria SpA, 230–231</w:t>
      </w:r>
    </w:p>
    <w:p>
      <w:pPr>
        <w:spacing w:after="80"/>
      </w:pPr>
      <w:r>
        <w:rPr>
          <w:b w:val="0"/>
          <w:i w:val="0"/>
        </w:rPr>
        <w:t>Ernst &amp; Young với vai trò, 7, 279</w:t>
      </w:r>
    </w:p>
    <w:p>
      <w:pPr>
        <w:spacing w:after="80"/>
      </w:pPr>
      <w:r>
        <w:rPr>
          <w:b w:val="0"/>
          <w:i w:val="0"/>
        </w:rPr>
        <w:t>nhà đầu tư liên quan đến, 22–23, 38–39</w:t>
      </w:r>
    </w:p>
    <w:p>
      <w:pPr>
        <w:spacing w:after="80"/>
      </w:pPr>
      <w:r>
        <w:rPr>
          <w:b w:val="0"/>
          <w:i w:val="0"/>
        </w:rPr>
        <w:t>cho Kanebo, 23–24</w:t>
      </w:r>
    </w:p>
    <w:p>
      <w:pPr>
        <w:spacing w:after="80"/>
      </w:pPr>
      <w:r>
        <w:rPr>
          <w:b w:val="0"/>
          <w:i w:val="0"/>
        </w:rPr>
        <w:t>Krispy Kreme liên quan đến, 43</w:t>
      </w:r>
    </w:p>
    <w:p>
      <w:pPr>
        <w:spacing w:after="80"/>
      </w:pPr>
      <w:r>
        <w:rPr>
          <w:b w:val="0"/>
          <w:i w:val="0"/>
        </w:rPr>
        <w:t>PwC của Hertz, 273</w:t>
      </w:r>
    </w:p>
    <w:p>
      <w:pPr>
        <w:spacing w:after="80"/>
      </w:pPr>
      <w:r>
        <w:rPr>
          <w:b w:val="0"/>
          <w:i w:val="0"/>
        </w:rPr>
        <w:t>PwC của MSTR, 34</w:t>
      </w:r>
    </w:p>
    <w:p>
      <w:pPr>
        <w:spacing w:after="80"/>
      </w:pPr>
      <w:r>
        <w:rPr>
          <w:b w:val="0"/>
          <w:i w:val="0"/>
        </w:rPr>
        <w:t>Symbol Technologies lừa đảo, 57</w:t>
      </w:r>
    </w:p>
    <w:p>
      <w:pPr>
        <w:spacing w:after="80"/>
      </w:pPr>
      <w:r>
        <w:rPr>
          <w:b w:val="0"/>
          <w:i w:val="0"/>
        </w:rPr>
        <w:t>Autonomy Corporation, 43–44, 58, 59</w:t>
      </w:r>
    </w:p>
    <w:p>
      <w:pPr>
        <w:spacing w:after="80"/>
      </w:pPr>
      <w:r>
        <w:rPr>
          <w:b w:val="0"/>
          <w:i w:val="0"/>
        </w:rPr>
        <w:t>Doanh thu trung bình trên mỗi người dùng (ARPU), 16, 205</w:t>
      </w:r>
    </w:p>
    <w:p>
      <w:pPr>
        <w:spacing w:after="80"/>
      </w:pPr>
      <w:r>
        <w:rPr>
          <w:b w:val="0"/>
          <w:i w:val="0"/>
        </w:rPr>
        <w:t>Đơn hàng tồn đọng, 206–207, 208</w:t>
      </w:r>
    </w:p>
    <w:p>
      <w:pPr>
        <w:spacing w:after="80"/>
      </w:pPr>
      <w:r>
        <w:rPr>
          <w:b w:val="0"/>
          <w:i w:val="0"/>
        </w:rPr>
        <w:t>Bảng cân đối kế toán, 14</w:t>
      </w:r>
    </w:p>
    <w:p>
      <w:pPr>
        <w:spacing w:after="80"/>
      </w:pPr>
      <w:r>
        <w:rPr>
          <w:b w:val="0"/>
          <w:i w:val="0"/>
        </w:rPr>
        <w:t>xem xét thương vụ mua lại, 256</w:t>
      </w:r>
    </w:p>
    <w:p>
      <w:pPr>
        <w:spacing w:after="80"/>
      </w:pPr>
      <w:r>
        <w:rPr>
          <w:b w:val="0"/>
          <w:i w:val="0"/>
        </w:rPr>
        <w:t>tài sản AOL trên đó, 87–88</w:t>
      </w:r>
    </w:p>
    <w:p>
      <w:pPr>
        <w:spacing w:after="80"/>
      </w:pPr>
      <w:r>
        <w:rPr>
          <w:b w:val="0"/>
          <w:i w:val="0"/>
        </w:rPr>
        <w:t>tài sản trên đó, 105–106</w:t>
      </w:r>
    </w:p>
    <w:p>
      <w:pPr>
        <w:spacing w:after="80"/>
      </w:pPr>
      <w:r>
        <w:rPr>
          <w:b w:val="0"/>
          <w:i w:val="0"/>
        </w:rPr>
        <w:t>các chỉ số sức khỏe kinh tế liên quan đến, 198</w:t>
      </w:r>
    </w:p>
    <w:p>
      <w:pPr>
        <w:spacing w:after="80"/>
      </w:pPr>
      <w:r>
        <w:rPr>
          <w:b w:val="0"/>
          <w:i w:val="0"/>
        </w:rPr>
        <w:t>đối với Enron với các liên doanh, 80–81</w:t>
      </w:r>
    </w:p>
    <w:p>
      <w:pPr>
        <w:spacing w:after="80"/>
      </w:pPr>
      <w:r>
        <w:rPr>
          <w:b w:val="0"/>
          <w:i w:val="0"/>
        </w:rPr>
        <w:t>lợi thế thương mại và tài sản vô hình trên đó, 239, 240</w:t>
      </w:r>
    </w:p>
    <w:p>
      <w:pPr>
        <w:spacing w:after="80"/>
      </w:pPr>
      <w:r>
        <w:rPr>
          <w:b w:val="0"/>
          <w:i w:val="0"/>
        </w:rPr>
        <w:t>Báo cáo thu nhập liên quan đến, 8–9, 83–84</w:t>
      </w:r>
    </w:p>
    <w:p>
      <w:pPr>
        <w:spacing w:after="80"/>
      </w:pPr>
      <w:r>
        <w:rPr>
          <w:b w:val="0"/>
          <w:i w:val="0"/>
        </w:rPr>
        <w:t>đối với Lehman Brothers, 10–11</w:t>
      </w:r>
    </w:p>
    <w:p>
      <w:pPr>
        <w:spacing w:after="80"/>
      </w:pPr>
      <w:r>
        <w:rPr>
          <w:b w:val="0"/>
          <w:i w:val="0"/>
        </w:rPr>
        <w:t>Các khoản nợ phải trả, 108–109</w:t>
      </w:r>
    </w:p>
    <w:p>
      <w:pPr>
        <w:spacing w:after="80"/>
      </w:pPr>
      <w:r>
        <w:rPr>
          <w:b w:val="0"/>
          <w:i w:val="0"/>
        </w:rPr>
        <w:t>Hàng tồn kho của Merck &amp; Co. được chuyển đi, 226</w:t>
      </w:r>
    </w:p>
    <w:p>
      <w:pPr>
        <w:spacing w:after="80"/>
      </w:pPr>
      <w:r>
        <w:rPr>
          <w:b w:val="0"/>
          <w:i w:val="0"/>
        </w:rPr>
        <w:t>các kỹ thuật bóp méo chỉ số, 220</w:t>
      </w:r>
    </w:p>
    <w:p>
      <w:pPr>
        <w:spacing w:after="80"/>
      </w:pPr>
      <w:r>
        <w:rPr>
          <w:b w:val="0"/>
          <w:i w:val="0"/>
        </w:rPr>
        <w:t>Olympus Corp. liên quan đến vấn đề này, 237</w:t>
      </w:r>
    </w:p>
    <w:p>
      <w:pPr>
        <w:spacing w:after="80"/>
      </w:pPr>
      <w:r>
        <w:rPr>
          <w:b w:val="0"/>
          <w:i w:val="0"/>
        </w:rPr>
        <w:t>chi phí hoạt động được chuyển sang, 240</w:t>
      </w:r>
    </w:p>
    <w:p>
      <w:pPr>
        <w:spacing w:after="80"/>
      </w:pPr>
      <w:r>
        <w:rPr>
          <w:b w:val="0"/>
          <w:i w:val="0"/>
        </w:rPr>
        <w:t>thu nhập hoạt động liên quan đến vấn đề này, 79–81</w:t>
      </w:r>
    </w:p>
    <w:p>
      <w:pPr>
        <w:spacing w:after="80"/>
      </w:pPr>
      <w:r>
        <w:rPr>
          <w:b w:val="0"/>
          <w:i w:val="0"/>
        </w:rPr>
        <w:t>việc vốn hóa phần mềm liên quan đến vấn đề này, 90–91</w:t>
      </w:r>
    </w:p>
    <w:p>
      <w:pPr>
        <w:spacing w:after="80"/>
      </w:pPr>
      <w:r>
        <w:rPr>
          <w:b w:val="0"/>
          <w:i w:val="0"/>
        </w:rPr>
        <w:t>tài sản của Syntax-Brillian liên quan đến vấn đề này, 89–90</w:t>
      </w:r>
    </w:p>
    <w:p>
      <w:pPr>
        <w:spacing w:after="80"/>
      </w:pPr>
      <w:r>
        <w:rPr>
          <w:b w:val="0"/>
          <w:i w:val="0"/>
        </w:rPr>
        <w:t>đối với UTStarcom, 223</w:t>
      </w:r>
    </w:p>
    <w:p>
      <w:pPr>
        <w:spacing w:after="80"/>
      </w:pPr>
      <w:r>
        <w:rPr>
          <w:b w:val="0"/>
          <w:i w:val="0"/>
        </w:rPr>
        <w:t>đối với WM, 5, 6</w:t>
      </w:r>
    </w:p>
    <w:p>
      <w:pPr>
        <w:spacing w:after="80"/>
      </w:pPr>
      <w:r>
        <w:rPr>
          <w:b w:val="0"/>
          <w:i w:val="0"/>
        </w:rPr>
        <w:t xml:space="preserve">Số dư. </w:t>
      </w:r>
      <w:r>
        <w:rPr>
          <w:b w:val="0"/>
          <w:i/>
        </w:rPr>
        <w:t>Xem</w:t>
      </w:r>
      <w:r>
        <w:rPr>
          <w:b w:val="0"/>
          <w:i w:val="0"/>
        </w:rPr>
        <w:t xml:space="preserve"> Kiểm tra và cân đối</w:t>
      </w:r>
    </w:p>
    <w:p>
      <w:pPr>
        <w:spacing w:after="80"/>
      </w:pPr>
      <w:r>
        <w:rPr>
          <w:b w:val="0"/>
          <w:i w:val="0"/>
        </w:rPr>
        <w:t>Ngân hàng, 227</w:t>
      </w:r>
    </w:p>
    <w:p>
      <w:pPr>
        <w:spacing w:after="80"/>
      </w:pPr>
      <w:r>
        <w:rPr>
          <w:b w:val="0"/>
          <w:i w:val="0"/>
        </w:rPr>
        <w:t>Giấy tờ ngân hàng, 222–223</w:t>
      </w:r>
    </w:p>
    <w:p>
      <w:pPr>
        <w:spacing w:after="80"/>
      </w:pPr>
      <w:r>
        <w:rPr>
          <w:b w:val="0"/>
          <w:i w:val="0"/>
        </w:rPr>
        <w:t>Bank One, 153–154</w:t>
      </w:r>
    </w:p>
    <w:p>
      <w:pPr>
        <w:spacing w:after="80"/>
      </w:pPr>
      <w:r>
        <w:rPr>
          <w:b w:val="0"/>
          <w:i w:val="0"/>
        </w:rPr>
        <w:t>Barad, Jill, 236</w:t>
      </w:r>
    </w:p>
    <w:p>
      <w:pPr>
        <w:spacing w:after="80"/>
      </w:pPr>
      <w:r>
        <w:rPr>
          <w:b w:val="0"/>
          <w:i w:val="0"/>
        </w:rPr>
        <w:t>Các giao dịch trao đổi hàng hóa, 57–58</w:t>
      </w:r>
    </w:p>
    <w:p>
      <w:pPr>
        <w:spacing w:after="80"/>
      </w:pPr>
      <w:r>
        <w:rPr>
          <w:b w:val="0"/>
          <w:i w:val="0"/>
        </w:rPr>
        <w:t>Bóng chày, 196, 198</w:t>
      </w:r>
    </w:p>
    <w:p>
      <w:pPr>
        <w:spacing w:after="80"/>
      </w:pPr>
      <w:r>
        <w:rPr>
          <w:b w:val="0"/>
          <w:i w:val="0"/>
        </w:rPr>
        <w:t>Bausch &amp; Lomb (B&amp;L), 279–280</w:t>
      </w:r>
    </w:p>
    <w:p>
      <w:pPr>
        <w:spacing w:after="80"/>
      </w:pPr>
      <w:r>
        <w:rPr>
          <w:b w:val="0"/>
          <w:i w:val="0"/>
        </w:rPr>
        <w:t xml:space="preserve">Lợi ích, 83–84, 135. </w:t>
      </w:r>
      <w:r>
        <w:rPr>
          <w:b w:val="0"/>
          <w:i/>
        </w:rPr>
        <w:t>Xem thêm</w:t>
      </w:r>
      <w:r>
        <w:rPr>
          <w:b w:val="0"/>
          <w:i w:val="0"/>
        </w:rPr>
        <w:t xml:space="preserve"> Lợi ích một lần</w:t>
      </w:r>
    </w:p>
    <w:p>
      <w:pPr>
        <w:spacing w:after="80"/>
      </w:pPr>
      <w:r>
        <w:rPr>
          <w:b w:val="0"/>
          <w:i w:val="0"/>
        </w:rPr>
        <w:t>Giao dịch xuất hóa đơn và giữ hàng (bill-and-hold), 41, 42–43</w:t>
      </w:r>
    </w:p>
    <w:p>
      <w:pPr>
        <w:spacing w:after="80"/>
      </w:pPr>
      <w:r>
        <w:rPr>
          <w:b w:val="0"/>
          <w:i w:val="0"/>
        </w:rPr>
        <w:t>Biovail Corporation</w:t>
      </w:r>
    </w:p>
    <w:p>
      <w:pPr>
        <w:spacing w:after="80"/>
      </w:pPr>
      <w:r>
        <w:rPr>
          <w:b w:val="0"/>
          <w:i w:val="0"/>
        </w:rPr>
        <w:t>công bố bổ sung về dòng tiền cho, 178–179</w:t>
      </w:r>
    </w:p>
    <w:p>
      <w:pPr>
        <w:spacing w:after="80"/>
      </w:pPr>
      <w:r>
        <w:rPr>
          <w:b w:val="0"/>
          <w:i w:val="0"/>
        </w:rPr>
        <w:t>Sáp nhập với Valeant Pharmaceuticals, 277–278</w:t>
      </w:r>
    </w:p>
    <w:p>
      <w:pPr>
        <w:spacing w:after="80"/>
      </w:pPr>
      <w:r>
        <w:rPr>
          <w:b w:val="0"/>
          <w:i w:val="0"/>
        </w:rPr>
        <w:t xml:space="preserve">B&amp;L. </w:t>
      </w:r>
      <w:r>
        <w:rPr>
          <w:b w:val="0"/>
          <w:i/>
        </w:rPr>
        <w:t>Xem</w:t>
      </w:r>
      <w:r>
        <w:rPr>
          <w:b w:val="0"/>
          <w:i w:val="0"/>
        </w:rPr>
        <w:t xml:space="preserve"> Bausch &amp; Lomb</w:t>
      </w:r>
    </w:p>
    <w:p>
      <w:pPr>
        <w:spacing w:after="80"/>
      </w:pPr>
      <w:r>
        <w:rPr>
          <w:b w:val="0"/>
          <w:i w:val="0"/>
        </w:rPr>
        <w:t>Black Friday, 249</w:t>
      </w:r>
    </w:p>
    <w:p>
      <w:pPr>
        <w:spacing w:after="80"/>
      </w:pPr>
      <w:r>
        <w:rPr>
          <w:b w:val="0"/>
          <w:i w:val="0"/>
        </w:rPr>
        <w:t>Blanford, Lawrence J., 36</w:t>
      </w:r>
    </w:p>
    <w:p>
      <w:pPr>
        <w:spacing w:after="80"/>
      </w:pPr>
      <w:r>
        <w:rPr>
          <w:b w:val="0"/>
          <w:i w:val="0"/>
        </w:rPr>
        <w:t>Blockbuster, 175–176</w:t>
      </w:r>
    </w:p>
    <w:p>
      <w:pPr>
        <w:spacing w:after="80"/>
      </w:pPr>
      <w:r>
        <w:rPr>
          <w:b w:val="0"/>
          <w:i w:val="0"/>
        </w:rPr>
        <w:t>Thành viên hội đồng quản trị, 20</w:t>
      </w:r>
    </w:p>
    <w:p>
      <w:pPr>
        <w:spacing w:after="80"/>
      </w:pPr>
      <w:r>
        <w:rPr>
          <w:b w:val="0"/>
          <w:i w:val="0"/>
        </w:rPr>
        <w:t>Boeing, 95</w:t>
      </w:r>
    </w:p>
    <w:p>
      <w:pPr>
        <w:spacing w:after="80"/>
      </w:pPr>
      <w:r>
        <w:rPr>
          <w:b w:val="0"/>
          <w:i w:val="0"/>
        </w:rPr>
        <w:t>Sách Truyền đạo (Book of Ecclesiastes), 4</w:t>
      </w:r>
    </w:p>
    <w:p>
      <w:pPr>
        <w:spacing w:after="80"/>
      </w:pPr>
      <w:r>
        <w:rPr>
          <w:b w:val="0"/>
          <w:i w:val="0"/>
        </w:rPr>
        <w:t>Cửa hàng sách, 219</w:t>
      </w:r>
    </w:p>
    <w:p>
      <w:pPr>
        <w:spacing w:after="80"/>
      </w:pPr>
      <w:r>
        <w:rPr>
          <w:b w:val="0"/>
          <w:i w:val="0"/>
        </w:rPr>
        <w:t>Tỷ lệ đơn hàng trên hóa đơn (book to bill), 206</w:t>
      </w:r>
    </w:p>
    <w:p>
      <w:pPr>
        <w:spacing w:after="80"/>
      </w:pPr>
      <w:r>
        <w:rPr>
          <w:b w:val="0"/>
          <w:i w:val="0"/>
        </w:rPr>
        <w:t>Đặt chỗ, 16</w:t>
      </w:r>
    </w:p>
    <w:p>
      <w:pPr>
        <w:spacing w:after="80"/>
      </w:pPr>
      <w:r>
        <w:rPr>
          <w:b w:val="0"/>
          <w:i w:val="0"/>
        </w:rPr>
        <w:t>tồn đọng đơn hàng liên quan đến, 206–207</w:t>
      </w:r>
    </w:p>
    <w:p>
      <w:pPr>
        <w:spacing w:after="80"/>
      </w:pPr>
      <w:r>
        <w:rPr>
          <w:b w:val="0"/>
          <w:i w:val="0"/>
        </w:rPr>
        <w:t>đối với FSLR, 207–208</w:t>
      </w:r>
    </w:p>
    <w:p>
      <w:pPr>
        <w:spacing w:after="80"/>
      </w:pPr>
      <w:r>
        <w:rPr>
          <w:b w:val="0"/>
          <w:i w:val="0"/>
        </w:rPr>
        <w:t>Giao dịch Boomerang, 169–172</w:t>
      </w:r>
    </w:p>
    <w:p>
      <w:pPr>
        <w:spacing w:after="80"/>
      </w:pPr>
      <w:r>
        <w:rPr>
          <w:b w:val="0"/>
          <w:i w:val="0"/>
        </w:rPr>
        <w:t>Boston Chicken, 78–79</w:t>
      </w:r>
    </w:p>
    <w:p>
      <w:pPr>
        <w:spacing w:after="80"/>
      </w:pPr>
      <w:r>
        <w:rPr>
          <w:b w:val="0"/>
          <w:i w:val="0"/>
        </w:rPr>
        <w:t>Brightpoint Inc., 55–56</w:t>
      </w:r>
    </w:p>
    <w:p>
      <w:pPr>
        <w:spacing w:after="80"/>
      </w:pPr>
      <w:r>
        <w:rPr>
          <w:b w:val="0"/>
          <w:i w:val="0"/>
        </w:rPr>
        <w:t>Buffett, Warren</w:t>
      </w:r>
    </w:p>
    <w:p>
      <w:pPr>
        <w:spacing w:after="80"/>
      </w:pPr>
      <w:r>
        <w:rPr>
          <w:b w:val="0"/>
          <w:i w:val="0"/>
        </w:rPr>
        <w:t>các chỉ số pro forma liên quan đến, 208</w:t>
      </w:r>
    </w:p>
    <w:p>
      <w:pPr>
        <w:spacing w:after="80"/>
      </w:pPr>
      <w:r>
        <w:rPr>
          <w:b w:val="0"/>
          <w:i w:val="0"/>
        </w:rPr>
        <w:t>câu chuyện của, 13–14</w:t>
      </w:r>
    </w:p>
    <w:p>
      <w:pPr>
        <w:spacing w:after="80"/>
      </w:pPr>
      <w:r>
        <w:rPr>
          <w:b w:val="0"/>
          <w:i w:val="0"/>
        </w:rPr>
        <w:t xml:space="preserve">Doanh nghiệp. </w:t>
      </w:r>
      <w:r>
        <w:rPr>
          <w:b w:val="0"/>
          <w:i/>
        </w:rPr>
        <w:t>Xem thêm</w:t>
      </w:r>
      <w:r>
        <w:rPr>
          <w:b w:val="0"/>
          <w:i w:val="0"/>
        </w:rPr>
        <w:t xml:space="preserve"> Công ty; Doanh nghiệp đang hoạt động; Doanh nghiệp dựa trên đăng ký</w:t>
      </w:r>
    </w:p>
    <w:p>
      <w:pPr>
        <w:spacing w:after="80"/>
      </w:pPr>
      <w:r>
        <w:rPr>
          <w:b w:val="0"/>
          <w:i w:val="0"/>
        </w:rPr>
        <w:t>người mua trong mối quan hệ với người bán doanh nghiệp, 245–246</w:t>
      </w:r>
    </w:p>
    <w:p>
      <w:pPr>
        <w:spacing w:after="80"/>
      </w:pPr>
      <w:r>
        <w:rPr>
          <w:b w:val="0"/>
          <w:i w:val="0"/>
        </w:rPr>
        <w:t>việc bán, để tăng CFFO, 258–262</w:t>
      </w:r>
    </w:p>
    <w:p>
      <w:pPr>
        <w:spacing w:after="80"/>
      </w:pPr>
      <w:r>
        <w:rPr>
          <w:b w:val="0"/>
          <w:i w:val="0"/>
        </w:rPr>
        <w:t>Người mua</w:t>
      </w:r>
    </w:p>
    <w:p>
      <w:pPr>
        <w:spacing w:after="80"/>
      </w:pPr>
      <w:r>
        <w:rPr>
          <w:b w:val="0"/>
          <w:i w:val="0"/>
        </w:rPr>
        <w:t>ghi nhận doanh thu trước khi người mua chấp nhận sản phẩm, 41–47</w:t>
      </w:r>
    </w:p>
    <w:p>
      <w:pPr>
        <w:spacing w:after="80"/>
      </w:pPr>
      <w:r>
        <w:rPr>
          <w:b w:val="0"/>
          <w:i w:val="0"/>
        </w:rPr>
        <w:t>ghi nhận doanh thu khi có sự không chắc chắn về thanh toán từ người mua, 47–51</w:t>
      </w:r>
    </w:p>
    <w:p>
      <w:pPr>
        <w:spacing w:after="80"/>
      </w:pPr>
      <w:r>
        <w:rPr>
          <w:b w:val="0"/>
          <w:i w:val="0"/>
        </w:rPr>
        <w:t>người bán doanh nghiệp trong mối quan hệ với doanh nghiệp, 245–246</w:t>
      </w:r>
    </w:p>
    <w:p>
      <w:pPr>
        <w:spacing w:after="80"/>
      </w:pPr>
      <w:r>
        <w:rPr>
          <w:b w:val="0"/>
          <w:i w:val="0"/>
        </w:rPr>
        <w:t xml:space="preserve">CA. </w:t>
      </w:r>
      <w:r>
        <w:rPr>
          <w:b w:val="0"/>
          <w:i/>
        </w:rPr>
        <w:t>Xem</w:t>
      </w:r>
      <w:r>
        <w:rPr>
          <w:b w:val="0"/>
          <w:i w:val="0"/>
        </w:rPr>
        <w:t xml:space="preserve"> Computer Associates</w:t>
      </w:r>
    </w:p>
    <w:p>
      <w:pPr>
        <w:spacing w:after="80"/>
      </w:pPr>
      <w:r>
        <w:rPr>
          <w:b w:val="0"/>
          <w:i w:val="0"/>
        </w:rPr>
        <w:t>Calendar Games, 35</w:t>
      </w:r>
    </w:p>
    <w:p>
      <w:pPr>
        <w:spacing w:after="80"/>
      </w:pPr>
      <w:r>
        <w:rPr>
          <w:b w:val="0"/>
          <w:i w:val="0"/>
        </w:rPr>
        <w:t>Callaway Golf Company, 186</w:t>
      </w:r>
    </w:p>
    <w:p>
      <w:pPr>
        <w:spacing w:after="80"/>
      </w:pPr>
      <w:r>
        <w:rPr>
          <w:b w:val="0"/>
          <w:i w:val="0"/>
        </w:rPr>
        <w:t>Chi phí đầu tư vốn (capital expenditures), 217–218</w:t>
      </w:r>
    </w:p>
    <w:p>
      <w:pPr>
        <w:spacing w:after="80"/>
      </w:pPr>
      <w:r>
        <w:rPr>
          <w:b w:val="0"/>
          <w:i w:val="0"/>
        </w:rPr>
        <w:t>Vốn hóa (capitalization)</w:t>
      </w:r>
    </w:p>
    <w:p>
      <w:pPr>
        <w:spacing w:after="80"/>
      </w:pPr>
      <w:r>
        <w:rPr>
          <w:b w:val="0"/>
          <w:i w:val="0"/>
        </w:rPr>
        <w:t>mang tính tích cực, 173</w:t>
      </w:r>
    </w:p>
    <w:p>
      <w:pPr>
        <w:spacing w:after="80"/>
      </w:pPr>
      <w:r>
        <w:rPr>
          <w:b w:val="0"/>
          <w:i w:val="0"/>
        </w:rPr>
        <w:t>vượt quá chi phí hoạt động, 84–91</w:t>
      </w:r>
    </w:p>
    <w:p>
      <w:pPr>
        <w:spacing w:after="80"/>
      </w:pPr>
      <w:r>
        <w:rPr>
          <w:b w:val="0"/>
          <w:i w:val="0"/>
        </w:rPr>
        <w:t>của chi phí hoạt động, 172–175</w:t>
      </w:r>
    </w:p>
    <w:p>
      <w:pPr>
        <w:spacing w:after="80"/>
      </w:pPr>
      <w:r>
        <w:rPr>
          <w:b w:val="0"/>
          <w:i w:val="0"/>
        </w:rPr>
        <w:t>của phần mềm trên Bảng cân đối kế toán (Balance Sheet), 90–91</w:t>
      </w:r>
    </w:p>
    <w:p>
      <w:pPr>
        <w:spacing w:after="80"/>
      </w:pPr>
      <w:r>
        <w:rPr>
          <w:b w:val="0"/>
          <w:i w:val="0"/>
        </w:rPr>
        <w:t>Cardinal Health, 157–158</w:t>
      </w:r>
    </w:p>
    <w:p>
      <w:pPr>
        <w:spacing w:after="80"/>
      </w:pPr>
      <w:r>
        <w:rPr>
          <w:b w:val="0"/>
          <w:i w:val="0"/>
        </w:rPr>
        <w:t xml:space="preserve">Dòng tiền (Cash Flow - CF), 194. </w:t>
      </w:r>
      <w:r>
        <w:rPr>
          <w:b w:val="0"/>
          <w:i/>
        </w:rPr>
        <w:t>Xem thêm</w:t>
      </w:r>
      <w:r>
        <w:rPr>
          <w:b w:val="0"/>
          <w:i w:val="0"/>
        </w:rPr>
        <w:t xml:space="preserve"> Dòng tiền từ hoạt động kinh doanh; Các đại diện dòng tiền; Dòng tiền vào; Dòng tiền ra; Dòng tiền tự do; Báo cáo lưu chuyển tiền tệ (Statement of Cash Flows)</w:t>
      </w:r>
    </w:p>
    <w:p>
      <w:pPr>
        <w:spacing w:after="80"/>
      </w:pPr>
      <w:r>
        <w:rPr>
          <w:b w:val="0"/>
          <w:i w:val="0"/>
        </w:rPr>
        <w:t>các danh mục được xác định, 15, 144</w:t>
      </w:r>
    </w:p>
    <w:p>
      <w:pPr>
        <w:spacing w:after="80"/>
      </w:pPr>
      <w:r>
        <w:rPr>
          <w:b w:val="0"/>
          <w:i w:val="0"/>
        </w:rPr>
        <w:t>các kỹ thuật để thúc đẩy hoạt động kinh doanh, 182</w:t>
      </w:r>
    </w:p>
    <w:p>
      <w:pPr>
        <w:spacing w:after="80"/>
      </w:pPr>
      <w:r>
        <w:rPr>
          <w:b w:val="0"/>
          <w:i w:val="0"/>
        </w:rPr>
        <w:t>Dòng tiền từ hoạt động kinh doanh (Cash flow from operations - CFFO), 15</w:t>
      </w:r>
    </w:p>
    <w:p>
      <w:pPr>
        <w:spacing w:after="80"/>
      </w:pPr>
      <w:r>
        <w:rPr>
          <w:b w:val="0"/>
          <w:i w:val="0"/>
        </w:rPr>
        <w:t>các kỹ thuật AA để thúc đẩy, 250</w:t>
      </w:r>
    </w:p>
    <w:p>
      <w:pPr>
        <w:spacing w:after="80"/>
      </w:pPr>
      <w:r>
        <w:rPr>
          <w:b w:val="0"/>
          <w:i w:val="0"/>
        </w:rPr>
        <w:t>việc mua lại làm tăng thổi phồng, 250–256</w:t>
      </w:r>
    </w:p>
    <w:p>
      <w:pPr>
        <w:spacing w:after="80"/>
      </w:pPr>
      <w:r>
        <w:rPr>
          <w:b w:val="0"/>
          <w:i w:val="0"/>
        </w:rPr>
        <w:t>đối với Blockbuster, 175–176</w:t>
      </w:r>
    </w:p>
    <w:p>
      <w:pPr>
        <w:spacing w:after="80"/>
      </w:pPr>
      <w:r>
        <w:rPr>
          <w:b w:val="0"/>
          <w:i w:val="0"/>
        </w:rPr>
        <w:t>đối với Cephalon, 177</w:t>
      </w:r>
    </w:p>
    <w:p>
      <w:pPr>
        <w:spacing w:after="80"/>
      </w:pPr>
      <w:r>
        <w:rPr>
          <w:b w:val="0"/>
          <w:i w:val="0"/>
        </w:rPr>
        <w:t>khách hàng trong mối liên hệ với việc thổi phồng, 186–189</w:t>
      </w:r>
    </w:p>
    <w:p>
      <w:pPr>
        <w:spacing w:after="80"/>
      </w:pPr>
      <w:r>
        <w:rPr>
          <w:b w:val="0"/>
          <w:i w:val="0"/>
        </w:rPr>
        <w:t>đối với Delphi Corporation, 153–155, 213–215</w:t>
      </w:r>
    </w:p>
    <w:p>
      <w:pPr>
        <w:spacing w:after="80"/>
      </w:pPr>
      <w:r>
        <w:rPr>
          <w:b w:val="0"/>
          <w:i w:val="0"/>
        </w:rPr>
        <w:t>phương pháp trực tiếp và gián tiếp, 145–146</w:t>
      </w:r>
    </w:p>
    <w:p>
      <w:pPr>
        <w:spacing w:after="80"/>
      </w:pPr>
      <w:r>
        <w:rPr>
          <w:b w:val="0"/>
          <w:i w:val="0"/>
        </w:rPr>
        <w:t>DSO trong mối liên hệ với, 221</w:t>
      </w:r>
    </w:p>
    <w:p>
      <w:pPr>
        <w:spacing w:after="80"/>
      </w:pPr>
      <w:r>
        <w:rPr>
          <w:b w:val="0"/>
          <w:i w:val="0"/>
        </w:rPr>
        <w:t>như đứa con cưng, 147–148</w:t>
      </w:r>
    </w:p>
    <w:p>
      <w:pPr>
        <w:spacing w:after="80"/>
      </w:pPr>
      <w:r>
        <w:rPr>
          <w:b w:val="0"/>
          <w:i w:val="0"/>
        </w:rPr>
        <w:t>của Global Crossing so với thu nhập ròng, 169–170</w:t>
      </w:r>
    </w:p>
    <w:p>
      <w:pPr>
        <w:spacing w:after="80"/>
      </w:pPr>
      <w:r>
        <w:rPr>
          <w:b w:val="0"/>
          <w:i w:val="0"/>
        </w:rPr>
        <w:t>việc thổi phồng của Enron, 155–156</w:t>
      </w:r>
    </w:p>
    <w:p>
      <w:pPr>
        <w:spacing w:after="80"/>
      </w:pPr>
      <w:r>
        <w:rPr>
          <w:b w:val="0"/>
          <w:i w:val="0"/>
        </w:rPr>
        <w:t>việc thổi phồng bằng cách làm giả doanh số các khoản phải thu, 160–165</w:t>
      </w:r>
    </w:p>
    <w:p>
      <w:pPr>
        <w:spacing w:after="80"/>
      </w:pPr>
      <w:r>
        <w:rPr>
          <w:b w:val="0"/>
          <w:i w:val="0"/>
        </w:rPr>
        <w:t>việc thổi phồng bằng các giao dịch boomerang, 169–172</w:t>
      </w:r>
    </w:p>
    <w:p>
      <w:pPr>
        <w:spacing w:after="80"/>
      </w:pPr>
      <w:r>
        <w:rPr>
          <w:b w:val="0"/>
          <w:i w:val="0"/>
        </w:rPr>
        <w:t>hàng tồn kho trong mối liên hệ với việc thổi phồng, 189–191</w:t>
      </w:r>
    </w:p>
    <w:p>
      <w:pPr>
        <w:spacing w:after="80"/>
      </w:pPr>
      <w:r>
        <w:rPr>
          <w:b w:val="0"/>
          <w:i w:val="0"/>
        </w:rPr>
        <w:t>tầm quan trọng của nhà đầu tư đối với, 146–147</w:t>
      </w:r>
    </w:p>
    <w:p>
      <w:pPr>
        <w:spacing w:after="80"/>
      </w:pPr>
      <w:r>
        <w:rPr>
          <w:b w:val="0"/>
          <w:i w:val="0"/>
        </w:rPr>
        <w:t>thu nhập ròng trong mối liên hệ với, 146</w:t>
      </w:r>
    </w:p>
    <w:p>
      <w:pPr>
        <w:spacing w:after="80"/>
      </w:pPr>
      <w:r>
        <w:rPr>
          <w:b w:val="0"/>
          <w:i w:val="0"/>
        </w:rPr>
        <w:t>đối với Netflix, 175–176</w:t>
      </w:r>
    </w:p>
    <w:p>
      <w:pPr>
        <w:spacing w:after="80"/>
      </w:pPr>
      <w:r>
        <w:rPr>
          <w:b w:val="0"/>
          <w:i w:val="0"/>
        </w:rPr>
        <w:t>lợi ích một lần thổi phồng, 191</w:t>
      </w:r>
    </w:p>
    <w:p>
      <w:pPr>
        <w:spacing w:after="80"/>
      </w:pPr>
      <w:r>
        <w:rPr>
          <w:b w:val="0"/>
          <w:i w:val="0"/>
        </w:rPr>
        <w:t>Peregrine Systems liên quan đến việc thổi phồng, 57, 161–163, 221</w:t>
      </w:r>
    </w:p>
    <w:p>
      <w:pPr>
        <w:spacing w:after="80"/>
      </w:pPr>
      <w:r>
        <w:rPr>
          <w:b w:val="0"/>
          <w:i w:val="0"/>
        </w:rPr>
        <w:t>các khoản phải thu được bán để thổi phồng, 156–160</w:t>
      </w:r>
    </w:p>
    <w:p>
      <w:pPr>
        <w:spacing w:after="80"/>
      </w:pPr>
      <w:r>
        <w:rPr>
          <w:b w:val="0"/>
          <w:i w:val="0"/>
        </w:rPr>
        <w:t>ghi nhận khống, từ việc vay ngân hàng, 153–156</w:t>
      </w:r>
    </w:p>
    <w:p>
      <w:pPr>
        <w:spacing w:after="80"/>
      </w:pPr>
      <w:r>
        <w:rPr>
          <w:b w:val="0"/>
          <w:i w:val="0"/>
        </w:rPr>
        <w:t>bán các doanh nghiệp để thổi phồng, 258–262</w:t>
      </w:r>
    </w:p>
    <w:p>
      <w:pPr>
        <w:spacing w:after="80"/>
      </w:pPr>
      <w:r>
        <w:rPr>
          <w:b w:val="0"/>
          <w:i w:val="0"/>
        </w:rPr>
        <w:t>đối với Tesla Motors, 187</w:t>
      </w:r>
    </w:p>
    <w:p>
      <w:pPr>
        <w:spacing w:after="80"/>
      </w:pPr>
      <w:r>
        <w:rPr>
          <w:b w:val="0"/>
          <w:i w:val="0"/>
        </w:rPr>
        <w:t>các thủ thuật gây nhầm lẫn, 148–150</w:t>
      </w:r>
    </w:p>
    <w:p>
      <w:pPr>
        <w:spacing w:after="80"/>
      </w:pPr>
      <w:r>
        <w:rPr>
          <w:b w:val="0"/>
          <w:i w:val="0"/>
        </w:rPr>
        <w:t>đối với Tyco, 255, 257–258</w:t>
      </w:r>
    </w:p>
    <w:p>
      <w:pPr>
        <w:spacing w:after="80"/>
      </w:pPr>
      <w:r>
        <w:rPr>
          <w:b w:val="0"/>
          <w:i w:val="0"/>
        </w:rPr>
        <w:t>các nhà cung cấp bị trả chậm để thổi phồng, 182–186</w:t>
      </w:r>
    </w:p>
    <w:p>
      <w:pPr>
        <w:spacing w:after="80"/>
      </w:pPr>
      <w:r>
        <w:rPr>
          <w:b w:val="0"/>
          <w:i w:val="0"/>
        </w:rPr>
        <w:t>WorldCom thổi phồng khoản này, 172–173</w:t>
      </w:r>
    </w:p>
    <w:p>
      <w:pPr>
        <w:spacing w:after="80"/>
      </w:pPr>
      <w:r>
        <w:rPr>
          <w:b w:val="0"/>
          <w:i w:val="0"/>
        </w:rPr>
        <w:t>Các đại diện thay thế cho dòng tiền, 196</w:t>
      </w:r>
    </w:p>
    <w:p>
      <w:pPr>
        <w:spacing w:after="80"/>
      </w:pPr>
      <w:r>
        <w:rPr>
          <w:b w:val="0"/>
          <w:i w:val="0"/>
        </w:rPr>
        <w:t>các chỉ số gây nhầm lẫn như là, 212–218</w:t>
      </w:r>
    </w:p>
    <w:p>
      <w:pPr>
        <w:spacing w:after="80"/>
      </w:pPr>
      <w:r>
        <w:rPr>
          <w:b w:val="0"/>
          <w:i w:val="0"/>
        </w:rPr>
        <w:t>như là các chỉ số hiệu suất, 197–198</w:t>
      </w:r>
    </w:p>
    <w:p>
      <w:pPr>
        <w:spacing w:after="80"/>
      </w:pPr>
      <w:r>
        <w:rPr>
          <w:b w:val="0"/>
          <w:i w:val="0"/>
        </w:rPr>
        <w:t>Dòng tiền vào</w:t>
      </w:r>
    </w:p>
    <w:p>
      <w:pPr>
        <w:spacing w:after="80"/>
      </w:pPr>
      <w:r>
        <w:rPr>
          <w:b w:val="0"/>
          <w:i w:val="0"/>
        </w:rPr>
        <w:t>cho các hoạt động tài chính, 147, 149, 152, 168, 251, 259</w:t>
      </w:r>
    </w:p>
    <w:p>
      <w:pPr>
        <w:spacing w:after="80"/>
      </w:pPr>
      <w:r>
        <w:rPr>
          <w:b w:val="0"/>
          <w:i w:val="0"/>
        </w:rPr>
        <w:t>cho các hoạt động đầu tư, 147, 149, 152, 168, 251, 259</w:t>
      </w:r>
    </w:p>
    <w:p>
      <w:pPr>
        <w:spacing w:after="80"/>
      </w:pPr>
      <w:r>
        <w:rPr>
          <w:b w:val="0"/>
          <w:i w:val="0"/>
        </w:rPr>
        <w:t>cho các hoạt động kinh doanh, 147, 149, 152, 168, 251, 259</w:t>
      </w:r>
    </w:p>
    <w:p>
      <w:pPr>
        <w:spacing w:after="80"/>
      </w:pPr>
      <w:r>
        <w:rPr>
          <w:b w:val="0"/>
          <w:i w:val="0"/>
        </w:rPr>
        <w:t>hoạt động kinh doanh thừa hưởng từ việc mua lại, 250–256</w:t>
      </w:r>
    </w:p>
    <w:p>
      <w:pPr>
        <w:spacing w:after="80"/>
      </w:pPr>
      <w:r>
        <w:rPr>
          <w:b w:val="0"/>
          <w:i w:val="0"/>
        </w:rPr>
        <w:t>chuyển sang hoạt động kinh doanh, 258–262</w:t>
      </w:r>
    </w:p>
    <w:p>
      <w:pPr>
        <w:spacing w:after="80"/>
      </w:pPr>
      <w:r>
        <w:rPr>
          <w:b w:val="0"/>
          <w:i w:val="0"/>
        </w:rPr>
        <w:t>các kỹ thuật để chuyển sang, vào phần hoạt động kinh doanh, 152</w:t>
      </w:r>
    </w:p>
    <w:p>
      <w:pPr>
        <w:spacing w:after="80"/>
      </w:pPr>
      <w:r>
        <w:rPr>
          <w:b w:val="0"/>
          <w:i w:val="0"/>
        </w:rPr>
        <w:t>Dòng tiền ra</w:t>
      </w:r>
    </w:p>
    <w:p>
      <w:pPr>
        <w:spacing w:after="80"/>
      </w:pPr>
      <w:r>
        <w:rPr>
          <w:b w:val="0"/>
          <w:i w:val="0"/>
        </w:rPr>
        <w:t>cho hoạt động tài chính, 147, 149, 152, 168, 251, 259</w:t>
      </w:r>
    </w:p>
    <w:p>
      <w:pPr>
        <w:spacing w:after="80"/>
      </w:pPr>
      <w:r>
        <w:rPr>
          <w:b w:val="0"/>
          <w:i w:val="0"/>
        </w:rPr>
        <w:t>mua hàng tồn kho được ghi nhận là hoạt động đầu tư, 175–179</w:t>
      </w:r>
    </w:p>
    <w:p>
      <w:pPr>
        <w:spacing w:after="80"/>
      </w:pPr>
      <w:r>
        <w:rPr>
          <w:b w:val="0"/>
          <w:i w:val="0"/>
        </w:rPr>
        <w:t>cho hoạt động đầu tư, 147–149, 152, 168, 251, 259</w:t>
      </w:r>
    </w:p>
    <w:p>
      <w:pPr>
        <w:spacing w:after="80"/>
      </w:pPr>
      <w:r>
        <w:rPr>
          <w:b w:val="0"/>
          <w:i w:val="0"/>
        </w:rPr>
        <w:t>hoạt động đầu tư chuyển từ, 240–241, 250–258</w:t>
      </w:r>
    </w:p>
    <w:p>
      <w:pPr>
        <w:spacing w:after="80"/>
      </w:pPr>
      <w:r>
        <w:rPr>
          <w:b w:val="0"/>
          <w:i w:val="0"/>
        </w:rPr>
        <w:t>cho hoạt động kinh doanh, 147, 149, 152, 168, 251, 259</w:t>
      </w:r>
    </w:p>
    <w:p>
      <w:pPr>
        <w:spacing w:after="80"/>
      </w:pPr>
      <w:r>
        <w:rPr>
          <w:b w:val="0"/>
          <w:i w:val="0"/>
        </w:rPr>
        <w:t>SCF loại bỏ, 179</w:t>
      </w:r>
    </w:p>
    <w:p>
      <w:pPr>
        <w:spacing w:after="80"/>
      </w:pPr>
      <w:r>
        <w:rPr>
          <w:b w:val="0"/>
          <w:i w:val="0"/>
        </w:rPr>
        <w:t>các kỹ thuật để di chuyển, 168</w:t>
      </w:r>
    </w:p>
    <w:p>
      <w:pPr>
        <w:spacing w:after="80"/>
      </w:pPr>
      <w:r>
        <w:rPr>
          <w:b w:val="0"/>
          <w:i w:val="0"/>
        </w:rPr>
        <w:t xml:space="preserve">Cendant, 6, 11. </w:t>
      </w:r>
      <w:r>
        <w:rPr>
          <w:b w:val="0"/>
          <w:i/>
        </w:rPr>
        <w:t>Xem thêm</w:t>
      </w:r>
      <w:r>
        <w:rPr>
          <w:b w:val="0"/>
          <w:i w:val="0"/>
        </w:rPr>
        <w:t xml:space="preserve"> CUC International</w:t>
      </w:r>
    </w:p>
    <w:p>
      <w:pPr>
        <w:spacing w:after="80"/>
      </w:pPr>
      <w:r>
        <w:rPr>
          <w:b w:val="0"/>
          <w:i w:val="0"/>
        </w:rPr>
        <w:t>CEO</w:t>
      </w:r>
    </w:p>
    <w:p>
      <w:pPr>
        <w:spacing w:after="80"/>
      </w:pPr>
      <w:r>
        <w:rPr>
          <w:b w:val="0"/>
          <w:i w:val="0"/>
        </w:rPr>
        <w:t>Barad của Mattel, 236</w:t>
      </w:r>
    </w:p>
    <w:p>
      <w:pPr>
        <w:spacing w:after="80"/>
      </w:pPr>
      <w:r>
        <w:rPr>
          <w:b w:val="0"/>
          <w:i w:val="0"/>
        </w:rPr>
        <w:t>Blanford của Keurig, 36</w:t>
      </w:r>
    </w:p>
    <w:p>
      <w:pPr>
        <w:spacing w:after="80"/>
      </w:pPr>
      <w:r>
        <w:rPr>
          <w:b w:val="0"/>
          <w:i w:val="0"/>
        </w:rPr>
        <w:t>là không trung thực, 18–19</w:t>
      </w:r>
    </w:p>
    <w:p>
      <w:pPr>
        <w:spacing w:after="80"/>
      </w:pPr>
      <w:r>
        <w:rPr>
          <w:b w:val="0"/>
          <w:i w:val="0"/>
        </w:rPr>
        <w:t>Dunlap của Sunbeam, 42, 43, 114, 136–137</w:t>
      </w:r>
    </w:p>
    <w:p>
      <w:pPr>
        <w:spacing w:after="80"/>
      </w:pPr>
      <w:r>
        <w:rPr>
          <w:b w:val="0"/>
          <w:i w:val="0"/>
        </w:rPr>
        <w:t>Ferris của UAL, 235</w:t>
      </w:r>
    </w:p>
    <w:p>
      <w:pPr>
        <w:spacing w:after="80"/>
      </w:pPr>
      <w:r>
        <w:rPr>
          <w:b w:val="0"/>
          <w:i w:val="0"/>
        </w:rPr>
        <w:t>Frissora của Hertz, 274</w:t>
      </w:r>
    </w:p>
    <w:p>
      <w:pPr>
        <w:spacing w:after="80"/>
      </w:pPr>
      <w:r>
        <w:rPr>
          <w:b w:val="0"/>
          <w:i w:val="0"/>
        </w:rPr>
        <w:t>Kumar của CA, 32</w:t>
      </w:r>
    </w:p>
    <w:p>
      <w:pPr>
        <w:spacing w:after="80"/>
      </w:pPr>
      <w:r>
        <w:rPr>
          <w:b w:val="0"/>
          <w:i w:val="0"/>
        </w:rPr>
        <w:t>bài học cho người mới, 136</w:t>
      </w:r>
    </w:p>
    <w:p>
      <w:pPr>
        <w:spacing w:after="80"/>
      </w:pPr>
      <w:r>
        <w:rPr>
          <w:b w:val="0"/>
          <w:i w:val="0"/>
        </w:rPr>
        <w:t>Nacchio của Qwest Communications, 3, 19, 290</w:t>
      </w:r>
    </w:p>
    <w:p>
      <w:pPr>
        <w:spacing w:after="80"/>
      </w:pPr>
      <w:r>
        <w:rPr>
          <w:b w:val="0"/>
          <w:i w:val="0"/>
        </w:rPr>
        <w:t>Pearson của Valeant Pharmaceuticals, 22, 136, 276–277, 279–281, 283, 286</w:t>
      </w:r>
    </w:p>
    <w:p>
      <w:pPr>
        <w:spacing w:after="80"/>
      </w:pPr>
      <w:r>
        <w:rPr>
          <w:b w:val="0"/>
          <w:i w:val="0"/>
        </w:rPr>
        <w:t>Raju của Satyam, 24</w:t>
      </w:r>
    </w:p>
    <w:p>
      <w:pPr>
        <w:spacing w:after="80"/>
      </w:pPr>
      <w:r>
        <w:rPr>
          <w:b w:val="0"/>
          <w:i w:val="0"/>
        </w:rPr>
        <w:t>Woodford của Olympus Corp., 244–245</w:t>
      </w:r>
    </w:p>
    <w:p>
      <w:pPr>
        <w:spacing w:after="80"/>
      </w:pPr>
      <w:r>
        <w:rPr>
          <w:b w:val="0"/>
          <w:i w:val="0"/>
        </w:rPr>
        <w:t>Cephalon</w:t>
      </w:r>
    </w:p>
    <w:p>
      <w:pPr>
        <w:spacing w:after="80"/>
      </w:pPr>
      <w:r>
        <w:rPr>
          <w:b w:val="0"/>
          <w:i w:val="0"/>
        </w:rPr>
        <w:t>các thương vụ mua lại của, 177</w:t>
      </w:r>
    </w:p>
    <w:p>
      <w:pPr>
        <w:spacing w:after="80"/>
      </w:pPr>
      <w:r>
        <w:rPr>
          <w:b w:val="0"/>
          <w:i w:val="0"/>
        </w:rPr>
        <w:t>nỗ lực thâu tóm của Valeant Pharmaceuticals đối với, 280–281</w:t>
      </w:r>
    </w:p>
    <w:p>
      <w:pPr>
        <w:spacing w:after="80"/>
      </w:pPr>
      <w:r>
        <w:rPr>
          <w:b w:val="0"/>
          <w:i w:val="0"/>
        </w:rPr>
        <w:t xml:space="preserve">CF. </w:t>
      </w:r>
      <w:r>
        <w:rPr>
          <w:b w:val="0"/>
          <w:i/>
        </w:rPr>
        <w:t>Xem</w:t>
      </w:r>
      <w:r>
        <w:rPr>
          <w:b w:val="0"/>
          <w:i w:val="0"/>
        </w:rPr>
        <w:t xml:space="preserve"> Dòng tiền</w:t>
      </w:r>
    </w:p>
    <w:p>
      <w:pPr>
        <w:spacing w:after="80"/>
      </w:pPr>
      <w:r>
        <w:rPr>
          <w:b w:val="0"/>
          <w:i w:val="0"/>
        </w:rPr>
        <w:t xml:space="preserve">CFFO. </w:t>
      </w:r>
      <w:r>
        <w:rPr>
          <w:b w:val="0"/>
          <w:i/>
        </w:rPr>
        <w:t>Xem</w:t>
      </w:r>
      <w:r>
        <w:rPr>
          <w:b w:val="0"/>
          <w:i w:val="0"/>
        </w:rPr>
        <w:t xml:space="preserve"> Dòng tiền từ hoạt động kinh doanh</w:t>
      </w:r>
    </w:p>
    <w:p>
      <w:pPr>
        <w:spacing w:after="80"/>
      </w:pPr>
      <w:r>
        <w:rPr>
          <w:b w:val="0"/>
          <w:i w:val="0"/>
        </w:rPr>
        <w:t xml:space="preserve">Các khoản phí, 135–136. </w:t>
      </w:r>
      <w:r>
        <w:rPr>
          <w:b w:val="0"/>
          <w:i/>
        </w:rPr>
        <w:t>Xem thêm</w:t>
      </w:r>
      <w:r>
        <w:rPr>
          <w:b w:val="0"/>
          <w:i w:val="0"/>
        </w:rPr>
        <w:t xml:space="preserve"> Phí tái cấu trúc; Phí đặc biệt</w:t>
      </w:r>
    </w:p>
    <w:p>
      <w:pPr>
        <w:spacing w:after="80"/>
      </w:pPr>
      <w:r>
        <w:rPr>
          <w:b w:val="0"/>
          <w:i w:val="0"/>
        </w:rPr>
        <w:t>Kiểm soát và đối trọng</w:t>
      </w:r>
    </w:p>
    <w:p>
      <w:pPr>
        <w:spacing w:after="80"/>
      </w:pPr>
      <w:r>
        <w:rPr>
          <w:b w:val="0"/>
          <w:i w:val="0"/>
        </w:rPr>
        <w:t>auditors liên quan đến, 22–24</w:t>
      </w:r>
    </w:p>
    <w:p>
      <w:pPr>
        <w:spacing w:after="80"/>
      </w:pPr>
      <w:r>
        <w:rPr>
          <w:b w:val="0"/>
          <w:i w:val="0"/>
        </w:rPr>
        <w:t>Clinton, B., liên quan đến, 17</w:t>
      </w:r>
    </w:p>
    <w:p>
      <w:pPr>
        <w:spacing w:after="80"/>
      </w:pPr>
      <w:r>
        <w:rPr>
          <w:b w:val="0"/>
          <w:i w:val="0"/>
        </w:rPr>
        <w:t>quản trị doanh nghiệp liên quan đến, 18–22</w:t>
      </w:r>
    </w:p>
    <w:p>
      <w:pPr>
        <w:spacing w:after="80"/>
      </w:pPr>
      <w:r>
        <w:rPr>
          <w:b w:val="0"/>
          <w:i w:val="0"/>
        </w:rPr>
        <w:t>Nixon liên quan đến, 17</w:t>
      </w:r>
    </w:p>
    <w:p>
      <w:pPr>
        <w:spacing w:after="80"/>
      </w:pPr>
      <w:r>
        <w:rPr>
          <w:b w:val="0"/>
          <w:i w:val="0"/>
        </w:rPr>
        <w:t>SEC liên quan đến, 24–25</w:t>
      </w:r>
    </w:p>
    <w:p>
      <w:pPr>
        <w:spacing w:after="80"/>
      </w:pPr>
      <w:r>
        <w:rPr>
          <w:b w:val="0"/>
          <w:i w:val="0"/>
        </w:rPr>
        <w:t>Clinton, Bill, 17</w:t>
      </w:r>
    </w:p>
    <w:p>
      <w:pPr>
        <w:spacing w:after="80"/>
      </w:pPr>
      <w:r>
        <w:rPr>
          <w:b w:val="0"/>
          <w:i w:val="0"/>
        </w:rPr>
        <w:t>Clinton, Hillary, 284–285</w:t>
      </w:r>
    </w:p>
    <w:p>
      <w:pPr>
        <w:spacing w:after="80"/>
      </w:pPr>
      <w:r>
        <w:rPr>
          <w:b w:val="0"/>
          <w:i w:val="0"/>
        </w:rPr>
        <w:t>Coach Inc., 204</w:t>
      </w:r>
    </w:p>
    <w:p>
      <w:pPr>
        <w:spacing w:after="80"/>
      </w:pPr>
      <w:r>
        <w:rPr>
          <w:b w:val="0"/>
          <w:i w:val="0"/>
        </w:rPr>
        <w:t xml:space="preserve">COGS. </w:t>
      </w:r>
      <w:r>
        <w:rPr>
          <w:b w:val="0"/>
          <w:i/>
        </w:rPr>
        <w:t>Xem</w:t>
      </w:r>
      <w:r>
        <w:rPr>
          <w:b w:val="0"/>
          <w:i w:val="0"/>
        </w:rPr>
        <w:t xml:space="preserve"> Cost of goods and services</w:t>
      </w:r>
    </w:p>
    <w:p>
      <w:pPr>
        <w:spacing w:after="80"/>
      </w:pPr>
      <w:r>
        <w:rPr>
          <w:b w:val="0"/>
          <w:i w:val="0"/>
        </w:rPr>
        <w:t>Cole, Neil, 62</w:t>
      </w:r>
    </w:p>
    <w:p>
      <w:pPr>
        <w:spacing w:after="80"/>
      </w:pPr>
      <w:r>
        <w:rPr>
          <w:b w:val="0"/>
          <w:i w:val="0"/>
        </w:rPr>
        <w:t>Coleman Corporation, 36</w:t>
      </w:r>
    </w:p>
    <w:p>
      <w:pPr>
        <w:spacing w:after="80"/>
      </w:pPr>
      <w:r>
        <w:rPr>
          <w:b w:val="0"/>
          <w:i w:val="0"/>
        </w:rPr>
        <w:t>Commercial notes, 222–223</w:t>
      </w:r>
    </w:p>
    <w:p>
      <w:pPr>
        <w:spacing w:after="80"/>
      </w:pPr>
      <w:r>
        <w:rPr>
          <w:b w:val="0"/>
          <w:i w:val="0"/>
        </w:rPr>
        <w:t xml:space="preserve">Comp base. </w:t>
      </w:r>
      <w:r>
        <w:rPr>
          <w:b w:val="0"/>
          <w:i/>
        </w:rPr>
        <w:t>Xem</w:t>
      </w:r>
      <w:r>
        <w:rPr>
          <w:b w:val="0"/>
          <w:i w:val="0"/>
        </w:rPr>
        <w:t xml:space="preserve"> Comparable base of stores</w:t>
      </w:r>
    </w:p>
    <w:p>
      <w:pPr>
        <w:spacing w:after="80"/>
      </w:pPr>
      <w:r>
        <w:rPr>
          <w:b w:val="0"/>
          <w:i w:val="0"/>
        </w:rPr>
        <w:t xml:space="preserve">Các công ty. </w:t>
      </w:r>
      <w:r>
        <w:rPr>
          <w:b w:val="0"/>
          <w:i/>
        </w:rPr>
        <w:t>Xem thêm</w:t>
      </w:r>
      <w:r>
        <w:rPr>
          <w:b w:val="0"/>
          <w:i w:val="0"/>
        </w:rPr>
        <w:t xml:space="preserve"> Parent Companies; Publicly traded companies; các công ty cụ thể</w:t>
      </w:r>
    </w:p>
    <w:p>
      <w:pPr>
        <w:spacing w:after="80"/>
      </w:pPr>
      <w:r>
        <w:rPr>
          <w:b w:val="0"/>
          <w:i w:val="0"/>
        </w:rPr>
        <w:t>là không trung thực, 3–4</w:t>
      </w:r>
    </w:p>
    <w:p>
      <w:pPr>
        <w:spacing w:after="80"/>
      </w:pPr>
      <w:r>
        <w:rPr>
          <w:b w:val="0"/>
          <w:i w:val="0"/>
        </w:rPr>
        <w:t>câu hỏi của nhà đầu tư dành cho, 18</w:t>
      </w:r>
    </w:p>
    <w:p>
      <w:pPr>
        <w:spacing w:after="80"/>
      </w:pPr>
      <w:r>
        <w:rPr>
          <w:b w:val="0"/>
          <w:i w:val="0"/>
        </w:rPr>
        <w:t>nguồn sống cho, 181–183</w:t>
      </w:r>
    </w:p>
    <w:p>
      <w:pPr>
        <w:spacing w:after="80"/>
      </w:pPr>
      <w:r>
        <w:rPr>
          <w:b w:val="0"/>
          <w:i w:val="0"/>
        </w:rPr>
        <w:t>R&amp;D bởi, 176–178</w:t>
      </w:r>
    </w:p>
    <w:p>
      <w:pPr>
        <w:spacing w:after="80"/>
      </w:pPr>
      <w:r>
        <w:rPr>
          <w:b w:val="0"/>
          <w:i w:val="0"/>
        </w:rPr>
        <w:t>Cơ sở cửa hàng so sánh được (comp base), 202–204</w:t>
      </w:r>
    </w:p>
    <w:p>
      <w:pPr>
        <w:spacing w:after="80"/>
      </w:pPr>
      <w:r>
        <w:rPr>
          <w:b w:val="0"/>
          <w:i w:val="0"/>
        </w:rPr>
        <w:t>Kế hoạch thù lao</w:t>
      </w:r>
    </w:p>
    <w:p>
      <w:pPr>
        <w:spacing w:after="80"/>
      </w:pPr>
      <w:r>
        <w:rPr>
          <w:b w:val="0"/>
          <w:i w:val="0"/>
        </w:rPr>
        <w:t>CA liên quan đến, 21</w:t>
      </w:r>
    </w:p>
    <w:p>
      <w:pPr>
        <w:spacing w:after="80"/>
      </w:pPr>
      <w:r>
        <w:rPr>
          <w:b w:val="0"/>
          <w:i w:val="0"/>
        </w:rPr>
        <w:t>Valeant Pharmaceuticals liên quan đến, 22, 291–292</w:t>
      </w:r>
    </w:p>
    <w:p>
      <w:pPr>
        <w:spacing w:after="80"/>
      </w:pPr>
      <w:r>
        <w:rPr>
          <w:b w:val="0"/>
          <w:i w:val="0"/>
        </w:rPr>
        <w:t xml:space="preserve">Hoàn thành. </w:t>
      </w:r>
      <w:r>
        <w:rPr>
          <w:b w:val="0"/>
          <w:i/>
        </w:rPr>
        <w:t>Xem</w:t>
      </w:r>
      <w:r>
        <w:rPr>
          <w:b w:val="0"/>
          <w:i w:val="0"/>
        </w:rPr>
        <w:t xml:space="preserve"> Tỷ lệ phần trăm hoàn thành</w:t>
      </w:r>
    </w:p>
    <w:p>
      <w:pPr>
        <w:spacing w:after="80"/>
      </w:pPr>
      <w:r>
        <w:rPr>
          <w:b w:val="0"/>
          <w:i w:val="0"/>
        </w:rPr>
        <w:t>Computer Associates (CA)</w:t>
      </w:r>
    </w:p>
    <w:p>
      <w:pPr>
        <w:spacing w:after="80"/>
      </w:pPr>
      <w:r>
        <w:rPr>
          <w:b w:val="0"/>
          <w:i w:val="0"/>
        </w:rPr>
        <w:t>CEO Kumar của, 32</w:t>
      </w:r>
    </w:p>
    <w:p>
      <w:pPr>
        <w:spacing w:after="80"/>
      </w:pPr>
      <w:r>
        <w:rPr>
          <w:b w:val="0"/>
          <w:i w:val="0"/>
        </w:rPr>
        <w:t>kế hoạch thù lao liên quan đến, 21</w:t>
      </w:r>
    </w:p>
    <w:p>
      <w:pPr>
        <w:spacing w:after="80"/>
      </w:pPr>
      <w:r>
        <w:rPr>
          <w:b w:val="0"/>
          <w:i w:val="0"/>
        </w:rPr>
        <w:t>công bố các khoản phải thu cho, 163–164</w:t>
      </w:r>
    </w:p>
    <w:p>
      <w:pPr>
        <w:spacing w:after="80"/>
      </w:pPr>
      <w:r>
        <w:rPr>
          <w:b w:val="0"/>
          <w:i w:val="0"/>
        </w:rPr>
        <w:t>các khoản phải thu dài hạn cho, 40–41</w:t>
      </w:r>
    </w:p>
    <w:p>
      <w:pPr>
        <w:spacing w:after="80"/>
      </w:pPr>
      <w:r>
        <w:rPr>
          <w:b w:val="0"/>
          <w:i w:val="0"/>
        </w:rPr>
        <w:t>việc mua lại Platinum Technologies bởi, 128</w:t>
      </w:r>
    </w:p>
    <w:p>
      <w:pPr>
        <w:spacing w:after="80"/>
      </w:pPr>
      <w:r>
        <w:rPr>
          <w:b w:val="0"/>
          <w:i w:val="0"/>
        </w:rPr>
        <w:t>Computer Associates (CA) (</w:t>
      </w:r>
      <w:r>
        <w:rPr>
          <w:b w:val="0"/>
          <w:i/>
        </w:rPr>
        <w:t>tiếp theo</w:t>
      </w:r>
      <w:r>
        <w:rPr>
          <w:b w:val="0"/>
          <w:i w:val="0"/>
        </w:rPr>
        <w:t>)</w:t>
      </w:r>
    </w:p>
    <w:p>
      <w:pPr>
        <w:spacing w:after="80"/>
      </w:pPr>
      <w:r>
        <w:rPr>
          <w:b w:val="0"/>
          <w:i w:val="0"/>
        </w:rPr>
        <w:t>POC liên quan đến, 40</w:t>
      </w:r>
    </w:p>
    <w:p>
      <w:pPr>
        <w:spacing w:after="80"/>
      </w:pPr>
      <w:r>
        <w:rPr>
          <w:b w:val="0"/>
          <w:i w:val="0"/>
        </w:rPr>
        <w:t>lạm phát doanh thu bởi, 31–32</w:t>
      </w:r>
    </w:p>
    <w:p>
      <w:pPr>
        <w:spacing w:after="80"/>
      </w:pPr>
      <w:r>
        <w:rPr>
          <w:b w:val="0"/>
          <w:i w:val="0"/>
        </w:rPr>
        <w:t>SEC tính phí, 41, 164</w:t>
      </w:r>
    </w:p>
    <w:p>
      <w:pPr>
        <w:spacing w:after="80"/>
      </w:pPr>
      <w:r>
        <w:rPr>
          <w:b w:val="0"/>
          <w:i w:val="0"/>
        </w:rPr>
        <w:t>Sunbeam liên quan đến, 36</w:t>
      </w:r>
    </w:p>
    <w:p>
      <w:pPr>
        <w:spacing w:after="80"/>
      </w:pPr>
      <w:r>
        <w:rPr>
          <w:b w:val="0"/>
          <w:i w:val="0"/>
        </w:rPr>
        <w:t>ComScore, 57–58</w:t>
      </w:r>
    </w:p>
    <w:p>
      <w:pPr>
        <w:spacing w:after="80"/>
      </w:pPr>
      <w:r>
        <w:rPr>
          <w:b w:val="0"/>
          <w:i w:val="0"/>
        </w:rPr>
        <w:t>Tập đoàn đa ngành, 254</w:t>
      </w:r>
    </w:p>
    <w:p>
      <w:pPr>
        <w:spacing w:after="80"/>
      </w:pPr>
      <w:r>
        <w:rPr>
          <w:b w:val="0"/>
          <w:i w:val="0"/>
        </w:rPr>
        <w:t>Doanh thu ký gửi, 44</w:t>
      </w:r>
    </w:p>
    <w:p>
      <w:pPr>
        <w:spacing w:after="80"/>
      </w:pPr>
      <w:r>
        <w:rPr>
          <w:b w:val="0"/>
          <w:i w:val="0"/>
        </w:rPr>
        <w:t>Thu nhập hoạt động báo cáo phân khúc hợp nhất (CSOI), 210–211</w:t>
      </w:r>
    </w:p>
    <w:p>
      <w:pPr>
        <w:spacing w:after="80"/>
      </w:pPr>
      <w:r>
        <w:rPr>
          <w:b w:val="0"/>
          <w:i w:val="0"/>
        </w:rPr>
        <w:t>Hợp nhất, 80</w:t>
      </w:r>
    </w:p>
    <w:p>
      <w:pPr>
        <w:spacing w:after="80"/>
      </w:pPr>
      <w:r>
        <w:rPr>
          <w:b w:val="0"/>
          <w:i w:val="0"/>
        </w:rPr>
        <w:t>Các khoản dự phòng ngoài dự kiến, 108–109</w:t>
      </w:r>
    </w:p>
    <w:p>
      <w:pPr>
        <w:spacing w:after="80"/>
      </w:pPr>
      <w:r>
        <w:rPr>
          <w:b w:val="0"/>
          <w:i w:val="0"/>
        </w:rPr>
        <w:t>Hợp đồng, 55, 256–258</w:t>
      </w:r>
    </w:p>
    <w:p>
      <w:pPr>
        <w:spacing w:after="80"/>
      </w:pPr>
      <w:r>
        <w:rPr>
          <w:b w:val="0"/>
          <w:i w:val="0"/>
        </w:rPr>
        <w:t>Các quy ước, 239, 241</w:t>
      </w:r>
    </w:p>
    <w:p>
      <w:pPr>
        <w:spacing w:after="80"/>
      </w:pPr>
      <w:r>
        <w:rPr>
          <w:b w:val="0"/>
          <w:i w:val="0"/>
        </w:rPr>
        <w:t xml:space="preserve">Quản lý cấp tập đoàn. </w:t>
      </w:r>
      <w:r>
        <w:rPr>
          <w:b w:val="0"/>
          <w:i/>
        </w:rPr>
        <w:t>Xem thêm</w:t>
      </w:r>
      <w:r>
        <w:rPr>
          <w:b w:val="0"/>
          <w:i w:val="0"/>
        </w:rPr>
        <w:t xml:space="preserve"> CEO</w:t>
      </w:r>
    </w:p>
    <w:p>
      <w:pPr>
        <w:spacing w:after="80"/>
      </w:pPr>
      <w:r>
        <w:rPr>
          <w:b w:val="0"/>
          <w:i w:val="0"/>
        </w:rPr>
        <w:t>các chỉ số thay thế dòng tiền được trình bày bởi, 197–198</w:t>
      </w:r>
    </w:p>
    <w:p>
      <w:pPr>
        <w:spacing w:after="80"/>
      </w:pPr>
      <w:r>
        <w:rPr>
          <w:b w:val="0"/>
          <w:i w:val="0"/>
        </w:rPr>
        <w:t>cơ chế kiểm tra và cân bằng liên quan đến, 18–22</w:t>
      </w:r>
    </w:p>
    <w:p>
      <w:pPr>
        <w:spacing w:after="80"/>
      </w:pPr>
      <w:r>
        <w:rPr>
          <w:b w:val="0"/>
          <w:i w:val="0"/>
        </w:rPr>
        <w:t>các chỉ số thay thế thu nhập được trình bày bởi, 197</w:t>
      </w:r>
    </w:p>
    <w:p>
      <w:pPr>
        <w:spacing w:after="80"/>
      </w:pPr>
      <w:r>
        <w:rPr>
          <w:b w:val="0"/>
          <w:i w:val="0"/>
        </w:rPr>
        <w:t>lời thề Hippocrates liên quan đến, 201–202</w:t>
      </w:r>
    </w:p>
    <w:p>
      <w:pPr>
        <w:spacing w:after="80"/>
      </w:pPr>
      <w:r>
        <w:rPr>
          <w:b w:val="0"/>
          <w:i w:val="0"/>
        </w:rPr>
        <w:t>nhà đầu tư bị dẫn dắt sai lệch bởi, 28–29, 294–295</w:t>
      </w:r>
    </w:p>
    <w:p>
      <w:pPr>
        <w:spacing w:after="80"/>
      </w:pPr>
      <w:r>
        <w:rPr>
          <w:b w:val="0"/>
          <w:i w:val="0"/>
        </w:rPr>
        <w:t>các công ty đại chúng, 3–4</w:t>
      </w:r>
    </w:p>
    <w:p>
      <w:pPr>
        <w:spacing w:after="80"/>
      </w:pPr>
      <w:r>
        <w:rPr>
          <w:b w:val="0"/>
          <w:i w:val="0"/>
        </w:rPr>
        <w:t>các chỉ số thay thế cho doanh thu được trình bày bởi, 196–197</w:t>
      </w:r>
    </w:p>
    <w:p>
      <w:pPr>
        <w:spacing w:after="80"/>
      </w:pPr>
      <w:r>
        <w:rPr>
          <w:b w:val="0"/>
          <w:i w:val="0"/>
        </w:rPr>
        <w:t>Giá vốn hàng hóa và dịch vụ (COGS)</w:t>
      </w:r>
    </w:p>
    <w:p>
      <w:pPr>
        <w:spacing w:after="80"/>
      </w:pPr>
      <w:r>
        <w:rPr>
          <w:b w:val="0"/>
          <w:i w:val="0"/>
        </w:rPr>
        <w:t>đối với Lockhead, 94</w:t>
      </w:r>
    </w:p>
    <w:p>
      <w:pPr>
        <w:spacing w:after="80"/>
      </w:pPr>
      <w:r>
        <w:rPr>
          <w:b w:val="0"/>
          <w:i w:val="0"/>
        </w:rPr>
        <w:t>SCF liên quan đến, 175</w:t>
      </w:r>
    </w:p>
    <w:p>
      <w:pPr>
        <w:spacing w:after="80"/>
      </w:pPr>
      <w:r>
        <w:rPr>
          <w:b w:val="0"/>
          <w:i w:val="0"/>
        </w:rPr>
        <w:t>chi phí SG&amp;A liên quan đến, 70–72</w:t>
      </w:r>
    </w:p>
    <w:p>
      <w:pPr>
        <w:spacing w:after="80"/>
      </w:pPr>
      <w:r>
        <w:rPr>
          <w:b w:val="0"/>
          <w:i w:val="0"/>
        </w:rPr>
        <w:t xml:space="preserve">Chi phí. </w:t>
      </w:r>
      <w:r>
        <w:rPr>
          <w:b w:val="0"/>
          <w:i/>
        </w:rPr>
        <w:t>Xem thêm</w:t>
      </w:r>
      <w:r>
        <w:rPr>
          <w:b w:val="0"/>
          <w:i w:val="0"/>
        </w:rPr>
        <w:t xml:space="preserve"> Chi tiêu vốn; Giá vốn hàng hóa và dịch vụ; Chi phí thu hút thành viên hoãn lại; Chi phí; Chi phí đường truyền; Chi phí hoạt động</w:t>
      </w:r>
    </w:p>
    <w:p>
      <w:pPr>
        <w:spacing w:after="80"/>
      </w:pPr>
      <w:r>
        <w:rPr>
          <w:b w:val="0"/>
          <w:i w:val="0"/>
        </w:rPr>
        <w:t>khấu hao của, 91–95</w:t>
      </w:r>
    </w:p>
    <w:p>
      <w:pPr>
        <w:spacing w:after="80"/>
      </w:pPr>
      <w:r>
        <w:rPr>
          <w:b w:val="0"/>
          <w:i w:val="0"/>
        </w:rPr>
        <w:t>chào mời của AOL, 87</w:t>
      </w:r>
    </w:p>
    <w:p>
      <w:pPr>
        <w:spacing w:after="80"/>
      </w:pPr>
      <w:r>
        <w:rPr>
          <w:b w:val="0"/>
          <w:i w:val="0"/>
        </w:rPr>
        <w:t>các quyền lợi, 83–84</w:t>
      </w:r>
    </w:p>
    <w:p>
      <w:pPr>
        <w:spacing w:after="80"/>
      </w:pPr>
      <w:r>
        <w:rPr>
          <w:b w:val="0"/>
          <w:i w:val="0"/>
        </w:rPr>
        <w:t>như các dạng lai, 90</w:t>
      </w:r>
    </w:p>
    <w:p>
      <w:pPr>
        <w:spacing w:after="80"/>
      </w:pPr>
      <w:r>
        <w:rPr>
          <w:b w:val="0"/>
          <w:i w:val="0"/>
        </w:rPr>
        <w:t>Tổn thất tín dụng, 100–101</w:t>
      </w:r>
    </w:p>
    <w:p>
      <w:pPr>
        <w:spacing w:after="80"/>
      </w:pPr>
      <w:r>
        <w:rPr>
          <w:b w:val="0"/>
          <w:i w:val="0"/>
        </w:rPr>
        <w:t xml:space="preserve">CSIO. </w:t>
      </w:r>
      <w:r>
        <w:rPr>
          <w:b w:val="0"/>
          <w:i/>
        </w:rPr>
        <w:t>Xem</w:t>
      </w:r>
      <w:r>
        <w:rPr>
          <w:b w:val="0"/>
          <w:i w:val="0"/>
        </w:rPr>
        <w:t xml:space="preserve"> Thu nhập hoạt động báo cáo phân khúc hợp nhất</w:t>
      </w:r>
    </w:p>
    <w:p>
      <w:pPr>
        <w:spacing w:after="80"/>
      </w:pPr>
      <w:r>
        <w:rPr>
          <w:b w:val="0"/>
          <w:i w:val="0"/>
        </w:rPr>
        <w:t>CUC International</w:t>
      </w:r>
    </w:p>
    <w:p>
      <w:pPr>
        <w:spacing w:after="80"/>
      </w:pPr>
      <w:r>
        <w:rPr>
          <w:b w:val="0"/>
          <w:i w:val="0"/>
        </w:rPr>
        <w:t>Forbes về, 6–7</w:t>
      </w:r>
    </w:p>
    <w:p>
      <w:pPr>
        <w:spacing w:after="80"/>
      </w:pPr>
      <w:r>
        <w:rPr>
          <w:b w:val="0"/>
          <w:i w:val="0"/>
        </w:rPr>
        <w:t>gian lận bởi, 6–7</w:t>
      </w:r>
    </w:p>
    <w:p>
      <w:pPr>
        <w:spacing w:after="80"/>
      </w:pPr>
      <w:r>
        <w:rPr>
          <w:b w:val="0"/>
          <w:i w:val="0"/>
        </w:rPr>
        <w:t>WorldCom liên quan đến, 8</w:t>
      </w:r>
    </w:p>
    <w:p>
      <w:pPr>
        <w:spacing w:after="80"/>
      </w:pPr>
      <w:r>
        <w:rPr>
          <w:b w:val="0"/>
          <w:i w:val="0"/>
        </w:rPr>
        <w:t>Khách hàng</w:t>
      </w:r>
    </w:p>
    <w:p>
      <w:pPr>
        <w:spacing w:after="80"/>
      </w:pPr>
      <w:r>
        <w:rPr>
          <w:b w:val="0"/>
          <w:i w:val="0"/>
        </w:rPr>
        <w:t>Thúc đẩy CFFO liên quan đến, 186–189</w:t>
      </w:r>
    </w:p>
    <w:p>
      <w:pPr>
        <w:spacing w:after="80"/>
      </w:pPr>
      <w:r>
        <w:rPr>
          <w:b w:val="0"/>
          <w:i w:val="0"/>
        </w:rPr>
        <w:t>tài trợ, 49</w:t>
      </w:r>
    </w:p>
    <w:p>
      <w:pPr>
        <w:spacing w:after="80"/>
      </w:pPr>
      <w:r>
        <w:rPr>
          <w:b w:val="0"/>
          <w:i w:val="0"/>
        </w:rPr>
        <w:t>cho vay, 102</w:t>
      </w:r>
    </w:p>
    <w:p>
      <w:pPr>
        <w:spacing w:after="80"/>
      </w:pPr>
      <w:r>
        <w:rPr>
          <w:b w:val="0"/>
          <w:i w:val="0"/>
        </w:rPr>
        <w:t>Số ngày phải trả (DPO), 184</w:t>
      </w:r>
    </w:p>
    <w:p>
      <w:pPr>
        <w:spacing w:after="80"/>
      </w:pPr>
      <w:r>
        <w:rPr>
          <w:b w:val="0"/>
          <w:i w:val="0"/>
        </w:rPr>
        <w:t>Số ngày bán hàng tồn kho (DSI), 97, 226</w:t>
      </w:r>
    </w:p>
    <w:p>
      <w:pPr>
        <w:spacing w:after="80"/>
      </w:pPr>
      <w:r>
        <w:rPr>
          <w:b w:val="0"/>
          <w:i w:val="0"/>
        </w:rPr>
        <w:t>Số ngày thu tiền bán hàng (DSO)</w:t>
      </w:r>
    </w:p>
    <w:p>
      <w:pPr>
        <w:spacing w:after="80"/>
      </w:pPr>
      <w:r>
        <w:rPr>
          <w:b w:val="0"/>
          <w:i w:val="0"/>
        </w:rPr>
        <w:t>các khoản phải thu liên quan đến, 199</w:t>
      </w:r>
    </w:p>
    <w:p>
      <w:pPr>
        <w:spacing w:after="80"/>
      </w:pPr>
      <w:r>
        <w:rPr>
          <w:b w:val="0"/>
          <w:i w:val="0"/>
        </w:rPr>
        <w:t>CFFO liên quan đến, 221</w:t>
      </w:r>
    </w:p>
    <w:p>
      <w:pPr>
        <w:spacing w:after="80"/>
      </w:pPr>
      <w:r>
        <w:rPr>
          <w:b w:val="0"/>
          <w:i w:val="0"/>
        </w:rPr>
        <w:t>điều khoản thanh toán kéo dài liên quan đến, 50</w:t>
      </w:r>
    </w:p>
    <w:p>
      <w:pPr>
        <w:spacing w:after="80"/>
      </w:pPr>
      <w:r>
        <w:rPr>
          <w:b w:val="0"/>
          <w:i w:val="0"/>
        </w:rPr>
        <w:t>tăng lên, 46</w:t>
      </w:r>
    </w:p>
    <w:p>
      <w:pPr>
        <w:spacing w:after="80"/>
      </w:pPr>
      <w:r>
        <w:rPr>
          <w:b w:val="0"/>
          <w:i w:val="0"/>
        </w:rPr>
        <w:t>nhà đầu tư đo lường, 41, 222, 226</w:t>
      </w:r>
    </w:p>
    <w:p>
      <w:pPr>
        <w:spacing w:after="80"/>
      </w:pPr>
      <w:r>
        <w:rPr>
          <w:b w:val="0"/>
          <w:i w:val="0"/>
        </w:rPr>
        <w:t>các khoản phải thu trong tính toán, 221, 223–224</w:t>
      </w:r>
    </w:p>
    <w:p>
      <w:pPr>
        <w:spacing w:after="80"/>
      </w:pPr>
      <w:r>
        <w:rPr>
          <w:b w:val="0"/>
          <w:i w:val="0"/>
        </w:rPr>
        <w:t>bán các khoản phải thu liên quan đến, 220–221</w:t>
      </w:r>
    </w:p>
    <w:p>
      <w:pPr>
        <w:spacing w:after="80"/>
      </w:pPr>
      <w:r>
        <w:rPr>
          <w:b w:val="0"/>
          <w:i w:val="0"/>
        </w:rPr>
        <w:t>Tellabs Inc. thay đổi cách tính, 224–226</w:t>
      </w:r>
    </w:p>
    <w:p>
      <w:pPr>
        <w:spacing w:after="80"/>
      </w:pPr>
      <w:r>
        <w:rPr>
          <w:b w:val="0"/>
          <w:i w:val="0"/>
        </w:rPr>
        <w:t>Nợ, 229–231</w:t>
      </w:r>
    </w:p>
    <w:p>
      <w:pPr>
        <w:spacing w:after="80"/>
      </w:pPr>
      <w:r>
        <w:rPr>
          <w:b w:val="0"/>
          <w:i w:val="0"/>
        </w:rPr>
        <w:t>Deere &amp; Company, 109–110</w:t>
      </w:r>
    </w:p>
    <w:p>
      <w:pPr>
        <w:spacing w:after="80"/>
      </w:pPr>
      <w:r>
        <w:rPr>
          <w:b w:val="0"/>
          <w:i w:val="0"/>
        </w:rPr>
        <w:t>Chi phí Thu hút Thành viên Hoãn lại (Deferred Membership Acquisition Costs - DMAC), 87–88, 132–134</w:t>
      </w:r>
    </w:p>
    <w:p>
      <w:pPr>
        <w:spacing w:after="80"/>
      </w:pPr>
      <w:r>
        <w:rPr>
          <w:b w:val="0"/>
          <w:i w:val="0"/>
        </w:rPr>
        <w:t xml:space="preserve">Doanh thu hoãn lại, 120–121. </w:t>
      </w:r>
      <w:r>
        <w:rPr>
          <w:b w:val="0"/>
          <w:i/>
        </w:rPr>
        <w:t>Xem thêm</w:t>
      </w:r>
      <w:r>
        <w:rPr>
          <w:b w:val="0"/>
          <w:i w:val="0"/>
        </w:rPr>
        <w:t xml:space="preserve"> Doanh thu chưa kiếm được</w:t>
      </w:r>
    </w:p>
    <w:p>
      <w:pPr>
        <w:spacing w:after="80"/>
      </w:pPr>
      <w:r>
        <w:rPr>
          <w:b w:val="0"/>
          <w:i w:val="0"/>
        </w:rPr>
        <w:t>Dell Computer, 116–118</w:t>
      </w:r>
    </w:p>
    <w:p>
      <w:pPr>
        <w:spacing w:after="80"/>
      </w:pPr>
      <w:r>
        <w:rPr>
          <w:b w:val="0"/>
          <w:i w:val="0"/>
        </w:rPr>
        <w:t>Deloitte &amp; Touche, 23, 230–231</w:t>
      </w:r>
    </w:p>
    <w:p>
      <w:pPr>
        <w:spacing w:after="80"/>
      </w:pPr>
      <w:r>
        <w:rPr>
          <w:b w:val="0"/>
          <w:i w:val="0"/>
        </w:rPr>
        <w:t>Delphi Corporation, 63</w:t>
      </w:r>
    </w:p>
    <w:p>
      <w:pPr>
        <w:spacing w:after="80"/>
      </w:pPr>
      <w:r>
        <w:rPr>
          <w:b w:val="0"/>
          <w:i w:val="0"/>
        </w:rPr>
        <w:t>Bank One liên quan đến, 153–154</w:t>
      </w:r>
    </w:p>
    <w:p>
      <w:pPr>
        <w:spacing w:after="80"/>
      </w:pPr>
      <w:r>
        <w:rPr>
          <w:b w:val="0"/>
          <w:i w:val="0"/>
        </w:rPr>
        <w:t>CFFO cho, 153–155, 213–215</w:t>
      </w:r>
    </w:p>
    <w:p>
      <w:pPr>
        <w:spacing w:after="80"/>
      </w:pPr>
      <w:r>
        <w:rPr>
          <w:b w:val="0"/>
          <w:i w:val="0"/>
        </w:rPr>
        <w:t>gian lận bởi, 155</w:t>
      </w:r>
    </w:p>
    <w:p>
      <w:pPr>
        <w:spacing w:after="80"/>
      </w:pPr>
      <w:r>
        <w:rPr>
          <w:b w:val="0"/>
          <w:i w:val="0"/>
        </w:rPr>
        <w:t xml:space="preserve">Khấu hao. </w:t>
      </w:r>
      <w:r>
        <w:rPr>
          <w:b w:val="0"/>
          <w:i/>
        </w:rPr>
        <w:t>Xem</w:t>
      </w:r>
      <w:r>
        <w:rPr>
          <w:b w:val="0"/>
          <w:i w:val="0"/>
        </w:rPr>
        <w:t xml:space="preserve"> Lợi nhuận trước Lãi vay, Thuế, Khấu hao và Phân bổ</w:t>
      </w:r>
    </w:p>
    <w:p>
      <w:pPr>
        <w:spacing w:after="80"/>
      </w:pPr>
      <w:r>
        <w:rPr>
          <w:b w:val="0"/>
          <w:i w:val="0"/>
        </w:rPr>
        <w:t>Công cụ phái sinh, 124–126</w:t>
      </w:r>
    </w:p>
    <w:p>
      <w:pPr>
        <w:spacing w:after="80"/>
      </w:pPr>
      <w:r>
        <w:rPr>
          <w:b w:val="0"/>
          <w:i w:val="0"/>
        </w:rPr>
        <w:t>Diageo, 179</w:t>
      </w:r>
    </w:p>
    <w:p>
      <w:pPr>
        <w:spacing w:after="80"/>
      </w:pPr>
      <w:r>
        <w:rPr>
          <w:b w:val="0"/>
          <w:i w:val="0"/>
        </w:rPr>
        <w:t>Diamond Foods (DMND), 91</w:t>
      </w:r>
    </w:p>
    <w:p>
      <w:pPr>
        <w:spacing w:after="80"/>
      </w:pPr>
      <w:r>
        <w:rPr>
          <w:b w:val="0"/>
          <w:i w:val="0"/>
        </w:rPr>
        <w:t>Công bố thông tin</w:t>
      </w:r>
    </w:p>
    <w:p>
      <w:pPr>
        <w:spacing w:after="80"/>
      </w:pPr>
      <w:r>
        <w:rPr>
          <w:b w:val="0"/>
          <w:i w:val="0"/>
        </w:rPr>
        <w:t>đối với doanh thu ACS, 264–265</w:t>
      </w:r>
    </w:p>
    <w:p>
      <w:pPr>
        <w:spacing w:after="80"/>
      </w:pPr>
      <w:r>
        <w:rPr>
          <w:b w:val="0"/>
          <w:i w:val="0"/>
        </w:rPr>
        <w:t>cho Biovail Corporation, 178–179</w:t>
      </w:r>
    </w:p>
    <w:p>
      <w:pPr>
        <w:spacing w:after="80"/>
      </w:pPr>
      <w:r>
        <w:rPr>
          <w:b w:val="0"/>
          <w:i w:val="0"/>
        </w:rPr>
        <w:t>cho Cardinal Health, 158</w:t>
      </w:r>
    </w:p>
    <w:p>
      <w:pPr>
        <w:spacing w:after="80"/>
      </w:pPr>
      <w:r>
        <w:rPr>
          <w:b w:val="0"/>
          <w:i w:val="0"/>
        </w:rPr>
        <w:t>về các giao dịch boomerang của Global Crossing, 170–171</w:t>
      </w:r>
    </w:p>
    <w:p>
      <w:pPr>
        <w:spacing w:after="80"/>
      </w:pPr>
      <w:r>
        <w:rPr>
          <w:b w:val="0"/>
          <w:i w:val="0"/>
        </w:rPr>
        <w:t>cho báo cáo tài chính của Hertz, 272–274</w:t>
      </w:r>
    </w:p>
    <w:p>
      <w:pPr>
        <w:spacing w:after="80"/>
      </w:pPr>
      <w:r>
        <w:rPr>
          <w:b w:val="0"/>
          <w:i w:val="0"/>
        </w:rPr>
        <w:t>cho Home Depot, 190</w:t>
      </w:r>
    </w:p>
    <w:p>
      <w:pPr>
        <w:spacing w:after="80"/>
      </w:pPr>
      <w:r>
        <w:rPr>
          <w:b w:val="0"/>
          <w:i w:val="0"/>
        </w:rPr>
        <w:t>các nhà đầu tư đánh giá thương vụ mua lại, 264</w:t>
      </w:r>
    </w:p>
    <w:p>
      <w:pPr>
        <w:spacing w:after="80"/>
      </w:pPr>
      <w:r>
        <w:rPr>
          <w:b w:val="0"/>
          <w:i w:val="0"/>
        </w:rPr>
        <w:t>cho Microsoft, 122–123</w:t>
      </w:r>
    </w:p>
    <w:p>
      <w:pPr>
        <w:spacing w:after="80"/>
      </w:pPr>
      <w:r>
        <w:rPr>
          <w:b w:val="0"/>
          <w:i w:val="0"/>
        </w:rPr>
        <w:t>cho New Century Financial Corp., 228–229</w:t>
      </w:r>
    </w:p>
    <w:p>
      <w:pPr>
        <w:spacing w:after="80"/>
      </w:pPr>
      <w:r>
        <w:rPr>
          <w:b w:val="0"/>
          <w:i w:val="0"/>
        </w:rPr>
        <w:t>cho Openwave Systems, 48–49</w:t>
      </w:r>
    </w:p>
    <w:p>
      <w:pPr>
        <w:spacing w:after="80"/>
      </w:pPr>
      <w:r>
        <w:rPr>
          <w:b w:val="0"/>
          <w:i w:val="0"/>
        </w:rPr>
        <w:t>cho Peregrine Systems, 161–163</w:t>
      </w:r>
    </w:p>
    <w:p>
      <w:pPr>
        <w:spacing w:after="80"/>
      </w:pPr>
      <w:r>
        <w:rPr>
          <w:b w:val="0"/>
          <w:i w:val="0"/>
        </w:rPr>
        <w:t>về các khoản phải thu của CA, 163–164</w:t>
      </w:r>
    </w:p>
    <w:p>
      <w:pPr>
        <w:spacing w:after="80"/>
      </w:pPr>
      <w:r>
        <w:rPr>
          <w:b w:val="0"/>
          <w:i w:val="0"/>
        </w:rPr>
        <w:t>cho Silicon Graphics, 187–188, 191</w:t>
      </w:r>
    </w:p>
    <w:p>
      <w:pPr>
        <w:spacing w:after="80"/>
      </w:pPr>
      <w:r>
        <w:rPr>
          <w:b w:val="0"/>
          <w:i w:val="0"/>
        </w:rPr>
        <w:t>cho Softbank SCF, 259–260</w:t>
      </w:r>
    </w:p>
    <w:p>
      <w:pPr>
        <w:spacing w:after="80"/>
      </w:pPr>
      <w:r>
        <w:rPr>
          <w:b w:val="0"/>
          <w:i w:val="0"/>
        </w:rPr>
        <w:t>cho Sunbeam, 43</w:t>
      </w:r>
    </w:p>
    <w:p>
      <w:pPr>
        <w:spacing w:after="80"/>
      </w:pPr>
      <w:r>
        <w:rPr>
          <w:b w:val="0"/>
          <w:i w:val="0"/>
        </w:rPr>
        <w:t>cho Syntax-Brillian, 61</w:t>
      </w:r>
    </w:p>
    <w:p>
      <w:pPr>
        <w:spacing w:after="80"/>
      </w:pPr>
      <w:r>
        <w:rPr>
          <w:b w:val="0"/>
          <w:i w:val="0"/>
        </w:rPr>
        <w:t>cho Tellabs Inc., 224–226</w:t>
      </w:r>
    </w:p>
    <w:p>
      <w:pPr>
        <w:spacing w:after="80"/>
      </w:pPr>
      <w:r>
        <w:rPr>
          <w:b w:val="0"/>
          <w:i w:val="0"/>
        </w:rPr>
        <w:t>đối với Tenet Healthcare, 261</w:t>
      </w:r>
    </w:p>
    <w:p>
      <w:pPr>
        <w:spacing w:after="80"/>
      </w:pPr>
      <w:r>
        <w:rPr>
          <w:b w:val="0"/>
          <w:i w:val="0"/>
        </w:rPr>
        <w:t>đối với cuộc điều tra kế toán của Toshiba, 275–276</w:t>
      </w:r>
    </w:p>
    <w:p>
      <w:pPr>
        <w:spacing w:after="80"/>
      </w:pPr>
      <w:r>
        <w:rPr>
          <w:b w:val="0"/>
          <w:i w:val="0"/>
        </w:rPr>
        <w:t>đối với Under Armour, 292</w:t>
      </w:r>
    </w:p>
    <w:p>
      <w:pPr>
        <w:spacing w:after="80"/>
      </w:pPr>
      <w:r>
        <w:rPr>
          <w:b w:val="0"/>
          <w:i w:val="0"/>
        </w:rPr>
        <w:t>đối với UTStarcom, 188–189</w:t>
      </w:r>
    </w:p>
    <w:p>
      <w:pPr>
        <w:spacing w:after="80"/>
      </w:pPr>
      <w:r>
        <w:rPr>
          <w:b w:val="0"/>
          <w:i w:val="0"/>
        </w:rPr>
        <w:t>đối với Zoomlion, 164–165</w:t>
      </w:r>
    </w:p>
    <w:p>
      <w:pPr>
        <w:spacing w:after="80"/>
      </w:pPr>
      <w:r>
        <w:rPr>
          <w:b w:val="0"/>
          <w:i w:val="0"/>
        </w:rPr>
        <w:t>Hoạt động đã ngừng, 76, 77</w:t>
      </w:r>
    </w:p>
    <w:p>
      <w:pPr>
        <w:spacing w:after="80"/>
      </w:pPr>
      <w:r>
        <w:rPr>
          <w:b w:val="0"/>
          <w:i w:val="0"/>
        </w:rPr>
        <w:t xml:space="preserve">DMAC. </w:t>
      </w:r>
      <w:r>
        <w:rPr>
          <w:b w:val="0"/>
          <w:i/>
        </w:rPr>
        <w:t>Xem</w:t>
      </w:r>
      <w:r>
        <w:rPr>
          <w:b w:val="0"/>
          <w:i w:val="0"/>
        </w:rPr>
        <w:t xml:space="preserve"> Deferred Membership Acquisition Costs</w:t>
      </w:r>
    </w:p>
    <w:p>
      <w:pPr>
        <w:spacing w:after="80"/>
      </w:pPr>
      <w:r>
        <w:rPr>
          <w:b w:val="0"/>
          <w:i w:val="0"/>
        </w:rPr>
        <w:t xml:space="preserve">DMND. </w:t>
      </w:r>
      <w:r>
        <w:rPr>
          <w:b w:val="0"/>
          <w:i/>
        </w:rPr>
        <w:t>Xem</w:t>
      </w:r>
      <w:r>
        <w:rPr>
          <w:b w:val="0"/>
          <w:i w:val="0"/>
        </w:rPr>
        <w:t xml:space="preserve"> Diamond Foods</w:t>
      </w:r>
    </w:p>
    <w:p>
      <w:pPr>
        <w:spacing w:after="80"/>
      </w:pPr>
      <w:r>
        <w:rPr>
          <w:b w:val="0"/>
          <w:i w:val="0"/>
        </w:rPr>
        <w:t>Douglas, Elyse, 272</w:t>
      </w:r>
    </w:p>
    <w:p>
      <w:pPr>
        <w:spacing w:after="80"/>
      </w:pPr>
      <w:r>
        <w:rPr>
          <w:b w:val="0"/>
          <w:i w:val="0"/>
        </w:rPr>
        <w:t xml:space="preserve">DPO. </w:t>
      </w:r>
      <w:r>
        <w:rPr>
          <w:b w:val="0"/>
          <w:i/>
        </w:rPr>
        <w:t>Xem</w:t>
      </w:r>
      <w:r>
        <w:rPr>
          <w:b w:val="0"/>
          <w:i w:val="0"/>
        </w:rPr>
        <w:t xml:space="preserve"> Days’ payable outstanding</w:t>
      </w:r>
    </w:p>
    <w:p>
      <w:pPr>
        <w:spacing w:after="80"/>
      </w:pPr>
      <w:r>
        <w:rPr>
          <w:b w:val="0"/>
          <w:i w:val="0"/>
        </w:rPr>
        <w:t xml:space="preserve">DSI. </w:t>
      </w:r>
      <w:r>
        <w:rPr>
          <w:b w:val="0"/>
          <w:i/>
        </w:rPr>
        <w:t>Xem</w:t>
      </w:r>
      <w:r>
        <w:rPr>
          <w:b w:val="0"/>
          <w:i w:val="0"/>
        </w:rPr>
        <w:t xml:space="preserve"> Days’ sales of inventory</w:t>
      </w:r>
    </w:p>
    <w:p>
      <w:pPr>
        <w:spacing w:after="80"/>
      </w:pPr>
      <w:r>
        <w:rPr>
          <w:b w:val="0"/>
          <w:i w:val="0"/>
        </w:rPr>
        <w:t xml:space="preserve">DSO. </w:t>
      </w:r>
      <w:r>
        <w:rPr>
          <w:b w:val="0"/>
          <w:i/>
        </w:rPr>
        <w:t>Xem</w:t>
      </w:r>
      <w:r>
        <w:rPr>
          <w:b w:val="0"/>
          <w:i w:val="0"/>
        </w:rPr>
        <w:t xml:space="preserve"> Days sales outstanding</w:t>
      </w:r>
    </w:p>
    <w:p>
      <w:pPr>
        <w:spacing w:after="80"/>
      </w:pPr>
      <w:r>
        <w:rPr>
          <w:b w:val="0"/>
          <w:i w:val="0"/>
        </w:rPr>
        <w:t>Dunkin’ Donuts, 74–75</w:t>
      </w:r>
    </w:p>
    <w:p>
      <w:pPr>
        <w:spacing w:after="80"/>
      </w:pPr>
      <w:r>
        <w:rPr>
          <w:b w:val="0"/>
          <w:i w:val="0"/>
        </w:rPr>
        <w:t>Dunlap, Al, 44</w:t>
      </w:r>
    </w:p>
    <w:p>
      <w:pPr>
        <w:spacing w:after="80"/>
      </w:pPr>
      <w:r>
        <w:rPr>
          <w:b w:val="0"/>
          <w:i w:val="0"/>
        </w:rPr>
        <w:t>CEO của Sunbeam, 42, 43, 114, 136–137</w:t>
      </w:r>
    </w:p>
    <w:p>
      <w:pPr>
        <w:spacing w:after="80"/>
      </w:pPr>
      <w:r>
        <w:rPr>
          <w:b w:val="0"/>
          <w:i w:val="0"/>
        </w:rPr>
        <w:t>câu chuyện về ông, 136–137</w:t>
      </w:r>
    </w:p>
    <w:p>
      <w:pPr>
        <w:spacing w:after="80"/>
      </w:pPr>
      <w:r>
        <w:rPr>
          <w:b w:val="0"/>
          <w:i w:val="0"/>
        </w:rPr>
        <w:t>Các đại diện thay thế cho lợi nhuận, 196</w:t>
      </w:r>
    </w:p>
    <w:p>
      <w:pPr>
        <w:spacing w:after="80"/>
      </w:pPr>
      <w:r>
        <w:rPr>
          <w:b w:val="0"/>
          <w:i w:val="0"/>
        </w:rPr>
        <w:t>các chỉ số gây hiểu lầm như, 208–212</w:t>
      </w:r>
    </w:p>
    <w:p>
      <w:pPr>
        <w:spacing w:after="80"/>
      </w:pPr>
      <w:r>
        <w:rPr>
          <w:b w:val="0"/>
          <w:i w:val="0"/>
        </w:rPr>
        <w:t>như các chỉ số hiệu suất, 197</w:t>
      </w:r>
    </w:p>
    <w:p>
      <w:pPr>
        <w:spacing w:after="80"/>
      </w:pPr>
      <w:r>
        <w:rPr>
          <w:b w:val="0"/>
          <w:i w:val="0"/>
        </w:rPr>
        <w:t xml:space="preserve">Lợi nhuận, 241. </w:t>
      </w:r>
      <w:r>
        <w:rPr>
          <w:b w:val="0"/>
          <w:i/>
        </w:rPr>
        <w:t>Xem thêm</w:t>
      </w:r>
      <w:r>
        <w:rPr>
          <w:b w:val="0"/>
          <w:i w:val="0"/>
        </w:rPr>
        <w:t xml:space="preserve"> Các đại diện thay thế cho lợi nhuận; Thao túng lợi nhuận</w:t>
      </w:r>
    </w:p>
    <w:p>
      <w:pPr>
        <w:spacing w:after="80"/>
      </w:pPr>
      <w:r>
        <w:rPr>
          <w:b w:val="0"/>
          <w:i w:val="0"/>
        </w:rPr>
        <w:t>Lợi nhuận trước lãi vay, thuế, khấu hao và phân bổ (EBITDA), 16</w:t>
      </w:r>
    </w:p>
    <w:p>
      <w:pPr>
        <w:spacing w:after="80"/>
      </w:pPr>
      <w:r>
        <w:rPr>
          <w:b w:val="0"/>
          <w:i w:val="0"/>
        </w:rPr>
        <w:t>đối với Global Crossing, 170–171, 208–209</w:t>
      </w:r>
    </w:p>
    <w:p>
      <w:pPr>
        <w:spacing w:after="80"/>
      </w:pPr>
      <w:r>
        <w:rPr>
          <w:b w:val="0"/>
          <w:i w:val="0"/>
        </w:rPr>
        <w:t>đối với Linn Energy, 216–217</w:t>
      </w:r>
    </w:p>
    <w:p>
      <w:pPr>
        <w:spacing w:after="80"/>
      </w:pPr>
      <w:r>
        <w:rPr>
          <w:b w:val="0"/>
          <w:i w:val="0"/>
        </w:rPr>
        <w:t>Sabre Corporation thổi phồng, 210</w:t>
      </w:r>
    </w:p>
    <w:p>
      <w:pPr>
        <w:spacing w:after="80"/>
      </w:pPr>
      <w:r>
        <w:rPr>
          <w:b w:val="0"/>
          <w:i w:val="0"/>
        </w:rPr>
        <w:t>SCF trong mối quan hệ với, 212–213</w:t>
      </w:r>
    </w:p>
    <w:p>
      <w:pPr>
        <w:spacing w:after="80"/>
      </w:pPr>
      <w:r>
        <w:rPr>
          <w:b w:val="0"/>
          <w:i w:val="0"/>
        </w:rPr>
        <w:t>đối với Spansion, 209–210</w:t>
      </w:r>
    </w:p>
    <w:p>
      <w:pPr>
        <w:spacing w:after="80"/>
      </w:pPr>
      <w:r>
        <w:rPr>
          <w:b w:val="0"/>
          <w:i w:val="0"/>
        </w:rPr>
        <w:t>Thao túng lợi nhuận (EM), 142, 194</w:t>
      </w:r>
    </w:p>
    <w:p>
      <w:pPr>
        <w:spacing w:after="80"/>
      </w:pPr>
      <w:r>
        <w:rPr>
          <w:b w:val="0"/>
          <w:i w:val="0"/>
        </w:rPr>
        <w:t>các danh mục được xác định, 14–15, 28</w:t>
      </w:r>
    </w:p>
    <w:p>
      <w:pPr>
        <w:spacing w:after="80"/>
      </w:pPr>
      <w:r>
        <w:rPr>
          <w:b w:val="0"/>
          <w:i w:val="0"/>
        </w:rPr>
        <w:t>thổi phồng lợi nhuận kỳ hiện tại như, 28–29</w:t>
      </w:r>
    </w:p>
    <w:p>
      <w:pPr>
        <w:spacing w:after="80"/>
      </w:pPr>
      <w:r>
        <w:rPr>
          <w:b w:val="0"/>
          <w:i w:val="0"/>
        </w:rPr>
        <w:t>thổi phồng lợi nhuận kỳ tương lai như, 29</w:t>
      </w:r>
    </w:p>
    <w:p>
      <w:pPr>
        <w:spacing w:after="80"/>
      </w:pPr>
      <w:r>
        <w:rPr>
          <w:b w:val="0"/>
          <w:i w:val="0"/>
        </w:rPr>
        <w:t>bởi Olympus Corp., 237</w:t>
      </w:r>
    </w:p>
    <w:p>
      <w:pPr>
        <w:spacing w:after="80"/>
      </w:pPr>
      <w:r>
        <w:rPr>
          <w:b w:val="0"/>
          <w:i w:val="0"/>
        </w:rPr>
        <w:t>Ebbers, Bernie, 10</w:t>
      </w:r>
    </w:p>
    <w:p>
      <w:pPr>
        <w:spacing w:after="80"/>
      </w:pPr>
      <w:r>
        <w:rPr>
          <w:b w:val="0"/>
          <w:i w:val="0"/>
        </w:rPr>
        <w:t xml:space="preserve">EBITDA. </w:t>
      </w:r>
      <w:r>
        <w:rPr>
          <w:b w:val="0"/>
          <w:i/>
        </w:rPr>
        <w:t>Xem</w:t>
      </w:r>
      <w:r>
        <w:rPr>
          <w:b w:val="0"/>
          <w:i w:val="0"/>
        </w:rPr>
        <w:t xml:space="preserve"> Lợi nhuận trước lãi vay, thuế, khấu hao và phân bổ</w:t>
      </w:r>
    </w:p>
    <w:p>
      <w:pPr>
        <w:spacing w:after="80"/>
      </w:pPr>
      <w:r>
        <w:rPr>
          <w:b w:val="0"/>
          <w:i w:val="0"/>
        </w:rPr>
        <w:t>Thương mại điện tử, 65, 66–67</w:t>
      </w:r>
    </w:p>
    <w:p>
      <w:pPr>
        <w:spacing w:after="80"/>
      </w:pPr>
      <w:r>
        <w:rPr>
          <w:b w:val="0"/>
          <w:i w:val="0"/>
        </w:rPr>
        <w:t>Các chỉ số sức khỏe kinh tế</w:t>
      </w:r>
    </w:p>
    <w:p>
      <w:pPr>
        <w:spacing w:after="80"/>
      </w:pPr>
      <w:r>
        <w:rPr>
          <w:b w:val="0"/>
          <w:i w:val="0"/>
        </w:rPr>
        <w:t>các danh mục, 198</w:t>
      </w:r>
    </w:p>
    <w:p>
      <w:pPr>
        <w:spacing w:after="80"/>
      </w:pPr>
      <w:r>
        <w:rPr>
          <w:b w:val="0"/>
          <w:i w:val="0"/>
        </w:rPr>
        <w:t>đánh giá về, 195–196</w:t>
      </w:r>
    </w:p>
    <w:p>
      <w:pPr>
        <w:spacing w:after="80"/>
      </w:pPr>
      <w:r>
        <w:rPr>
          <w:b w:val="0"/>
          <w:i w:val="0"/>
        </w:rPr>
        <w:t xml:space="preserve">EM. </w:t>
      </w:r>
      <w:r>
        <w:rPr>
          <w:b w:val="0"/>
          <w:i/>
        </w:rPr>
        <w:t>Xem</w:t>
      </w:r>
      <w:r>
        <w:rPr>
          <w:b w:val="0"/>
          <w:i w:val="0"/>
        </w:rPr>
        <w:t xml:space="preserve"> Thao túng lợi nhuận</w:t>
      </w:r>
    </w:p>
    <w:p>
      <w:pPr>
        <w:spacing w:after="80"/>
      </w:pPr>
      <w:r>
        <w:rPr>
          <w:b w:val="0"/>
          <w:i w:val="0"/>
        </w:rPr>
        <w:t>Enron, 11, 288</w:t>
      </w:r>
    </w:p>
    <w:p>
      <w:pPr>
        <w:spacing w:after="80"/>
      </w:pPr>
      <w:r>
        <w:rPr>
          <w:b w:val="0"/>
          <w:i w:val="0"/>
        </w:rPr>
        <w:t>Bảng cân đối kế toán cho các liên doanh với, 80–81</w:t>
      </w:r>
    </w:p>
    <w:p>
      <w:pPr>
        <w:spacing w:after="80"/>
      </w:pPr>
      <w:r>
        <w:rPr>
          <w:b w:val="0"/>
          <w:i w:val="0"/>
        </w:rPr>
        <w:t>Fastow của, 65</w:t>
      </w:r>
    </w:p>
    <w:p>
      <w:pPr>
        <w:spacing w:after="80"/>
      </w:pPr>
      <w:r>
        <w:rPr>
          <w:b w:val="0"/>
          <w:i w:val="0"/>
        </w:rPr>
        <w:t>gian lận bởi, 7–8, 65</w:t>
      </w:r>
    </w:p>
    <w:p>
      <w:pPr>
        <w:spacing w:after="80"/>
      </w:pPr>
      <w:r>
        <w:rPr>
          <w:b w:val="0"/>
          <w:i w:val="0"/>
        </w:rPr>
        <w:t>thổi phồng CFFO bởi, 155–156</w:t>
      </w:r>
    </w:p>
    <w:p>
      <w:pPr>
        <w:spacing w:after="80"/>
      </w:pPr>
      <w:r>
        <w:rPr>
          <w:b w:val="0"/>
          <w:i w:val="0"/>
        </w:rPr>
        <w:t>thanh khoản liên quan đến, 199–200</w:t>
      </w:r>
    </w:p>
    <w:p>
      <w:pPr>
        <w:spacing w:after="80"/>
      </w:pPr>
      <w:r>
        <w:rPr>
          <w:b w:val="0"/>
          <w:i w:val="0"/>
        </w:rPr>
        <w:t>Enron (</w:t>
      </w:r>
      <w:r>
        <w:rPr>
          <w:b w:val="0"/>
          <w:i/>
        </w:rPr>
        <w:t>tiếp theo</w:t>
      </w:r>
      <w:r>
        <w:rPr>
          <w:b w:val="0"/>
          <w:i w:val="0"/>
        </w:rPr>
        <w:t>)</w:t>
      </w:r>
    </w:p>
    <w:p>
      <w:pPr>
        <w:spacing w:after="80"/>
      </w:pPr>
      <w:r>
        <w:rPr>
          <w:b w:val="0"/>
          <w:i w:val="0"/>
        </w:rPr>
        <w:t>phương pháp luận của, 64–65</w:t>
      </w:r>
    </w:p>
    <w:p>
      <w:pPr>
        <w:spacing w:after="80"/>
      </w:pPr>
      <w:r>
        <w:rPr>
          <w:b w:val="0"/>
          <w:i w:val="0"/>
        </w:rPr>
        <w:t>Parmalat Finanziaria SpA so với, 23</w:t>
      </w:r>
    </w:p>
    <w:p>
      <w:pPr>
        <w:spacing w:after="80"/>
      </w:pPr>
      <w:r>
        <w:rPr>
          <w:b w:val="0"/>
          <w:i w:val="0"/>
        </w:rPr>
        <w:t>Satyam so với, 24</w:t>
      </w:r>
    </w:p>
    <w:p>
      <w:pPr>
        <w:spacing w:after="80"/>
      </w:pPr>
      <w:r>
        <w:rPr>
          <w:b w:val="0"/>
          <w:i w:val="0"/>
        </w:rPr>
        <w:t>Wall Street liên quan đến, 123</w:t>
      </w:r>
    </w:p>
    <w:p>
      <w:pPr>
        <w:spacing w:after="80"/>
      </w:pPr>
      <w:r>
        <w:rPr>
          <w:b w:val="0"/>
          <w:i w:val="0"/>
        </w:rPr>
        <w:t>Epicurum, 230–231</w:t>
      </w:r>
    </w:p>
    <w:p>
      <w:pPr>
        <w:spacing w:after="80"/>
      </w:pPr>
      <w:r>
        <w:rPr>
          <w:b w:val="0"/>
          <w:i w:val="0"/>
        </w:rPr>
        <w:t>Ernst &amp; Young, 7, 279</w:t>
      </w:r>
    </w:p>
    <w:p>
      <w:pPr>
        <w:spacing w:after="80"/>
      </w:pPr>
      <w:r>
        <w:rPr>
          <w:b w:val="0"/>
          <w:i w:val="0"/>
        </w:rPr>
        <w:t>Exchange Applications, 35</w:t>
      </w:r>
    </w:p>
    <w:p>
      <w:pPr>
        <w:spacing w:after="80"/>
      </w:pPr>
      <w:r>
        <w:rPr>
          <w:b w:val="0"/>
          <w:i w:val="0"/>
        </w:rPr>
        <w:t xml:space="preserve">Các khoản chi tiêu. </w:t>
      </w:r>
      <w:r>
        <w:rPr>
          <w:b w:val="0"/>
          <w:i/>
        </w:rPr>
        <w:t>Xem</w:t>
      </w:r>
      <w:r>
        <w:rPr>
          <w:b w:val="0"/>
          <w:i w:val="0"/>
        </w:rPr>
        <w:t xml:space="preserve"> Chi tiêu vốn</w:t>
      </w:r>
    </w:p>
    <w:p>
      <w:pPr>
        <w:spacing w:after="80"/>
      </w:pPr>
      <w:r>
        <w:rPr>
          <w:b w:val="0"/>
          <w:i w:val="0"/>
        </w:rPr>
        <w:t xml:space="preserve">Chi phí, 131. </w:t>
      </w:r>
      <w:r>
        <w:rPr>
          <w:b w:val="0"/>
          <w:i/>
        </w:rPr>
        <w:t>Xem thêm</w:t>
      </w:r>
      <w:r>
        <w:rPr>
          <w:b w:val="0"/>
          <w:i w:val="0"/>
        </w:rPr>
        <w:t xml:space="preserve"> Chi phí bán hàng, chi phí chung và chi phí quản lý</w:t>
      </w:r>
    </w:p>
    <w:p>
      <w:pPr>
        <w:spacing w:after="80"/>
      </w:pPr>
      <w:r>
        <w:rPr>
          <w:b w:val="0"/>
          <w:i w:val="0"/>
        </w:rPr>
        <w:t>tài sản so với, 84–85, 92</w:t>
      </w:r>
    </w:p>
    <w:p>
      <w:pPr>
        <w:spacing w:after="80"/>
      </w:pPr>
      <w:r>
        <w:rPr>
          <w:b w:val="0"/>
          <w:i w:val="0"/>
        </w:rPr>
        <w:t>tài sản liên quan đến việc ghi nhận, 98–103</w:t>
      </w:r>
    </w:p>
    <w:p>
      <w:pPr>
        <w:spacing w:after="80"/>
      </w:pPr>
      <w:r>
        <w:rPr>
          <w:b w:val="0"/>
          <w:i w:val="0"/>
        </w:rPr>
        <w:t>tài sản được xóa sổ để tránh phát sinh trong tương lai, 132–138</w:t>
      </w:r>
    </w:p>
    <w:p>
      <w:pPr>
        <w:spacing w:after="80"/>
      </w:pPr>
      <w:r>
        <w:rPr>
          <w:b w:val="0"/>
          <w:i w:val="0"/>
        </w:rPr>
        <w:t>như chi tiêu vốn, 217, 218</w:t>
      </w:r>
    </w:p>
    <w:p>
      <w:pPr>
        <w:spacing w:after="80"/>
      </w:pPr>
      <w:r>
        <w:rPr>
          <w:b w:val="0"/>
          <w:i w:val="0"/>
        </w:rPr>
        <w:t>vốn hóa vượt quá hoạt động, 84–91</w:t>
      </w:r>
    </w:p>
    <w:p>
      <w:pPr>
        <w:spacing w:after="80"/>
      </w:pPr>
      <w:r>
        <w:rPr>
          <w:b w:val="0"/>
          <w:i w:val="0"/>
        </w:rPr>
        <w:t>hàng tồn kho lỗi thời, 96–97, 99</w:t>
      </w:r>
    </w:p>
    <w:p>
      <w:pPr>
        <w:spacing w:after="80"/>
      </w:pPr>
      <w:r>
        <w:rPr>
          <w:b w:val="0"/>
          <w:i w:val="0"/>
        </w:rPr>
        <w:t>ghi nhận các khoản phí vào dự phòng để giảm bớt, 138–142</w:t>
      </w:r>
    </w:p>
    <w:p>
      <w:pPr>
        <w:spacing w:after="80"/>
      </w:pPr>
      <w:r>
        <w:rPr>
          <w:b w:val="0"/>
          <w:i w:val="0"/>
        </w:rPr>
        <w:t>ghi nhận từ giao dịch hiện tại, 106–109</w:t>
      </w:r>
    </w:p>
    <w:p>
      <w:pPr>
        <w:spacing w:after="80"/>
      </w:pPr>
      <w:r>
        <w:rPr>
          <w:b w:val="0"/>
          <w:i w:val="0"/>
        </w:rPr>
        <w:t>ghi nhận với các giả định kế toán, 109–112</w:t>
      </w:r>
    </w:p>
    <w:p>
      <w:pPr>
        <w:spacing w:after="80"/>
      </w:pPr>
      <w:r>
        <w:rPr>
          <w:b w:val="0"/>
          <w:i w:val="0"/>
        </w:rPr>
        <w:t>dự phòng được hoàn nhập để giảm bớt, 112–118</w:t>
      </w:r>
    </w:p>
    <w:p>
      <w:pPr>
        <w:spacing w:after="80"/>
      </w:pPr>
      <w:r>
        <w:rPr>
          <w:b w:val="0"/>
          <w:i w:val="0"/>
        </w:rPr>
        <w:t>dịch chuyển, dưới dòng, 75–76</w:t>
      </w:r>
    </w:p>
    <w:p>
      <w:pPr>
        <w:spacing w:after="80"/>
      </w:pPr>
      <w:r>
        <w:rPr>
          <w:b w:val="0"/>
          <w:i w:val="0"/>
        </w:rPr>
        <w:t>các kỹ thuật dịch chuyển dòng tiền hiện tại sang kỳ sau, 84</w:t>
      </w:r>
    </w:p>
    <w:p>
      <w:pPr>
        <w:spacing w:after="80"/>
      </w:pPr>
      <w:r>
        <w:rPr>
          <w:b w:val="0"/>
          <w:i w:val="0"/>
        </w:rPr>
        <w:t>các kỹ thuật dịch chuyển tương lai về kỳ trước, 132</w:t>
      </w:r>
    </w:p>
    <w:p>
      <w:pPr>
        <w:spacing w:after="80"/>
      </w:pPr>
      <w:r>
        <w:rPr>
          <w:b w:val="0"/>
          <w:i w:val="0"/>
        </w:rPr>
        <w:t>các kỹ thuật che giấu khoản lỗ hoặc, 106</w:t>
      </w:r>
    </w:p>
    <w:p>
      <w:pPr>
        <w:spacing w:after="80"/>
      </w:pPr>
      <w:r>
        <w:rPr>
          <w:b w:val="0"/>
          <w:i w:val="0"/>
        </w:rPr>
        <w:t>Điều khoản thanh toán mở rộng</w:t>
      </w:r>
    </w:p>
    <w:p>
      <w:pPr>
        <w:spacing w:after="80"/>
      </w:pPr>
      <w:r>
        <w:rPr>
          <w:b w:val="0"/>
          <w:i w:val="0"/>
        </w:rPr>
        <w:t>bởi Fitbit, 50–51</w:t>
      </w:r>
    </w:p>
    <w:p>
      <w:pPr>
        <w:spacing w:after="80"/>
      </w:pPr>
      <w:r>
        <w:rPr>
          <w:b w:val="0"/>
          <w:i w:val="0"/>
        </w:rPr>
        <w:t>nhà đầu tư cần thận trọng về, 49–50</w:t>
      </w:r>
    </w:p>
    <w:p>
      <w:pPr>
        <w:spacing w:after="80"/>
      </w:pPr>
      <w:r>
        <w:rPr>
          <w:b w:val="0"/>
          <w:i w:val="0"/>
        </w:rPr>
        <w:t>Bao thanh toán (Factoring), 157</w:t>
      </w:r>
    </w:p>
    <w:p>
      <w:pPr>
        <w:spacing w:after="80"/>
      </w:pPr>
      <w:r>
        <w:rPr>
          <w:b w:val="0"/>
          <w:i w:val="0"/>
        </w:rPr>
        <w:t xml:space="preserve">Các yếu tố. </w:t>
      </w:r>
      <w:r>
        <w:rPr>
          <w:b w:val="0"/>
          <w:i/>
        </w:rPr>
        <w:t>Xem</w:t>
      </w:r>
      <w:r>
        <w:rPr>
          <w:b w:val="0"/>
          <w:i w:val="0"/>
        </w:rPr>
        <w:t xml:space="preserve"> Yếu tố rủi ro</w:t>
      </w:r>
    </w:p>
    <w:p>
      <w:pPr>
        <w:spacing w:after="80"/>
      </w:pPr>
      <w:r>
        <w:rPr>
          <w:b w:val="0"/>
          <w:i w:val="0"/>
        </w:rPr>
        <w:t>Fastow, Andrew, 65</w:t>
      </w:r>
    </w:p>
    <w:p>
      <w:pPr>
        <w:spacing w:after="80"/>
      </w:pPr>
      <w:r>
        <w:rPr>
          <w:b w:val="0"/>
          <w:i w:val="0"/>
        </w:rPr>
        <w:t>Đạo luật Đóng góp Bảo hiểm Liên bang (FICA), 106–107</w:t>
      </w:r>
    </w:p>
    <w:p>
      <w:pPr>
        <w:spacing w:after="80"/>
      </w:pPr>
      <w:r>
        <w:rPr>
          <w:b w:val="0"/>
          <w:i w:val="0"/>
        </w:rPr>
        <w:t>Ferris, Richard, 235</w:t>
      </w:r>
    </w:p>
    <w:p>
      <w:pPr>
        <w:spacing w:after="80"/>
      </w:pPr>
      <w:r>
        <w:rPr>
          <w:b w:val="0"/>
          <w:i w:val="0"/>
        </w:rPr>
        <w:t xml:space="preserve">FICA. </w:t>
      </w:r>
      <w:r>
        <w:rPr>
          <w:b w:val="0"/>
          <w:i/>
        </w:rPr>
        <w:t>Xem</w:t>
      </w:r>
      <w:r>
        <w:rPr>
          <w:b w:val="0"/>
          <w:i w:val="0"/>
        </w:rPr>
        <w:t xml:space="preserve"> Đạo luật Đóng góp Bảo hiểm Liên bang</w:t>
      </w:r>
    </w:p>
    <w:p>
      <w:pPr>
        <w:spacing w:after="80"/>
      </w:pPr>
      <w:r>
        <w:rPr>
          <w:b w:val="0"/>
          <w:i w:val="0"/>
        </w:rPr>
        <w:t>Hoạt động tài chính</w:t>
      </w:r>
    </w:p>
    <w:p>
      <w:pPr>
        <w:spacing w:after="80"/>
      </w:pPr>
      <w:r>
        <w:rPr>
          <w:b w:val="0"/>
          <w:i w:val="0"/>
        </w:rPr>
        <w:t>các khoản phải trả liên quan đến, 185–186</w:t>
      </w:r>
    </w:p>
    <w:p>
      <w:pPr>
        <w:spacing w:after="80"/>
      </w:pPr>
      <w:r>
        <w:rPr>
          <w:b w:val="0"/>
          <w:i w:val="0"/>
        </w:rPr>
        <w:t>dòng tiền vào cho, 147, 149, 152, 168, 251, 259</w:t>
      </w:r>
    </w:p>
    <w:p>
      <w:pPr>
        <w:spacing w:after="80"/>
      </w:pPr>
      <w:r>
        <w:rPr>
          <w:b w:val="0"/>
          <w:i w:val="0"/>
        </w:rPr>
        <w:t>dòng tiền ra cho, 147, 149, 152, 168, 251, 259</w:t>
      </w:r>
    </w:p>
    <w:p>
      <w:pPr>
        <w:spacing w:after="80"/>
      </w:pPr>
      <w:r>
        <w:rPr>
          <w:b w:val="0"/>
          <w:i w:val="0"/>
        </w:rPr>
        <w:t xml:space="preserve">Báo cáo tài chính. </w:t>
      </w:r>
      <w:r>
        <w:rPr>
          <w:b w:val="0"/>
          <w:i/>
        </w:rPr>
        <w:t>Xem thêm</w:t>
      </w:r>
      <w:r>
        <w:rPr>
          <w:b w:val="0"/>
          <w:i w:val="0"/>
        </w:rPr>
        <w:t xml:space="preserve"> Báo cáo tài chính</w:t>
      </w:r>
    </w:p>
    <w:p>
      <w:pPr>
        <w:spacing w:after="80"/>
      </w:pPr>
      <w:r>
        <w:rPr>
          <w:b w:val="0"/>
          <w:i w:val="0"/>
        </w:rPr>
        <w:t>đánh giá của nhà đầu tư về, 195</w:t>
      </w:r>
    </w:p>
    <w:p>
      <w:pPr>
        <w:spacing w:after="80"/>
      </w:pPr>
      <w:r>
        <w:rPr>
          <w:b w:val="0"/>
          <w:i w:val="0"/>
        </w:rPr>
        <w:t>cho MSTR, 33–34</w:t>
      </w:r>
    </w:p>
    <w:p>
      <w:pPr>
        <w:spacing w:after="80"/>
      </w:pPr>
      <w:r>
        <w:rPr>
          <w:b w:val="0"/>
          <w:i w:val="0"/>
        </w:rPr>
        <w:t>Việc trình bày lại báo cáo tài chính</w:t>
      </w:r>
    </w:p>
    <w:p>
      <w:pPr>
        <w:spacing w:after="80"/>
      </w:pPr>
      <w:r>
        <w:rPr>
          <w:b w:val="0"/>
          <w:i w:val="0"/>
        </w:rPr>
        <w:t>cho Hertz, 273–274, 289–290</w:t>
      </w:r>
    </w:p>
    <w:p>
      <w:pPr>
        <w:spacing w:after="80"/>
      </w:pPr>
      <w:r>
        <w:rPr>
          <w:b w:val="0"/>
          <w:i w:val="0"/>
        </w:rPr>
        <w:t>Salix Pharmaceuticals liên quan đến vấn đề này, 283–284</w:t>
      </w:r>
    </w:p>
    <w:p>
      <w:pPr>
        <w:spacing w:after="80"/>
      </w:pPr>
      <w:r>
        <w:rPr>
          <w:b w:val="0"/>
          <w:i w:val="0"/>
        </w:rPr>
        <w:t>cho Toshiba, 276</w:t>
      </w:r>
    </w:p>
    <w:p>
      <w:pPr>
        <w:spacing w:after="80"/>
      </w:pPr>
      <w:r>
        <w:rPr>
          <w:b w:val="0"/>
          <w:i w:val="0"/>
        </w:rPr>
        <w:t xml:space="preserve">Phần tài chính. </w:t>
      </w:r>
      <w:r>
        <w:rPr>
          <w:b w:val="0"/>
          <w:i/>
        </w:rPr>
        <w:t>Xem</w:t>
      </w:r>
      <w:r>
        <w:rPr>
          <w:b w:val="0"/>
          <w:i w:val="0"/>
        </w:rPr>
        <w:t xml:space="preserve"> Hoạt động tài chính</w:t>
      </w:r>
    </w:p>
    <w:p>
      <w:pPr>
        <w:spacing w:after="80"/>
      </w:pPr>
      <w:r>
        <w:rPr>
          <w:b w:val="0"/>
          <w:i w:val="0"/>
        </w:rPr>
        <w:t xml:space="preserve">Các thủ thuật tài chính. </w:t>
      </w:r>
      <w:r>
        <w:rPr>
          <w:b w:val="0"/>
          <w:i/>
        </w:rPr>
        <w:t>Xem thêm</w:t>
      </w:r>
      <w:r>
        <w:rPr>
          <w:b w:val="0"/>
          <w:i w:val="0"/>
        </w:rPr>
        <w:t xml:space="preserve"> các chủ đề cụ thể</w:t>
      </w:r>
    </w:p>
    <w:p>
      <w:pPr>
        <w:spacing w:after="80"/>
      </w:pPr>
      <w:r>
        <w:rPr>
          <w:b w:val="0"/>
          <w:i w:val="0"/>
        </w:rPr>
        <w:t>được định nghĩa, 14</w:t>
      </w:r>
    </w:p>
    <w:p>
      <w:pPr>
        <w:spacing w:after="80"/>
      </w:pPr>
      <w:r>
        <w:rPr>
          <w:b w:val="0"/>
          <w:i w:val="0"/>
        </w:rPr>
        <w:t>các loại, 14–16</w:t>
      </w:r>
    </w:p>
    <w:p>
      <w:pPr>
        <w:spacing w:after="80"/>
      </w:pPr>
      <w:r>
        <w:rPr>
          <w:b w:val="0"/>
          <w:i w:val="0"/>
        </w:rPr>
        <w:t xml:space="preserve">Báo cáo tài chính, 17–18. </w:t>
      </w:r>
      <w:r>
        <w:rPr>
          <w:b w:val="0"/>
          <w:i/>
        </w:rPr>
        <w:t>Xem thêm</w:t>
      </w:r>
      <w:r>
        <w:rPr>
          <w:b w:val="0"/>
          <w:i w:val="0"/>
        </w:rPr>
        <w:t xml:space="preserve"> Bảng cân đối kế toán; Việc trình bày lại báo cáo tài chính; Báo cáo kết quả hoạt động kinh doanh; Báo cáo lưu chuyển tiền tệ</w:t>
      </w:r>
    </w:p>
    <w:p>
      <w:pPr>
        <w:spacing w:after="80"/>
      </w:pPr>
      <w:r>
        <w:rPr>
          <w:b w:val="0"/>
          <w:i w:val="0"/>
        </w:rPr>
        <w:t>AA làm sai lệch, 239</w:t>
      </w:r>
    </w:p>
    <w:p>
      <w:pPr>
        <w:spacing w:after="80"/>
      </w:pPr>
      <w:r>
        <w:rPr>
          <w:b w:val="0"/>
          <w:i w:val="0"/>
        </w:rPr>
        <w:t>công bố thông tin cho Hertz, 272–274</w:t>
      </w:r>
    </w:p>
    <w:p>
      <w:pPr>
        <w:spacing w:after="80"/>
      </w:pPr>
      <w:r>
        <w:rPr>
          <w:b w:val="0"/>
          <w:i w:val="0"/>
        </w:rPr>
        <w:t>các yếu tố then chốt của nhà đầu tư để giải thích, 287–295</w:t>
      </w:r>
    </w:p>
    <w:p>
      <w:pPr>
        <w:spacing w:after="80"/>
      </w:pPr>
      <w:r>
        <w:rPr>
          <w:b w:val="0"/>
          <w:i w:val="0"/>
        </w:rPr>
        <w:t>Bảo hiểm hữu hạn, 54–56</w:t>
      </w:r>
    </w:p>
    <w:p>
      <w:pPr>
        <w:spacing w:after="80"/>
      </w:pPr>
      <w:r>
        <w:rPr>
          <w:b w:val="0"/>
          <w:i w:val="0"/>
        </w:rPr>
        <w:t>First Solar (FSLR)</w:t>
      </w:r>
    </w:p>
    <w:p>
      <w:pPr>
        <w:spacing w:after="80"/>
      </w:pPr>
      <w:r>
        <w:rPr>
          <w:b w:val="0"/>
          <w:i w:val="0"/>
        </w:rPr>
        <w:t>đơn đặt hàng cho, 207–208</w:t>
      </w:r>
    </w:p>
    <w:p>
      <w:pPr>
        <w:spacing w:after="80"/>
      </w:pPr>
      <w:r>
        <w:rPr>
          <w:b w:val="0"/>
          <w:i w:val="0"/>
        </w:rPr>
        <w:t>các nhà đầu tư liên quan đến, 39–40</w:t>
      </w:r>
    </w:p>
    <w:p>
      <w:pPr>
        <w:spacing w:after="80"/>
      </w:pPr>
      <w:r>
        <w:rPr>
          <w:b w:val="0"/>
          <w:i w:val="0"/>
        </w:rPr>
        <w:t>Fitbit, 50–51</w:t>
      </w:r>
    </w:p>
    <w:p>
      <w:pPr>
        <w:spacing w:after="80"/>
      </w:pPr>
      <w:r>
        <w:rPr>
          <w:b w:val="0"/>
          <w:i w:val="0"/>
        </w:rPr>
        <w:t>Forbes, Walter, 6–7</w:t>
      </w:r>
    </w:p>
    <w:p>
      <w:pPr>
        <w:spacing w:after="80"/>
      </w:pPr>
      <w:r>
        <w:rPr>
          <w:b w:val="0"/>
          <w:i w:val="0"/>
        </w:rPr>
        <w:t xml:space="preserve">tạp chí </w:t>
      </w:r>
      <w:r>
        <w:rPr>
          <w:b w:val="0"/>
          <w:i/>
        </w:rPr>
        <w:t>Forbes</w:t>
      </w:r>
      <w:r>
        <w:rPr>
          <w:b w:val="0"/>
          <w:i w:val="0"/>
        </w:rPr>
        <w:t>, 34</w:t>
      </w:r>
    </w:p>
    <w:p>
      <w:pPr>
        <w:spacing w:after="80"/>
      </w:pPr>
      <w:r>
        <w:rPr>
          <w:b w:val="0"/>
          <w:i w:val="0"/>
        </w:rPr>
        <w:t>Foundation Health, 245–246</w:t>
      </w:r>
    </w:p>
    <w:p>
      <w:pPr>
        <w:spacing w:after="80"/>
      </w:pPr>
      <w:r>
        <w:rPr>
          <w:b w:val="0"/>
          <w:i w:val="0"/>
        </w:rPr>
        <w:t>FPA Medical (FPAM), 245–246</w:t>
      </w:r>
    </w:p>
    <w:p>
      <w:pPr>
        <w:spacing w:after="80"/>
      </w:pPr>
      <w:r>
        <w:rPr>
          <w:b w:val="0"/>
          <w:i w:val="0"/>
        </w:rPr>
        <w:t>Gian lận, 144</w:t>
      </w:r>
    </w:p>
    <w:p>
      <w:pPr>
        <w:spacing w:after="80"/>
      </w:pPr>
      <w:r>
        <w:rPr>
          <w:b w:val="0"/>
          <w:i w:val="0"/>
        </w:rPr>
        <w:t>bởi CUC International, 6–7</w:t>
      </w:r>
    </w:p>
    <w:p>
      <w:pPr>
        <w:spacing w:after="80"/>
      </w:pPr>
      <w:r>
        <w:rPr>
          <w:b w:val="0"/>
          <w:i w:val="0"/>
        </w:rPr>
        <w:t>bởi Delphi Corporation, 155</w:t>
      </w:r>
    </w:p>
    <w:p>
      <w:pPr>
        <w:spacing w:after="80"/>
      </w:pPr>
      <w:r>
        <w:rPr>
          <w:b w:val="0"/>
          <w:i w:val="0"/>
        </w:rPr>
        <w:t>bởi DMND, 91</w:t>
      </w:r>
    </w:p>
    <w:p>
      <w:pPr>
        <w:spacing w:after="80"/>
      </w:pPr>
      <w:r>
        <w:rPr>
          <w:b w:val="0"/>
          <w:i w:val="0"/>
        </w:rPr>
        <w:t>bởi Enron, 7–8, 65</w:t>
      </w:r>
    </w:p>
    <w:p>
      <w:pPr>
        <w:spacing w:after="80"/>
      </w:pPr>
      <w:r>
        <w:rPr>
          <w:b w:val="0"/>
          <w:i w:val="0"/>
        </w:rPr>
        <w:t>bởi Freddie Mac, 124–125</w:t>
      </w:r>
    </w:p>
    <w:p>
      <w:pPr>
        <w:spacing w:after="80"/>
      </w:pPr>
      <w:r>
        <w:rPr>
          <w:b w:val="0"/>
          <w:i w:val="0"/>
        </w:rPr>
        <w:t>bởi GE, 125–126</w:t>
      </w:r>
    </w:p>
    <w:p>
      <w:pPr>
        <w:spacing w:after="80"/>
      </w:pPr>
      <w:r>
        <w:rPr>
          <w:b w:val="0"/>
          <w:i w:val="0"/>
        </w:rPr>
        <w:t>bởi Lehman Brothers, 10–11</w:t>
      </w:r>
    </w:p>
    <w:p>
      <w:pPr>
        <w:spacing w:after="80"/>
      </w:pPr>
      <w:r>
        <w:rPr>
          <w:b w:val="0"/>
          <w:i w:val="0"/>
        </w:rPr>
        <w:t>bởi New Century Financial Corp., 101</w:t>
      </w:r>
    </w:p>
    <w:p>
      <w:pPr>
        <w:spacing w:after="80"/>
      </w:pPr>
      <w:r>
        <w:rPr>
          <w:b w:val="0"/>
          <w:i w:val="0"/>
        </w:rPr>
        <w:t>bởi Olympus Corp., 102–103</w:t>
      </w:r>
    </w:p>
    <w:p>
      <w:pPr>
        <w:spacing w:after="80"/>
      </w:pPr>
      <w:r>
        <w:rPr>
          <w:b w:val="0"/>
          <w:i w:val="0"/>
        </w:rPr>
        <w:t>bởi Parmalat Finanziaria SpA, 229–231</w:t>
      </w:r>
    </w:p>
    <w:p>
      <w:pPr>
        <w:spacing w:after="80"/>
      </w:pPr>
      <w:r>
        <w:rPr>
          <w:b w:val="0"/>
          <w:i w:val="0"/>
        </w:rPr>
        <w:t>bởi Royal Ahold, 19–20</w:t>
      </w:r>
    </w:p>
    <w:p>
      <w:pPr>
        <w:spacing w:after="80"/>
      </w:pPr>
      <w:r>
        <w:rPr>
          <w:b w:val="0"/>
          <w:i w:val="0"/>
        </w:rPr>
        <w:t>Salix Pharmaceuticals bị điều tra, 282–283</w:t>
      </w:r>
    </w:p>
    <w:p>
      <w:pPr>
        <w:spacing w:after="80"/>
      </w:pPr>
      <w:r>
        <w:rPr>
          <w:b w:val="0"/>
          <w:i w:val="0"/>
        </w:rPr>
        <w:t>bởi Symbol Technologies, 19</w:t>
      </w:r>
    </w:p>
    <w:p>
      <w:pPr>
        <w:spacing w:after="80"/>
      </w:pPr>
      <w:r>
        <w:rPr>
          <w:b w:val="0"/>
          <w:i w:val="0"/>
        </w:rPr>
        <w:t>Syntax-Brillian bị điều tra, 60</w:t>
      </w:r>
    </w:p>
    <w:p>
      <w:pPr>
        <w:spacing w:after="80"/>
      </w:pPr>
      <w:r>
        <w:rPr>
          <w:b w:val="0"/>
          <w:i w:val="0"/>
        </w:rPr>
        <w:t>bởi Tesco, 64</w:t>
      </w:r>
    </w:p>
    <w:p>
      <w:pPr>
        <w:spacing w:after="80"/>
      </w:pPr>
      <w:r>
        <w:rPr>
          <w:b w:val="0"/>
          <w:i w:val="0"/>
        </w:rPr>
        <w:t>bởi Tyco, 257–258</w:t>
      </w:r>
    </w:p>
    <w:p>
      <w:pPr>
        <w:spacing w:after="80"/>
      </w:pPr>
      <w:r>
        <w:rPr>
          <w:b w:val="0"/>
          <w:i w:val="0"/>
        </w:rPr>
        <w:t>bởi Valeant Pharmaceuticals, 11–12, 286</w:t>
      </w:r>
    </w:p>
    <w:p>
      <w:pPr>
        <w:spacing w:after="80"/>
      </w:pPr>
      <w:r>
        <w:rPr>
          <w:b w:val="0"/>
          <w:i w:val="0"/>
        </w:rPr>
        <w:t>bởi WM, 4–6</w:t>
      </w:r>
    </w:p>
    <w:p>
      <w:pPr>
        <w:spacing w:after="80"/>
      </w:pPr>
      <w:r>
        <w:rPr>
          <w:b w:val="0"/>
          <w:i w:val="0"/>
        </w:rPr>
        <w:t>bởi WorldCom, 8–10, 85–86</w:t>
      </w:r>
    </w:p>
    <w:p>
      <w:pPr>
        <w:spacing w:after="80"/>
      </w:pPr>
      <w:r>
        <w:rPr>
          <w:b w:val="0"/>
          <w:i w:val="0"/>
        </w:rPr>
        <w:t>Freddie Mac, 124–125, 140</w:t>
      </w:r>
    </w:p>
    <w:p>
      <w:pPr>
        <w:spacing w:after="80"/>
      </w:pPr>
      <w:r>
        <w:rPr>
          <w:b w:val="0"/>
          <w:i w:val="0"/>
        </w:rPr>
        <w:t>Dòng tiền tự do</w:t>
      </w:r>
    </w:p>
    <w:p>
      <w:pPr>
        <w:spacing w:after="80"/>
      </w:pPr>
      <w:r>
        <w:rPr>
          <w:b w:val="0"/>
          <w:i w:val="0"/>
        </w:rPr>
        <w:t>được định nghĩa, 174</w:t>
      </w:r>
    </w:p>
    <w:p>
      <w:pPr>
        <w:spacing w:after="80"/>
      </w:pPr>
      <w:r>
        <w:rPr>
          <w:b w:val="0"/>
          <w:i w:val="0"/>
        </w:rPr>
        <w:t>cho IBM, 215</w:t>
      </w:r>
    </w:p>
    <w:p>
      <w:pPr>
        <w:spacing w:after="80"/>
      </w:pPr>
      <w:r>
        <w:rPr>
          <w:b w:val="0"/>
          <w:i w:val="0"/>
        </w:rPr>
        <w:t>cho Linn Energy, 216, 218</w:t>
      </w:r>
    </w:p>
    <w:p>
      <w:pPr>
        <w:spacing w:after="80"/>
      </w:pPr>
      <w:r>
        <w:rPr>
          <w:b w:val="0"/>
          <w:i w:val="0"/>
        </w:rPr>
        <w:t>như một chỉ số phi GAAP, 215</w:t>
      </w:r>
    </w:p>
    <w:p>
      <w:pPr>
        <w:spacing w:after="80"/>
      </w:pPr>
      <w:r>
        <w:rPr>
          <w:b w:val="0"/>
          <w:i w:val="0"/>
        </w:rPr>
        <w:t>cho Tyco, 255–256</w:t>
      </w:r>
    </w:p>
    <w:p>
      <w:pPr>
        <w:spacing w:after="80"/>
      </w:pPr>
      <w:r>
        <w:rPr>
          <w:b w:val="0"/>
          <w:i w:val="0"/>
        </w:rPr>
        <w:t>cho WorldCom, 86, 173–174</w:t>
      </w:r>
    </w:p>
    <w:p>
      <w:pPr>
        <w:spacing w:after="80"/>
      </w:pPr>
      <w:r>
        <w:rPr>
          <w:b w:val="0"/>
          <w:i w:val="0"/>
        </w:rPr>
        <w:t>Frissora, Mark, 274</w:t>
      </w:r>
    </w:p>
    <w:p>
      <w:pPr>
        <w:spacing w:after="80"/>
      </w:pPr>
      <w:r>
        <w:rPr>
          <w:b w:val="0"/>
          <w:i w:val="0"/>
        </w:rPr>
        <w:t xml:space="preserve">FSLR. </w:t>
      </w:r>
      <w:r>
        <w:rPr>
          <w:b w:val="0"/>
          <w:i/>
        </w:rPr>
        <w:t>Xem</w:t>
      </w:r>
      <w:r>
        <w:rPr>
          <w:b w:val="0"/>
          <w:i w:val="0"/>
        </w:rPr>
        <w:t xml:space="preserve"> First Solar</w:t>
      </w:r>
    </w:p>
    <w:p>
      <w:pPr>
        <w:spacing w:after="80"/>
      </w:pPr>
      <w:r>
        <w:rPr>
          <w:b w:val="0"/>
          <w:i w:val="0"/>
        </w:rPr>
        <w:t>Các chỉ số GAAP</w:t>
      </w:r>
    </w:p>
    <w:p>
      <w:pPr>
        <w:spacing w:after="80"/>
      </w:pPr>
      <w:r>
        <w:rPr>
          <w:b w:val="0"/>
          <w:i w:val="0"/>
        </w:rPr>
        <w:t>cho Delphi Corporation, 213–215</w:t>
      </w:r>
    </w:p>
    <w:p>
      <w:pPr>
        <w:spacing w:after="80"/>
      </w:pPr>
      <w:r>
        <w:rPr>
          <w:b w:val="0"/>
          <w:i w:val="0"/>
        </w:rPr>
        <w:t>Global Crossing trong mối liên hệ với, 171–172</w:t>
      </w:r>
    </w:p>
    <w:p>
      <w:pPr>
        <w:spacing w:after="80"/>
      </w:pPr>
      <w:r>
        <w:rPr>
          <w:b w:val="0"/>
          <w:i w:val="0"/>
        </w:rPr>
        <w:t>cho Linn Energy, 215–217, 291</w:t>
      </w:r>
    </w:p>
    <w:p>
      <w:pPr>
        <w:spacing w:after="80"/>
      </w:pPr>
      <w:r>
        <w:rPr>
          <w:b w:val="0"/>
          <w:i w:val="0"/>
        </w:rPr>
        <w:t>thu nhập ròng trong mối liên hệ với, 10–11</w:t>
      </w:r>
    </w:p>
    <w:p>
      <w:pPr>
        <w:spacing w:after="80"/>
      </w:pPr>
      <w:r>
        <w:rPr>
          <w:b w:val="0"/>
          <w:i w:val="0"/>
        </w:rPr>
        <w:t>cho Valeant Pharmaceuticals, 267–268</w:t>
      </w:r>
    </w:p>
    <w:p>
      <w:pPr>
        <w:spacing w:after="80"/>
      </w:pPr>
      <w:r>
        <w:rPr>
          <w:b w:val="0"/>
          <w:i w:val="0"/>
        </w:rPr>
        <w:t xml:space="preserve">Lợi nhuận. </w:t>
      </w:r>
      <w:r>
        <w:rPr>
          <w:b w:val="0"/>
          <w:i/>
        </w:rPr>
        <w:t>Xem</w:t>
      </w:r>
      <w:r>
        <w:rPr>
          <w:b w:val="0"/>
          <w:i w:val="0"/>
        </w:rPr>
        <w:t xml:space="preserve"> Lợi nhuận một lần; Doanh thu</w:t>
      </w:r>
    </w:p>
    <w:p>
      <w:pPr>
        <w:spacing w:after="80"/>
      </w:pPr>
      <w:r>
        <w:rPr>
          <w:b w:val="0"/>
          <w:i w:val="0"/>
        </w:rPr>
        <w:t xml:space="preserve">GE. </w:t>
      </w:r>
      <w:r>
        <w:rPr>
          <w:b w:val="0"/>
          <w:i/>
        </w:rPr>
        <w:t>Xem</w:t>
      </w:r>
      <w:r>
        <w:rPr>
          <w:b w:val="0"/>
          <w:i w:val="0"/>
        </w:rPr>
        <w:t xml:space="preserve"> General Electric</w:t>
      </w:r>
    </w:p>
    <w:p>
      <w:pPr>
        <w:spacing w:after="80"/>
      </w:pPr>
      <w:r>
        <w:rPr>
          <w:b w:val="0"/>
          <w:i w:val="0"/>
        </w:rPr>
        <w:t>Gemini BB, 258–259</w:t>
      </w:r>
    </w:p>
    <w:p>
      <w:pPr>
        <w:spacing w:after="80"/>
      </w:pPr>
      <w:r>
        <w:rPr>
          <w:b w:val="0"/>
          <w:i w:val="0"/>
        </w:rPr>
        <w:t>General Electric (GE), 125–126, 183</w:t>
      </w:r>
    </w:p>
    <w:p>
      <w:pPr>
        <w:spacing w:after="80"/>
      </w:pPr>
      <w:r>
        <w:rPr>
          <w:b w:val="0"/>
          <w:i w:val="0"/>
        </w:rPr>
        <w:t>Global Crossing</w:t>
      </w:r>
    </w:p>
    <w:p>
      <w:pPr>
        <w:spacing w:after="80"/>
      </w:pPr>
      <w:r>
        <w:rPr>
          <w:b w:val="0"/>
          <w:i w:val="0"/>
        </w:rPr>
        <w:t>CFFO so với thu nhập ròng, 169–170</w:t>
      </w:r>
    </w:p>
    <w:p>
      <w:pPr>
        <w:spacing w:after="80"/>
      </w:pPr>
      <w:r>
        <w:rPr>
          <w:b w:val="0"/>
          <w:i w:val="0"/>
        </w:rPr>
        <w:t>công bố các giao dịch boomerang, 170–171</w:t>
      </w:r>
    </w:p>
    <w:p>
      <w:pPr>
        <w:spacing w:after="80"/>
      </w:pPr>
      <w:r>
        <w:rPr>
          <w:b w:val="0"/>
          <w:i w:val="0"/>
        </w:rPr>
        <w:t>EBITDA cho mục này, 170–171, 208–209</w:t>
      </w:r>
    </w:p>
    <w:p>
      <w:pPr>
        <w:spacing w:after="80"/>
      </w:pPr>
      <w:r>
        <w:rPr>
          <w:b w:val="0"/>
          <w:i w:val="0"/>
        </w:rPr>
        <w:t>KM cho mục này, 171–172</w:t>
      </w:r>
    </w:p>
    <w:p>
      <w:pPr>
        <w:spacing w:after="80"/>
      </w:pPr>
      <w:r>
        <w:rPr>
          <w:b w:val="0"/>
          <w:i w:val="0"/>
        </w:rPr>
        <w:t>các chỉ số pro forma liên quan đến mục này, 208–209</w:t>
      </w:r>
    </w:p>
    <w:p>
      <w:pPr>
        <w:spacing w:after="80"/>
      </w:pPr>
      <w:r>
        <w:rPr>
          <w:b w:val="0"/>
          <w:i w:val="0"/>
        </w:rPr>
        <w:t>các khoản phải thu liên quan đến mục này, 160</w:t>
      </w:r>
    </w:p>
    <w:p>
      <w:pPr>
        <w:spacing w:after="80"/>
      </w:pPr>
      <w:r>
        <w:rPr>
          <w:b w:val="0"/>
          <w:i w:val="0"/>
        </w:rPr>
        <w:t>Gogo Inc., 213</w:t>
      </w:r>
    </w:p>
    <w:p>
      <w:pPr>
        <w:spacing w:after="80"/>
      </w:pPr>
      <w:r>
        <w:rPr>
          <w:b w:val="0"/>
          <w:i w:val="0"/>
        </w:rPr>
        <w:t>Lợi thế thương mại (Goodwill), 239, 240</w:t>
      </w:r>
    </w:p>
    <w:p>
      <w:pPr>
        <w:spacing w:after="80"/>
      </w:pPr>
      <w:r>
        <w:rPr>
          <w:b w:val="0"/>
          <w:i w:val="0"/>
        </w:rPr>
        <w:t>Google, 234</w:t>
      </w:r>
    </w:p>
    <w:p>
      <w:pPr>
        <w:spacing w:after="80"/>
      </w:pPr>
      <w:r>
        <w:rPr>
          <w:b w:val="0"/>
          <w:i w:val="0"/>
        </w:rPr>
        <w:t>Gores Group, 236</w:t>
      </w:r>
    </w:p>
    <w:p>
      <w:pPr>
        <w:spacing w:after="80"/>
      </w:pPr>
      <w:r>
        <w:rPr>
          <w:b w:val="0"/>
          <w:i w:val="0"/>
        </w:rPr>
        <w:t>Grant Thornton, 23</w:t>
      </w:r>
    </w:p>
    <w:p>
      <w:pPr>
        <w:spacing w:after="80"/>
      </w:pPr>
      <w:r>
        <w:rPr>
          <w:b w:val="0"/>
          <w:i w:val="0"/>
        </w:rPr>
        <w:t>Groupon</w:t>
      </w:r>
    </w:p>
    <w:p>
      <w:pPr>
        <w:spacing w:after="80"/>
      </w:pPr>
      <w:r>
        <w:rPr>
          <w:b w:val="0"/>
          <w:i w:val="0"/>
        </w:rPr>
        <w:t>IPO cho mục này, 65–66</w:t>
      </w:r>
    </w:p>
    <w:p>
      <w:pPr>
        <w:spacing w:after="80"/>
      </w:pPr>
      <w:r>
        <w:rPr>
          <w:b w:val="0"/>
          <w:i w:val="0"/>
        </w:rPr>
        <w:t>các chỉ số phi GAAP cho mục này, 210–211</w:t>
      </w:r>
    </w:p>
    <w:p>
      <w:pPr>
        <w:spacing w:after="80"/>
      </w:pPr>
      <w:r>
        <w:rPr>
          <w:b w:val="0"/>
          <w:i w:val="0"/>
        </w:rPr>
        <w:t>Hanergy Solar, 61</w:t>
      </w:r>
    </w:p>
    <w:p>
      <w:pPr>
        <w:spacing w:after="80"/>
      </w:pPr>
      <w:r>
        <w:rPr>
          <w:b w:val="0"/>
          <w:i w:val="0"/>
        </w:rPr>
        <w:t>Hedges, 125–126</w:t>
      </w:r>
    </w:p>
    <w:p>
      <w:pPr>
        <w:spacing w:after="80"/>
      </w:pPr>
      <w:r>
        <w:rPr>
          <w:b w:val="0"/>
          <w:i w:val="0"/>
        </w:rPr>
        <w:t>Hefei Sanyo, 261–262</w:t>
      </w:r>
    </w:p>
    <w:p>
      <w:pPr>
        <w:spacing w:after="80"/>
      </w:pPr>
      <w:r>
        <w:rPr>
          <w:b w:val="0"/>
          <w:i w:val="0"/>
        </w:rPr>
        <w:t>Hertz</w:t>
      </w:r>
    </w:p>
    <w:p>
      <w:pPr>
        <w:spacing w:after="80"/>
      </w:pPr>
      <w:r>
        <w:rPr>
          <w:b w:val="0"/>
          <w:i w:val="0"/>
        </w:rPr>
        <w:t>CEO Frissora của, 274</w:t>
      </w:r>
    </w:p>
    <w:p>
      <w:pPr>
        <w:spacing w:after="80"/>
      </w:pPr>
      <w:r>
        <w:rPr>
          <w:b w:val="0"/>
          <w:i w:val="0"/>
        </w:rPr>
        <w:t>báo cáo tài chính điều chỉnh lại cho, 273–274, 289–290</w:t>
      </w:r>
    </w:p>
    <w:p>
      <w:pPr>
        <w:spacing w:after="80"/>
      </w:pPr>
      <w:r>
        <w:rPr>
          <w:b w:val="0"/>
          <w:i w:val="0"/>
        </w:rPr>
        <w:t>công bố báo cáo tài chính, 272–274</w:t>
      </w:r>
    </w:p>
    <w:p>
      <w:pPr>
        <w:spacing w:after="80"/>
      </w:pPr>
      <w:r>
        <w:rPr>
          <w:b w:val="0"/>
          <w:i w:val="0"/>
        </w:rPr>
        <w:t>IPO cho, 271–272</w:t>
      </w:r>
    </w:p>
    <w:p>
      <w:pPr>
        <w:spacing w:after="80"/>
      </w:pPr>
      <w:r>
        <w:rPr>
          <w:b w:val="0"/>
          <w:i w:val="0"/>
        </w:rPr>
        <w:t>Kennedy của, 272</w:t>
      </w:r>
    </w:p>
    <w:p>
      <w:pPr>
        <w:spacing w:after="80"/>
      </w:pPr>
      <w:r>
        <w:rPr>
          <w:b w:val="0"/>
          <w:i w:val="0"/>
        </w:rPr>
        <w:t>Hewlett-Packard (HP), 58</w:t>
      </w:r>
    </w:p>
    <w:p>
      <w:pPr>
        <w:spacing w:after="80"/>
      </w:pPr>
      <w:r>
        <w:rPr>
          <w:b w:val="0"/>
          <w:i w:val="0"/>
        </w:rPr>
        <w:t>lời thề Hippocrates, 201–202</w:t>
      </w:r>
    </w:p>
    <w:p>
      <w:pPr>
        <w:spacing w:after="80"/>
      </w:pPr>
      <w:r>
        <w:rPr>
          <w:b w:val="0"/>
          <w:i w:val="0"/>
        </w:rPr>
        <w:t>Công ty H.J. Heinz, 142</w:t>
      </w:r>
    </w:p>
    <w:p>
      <w:pPr>
        <w:spacing w:after="80"/>
      </w:pPr>
      <w:r>
        <w:rPr>
          <w:b w:val="0"/>
          <w:i w:val="0"/>
        </w:rPr>
        <w:t>Hoffa, Jimmy, 167–168</w:t>
      </w:r>
    </w:p>
    <w:p>
      <w:pPr>
        <w:spacing w:after="80"/>
      </w:pPr>
      <w:r>
        <w:rPr>
          <w:b w:val="0"/>
          <w:i w:val="0"/>
        </w:rPr>
        <w:t>Home Depot</w:t>
      </w:r>
    </w:p>
    <w:p>
      <w:pPr>
        <w:spacing w:after="80"/>
      </w:pPr>
      <w:r>
        <w:rPr>
          <w:b w:val="0"/>
          <w:i w:val="0"/>
        </w:rPr>
        <w:t>công bố thông tin, 190</w:t>
      </w:r>
    </w:p>
    <w:p>
      <w:pPr>
        <w:spacing w:after="80"/>
      </w:pPr>
      <w:r>
        <w:rPr>
          <w:b w:val="0"/>
          <w:i w:val="0"/>
        </w:rPr>
        <w:t>Nardelli của, 183, 185, 189–190</w:t>
      </w:r>
    </w:p>
    <w:p>
      <w:pPr>
        <w:spacing w:after="80"/>
      </w:pPr>
      <w:r>
        <w:rPr>
          <w:b w:val="0"/>
          <w:i w:val="0"/>
        </w:rPr>
        <w:t>Home Depot (</w:t>
      </w:r>
      <w:r>
        <w:rPr>
          <w:b w:val="0"/>
          <w:i/>
        </w:rPr>
        <w:t>tiếp theo</w:t>
      </w:r>
      <w:r>
        <w:rPr>
          <w:b w:val="0"/>
          <w:i w:val="0"/>
        </w:rPr>
        <w:t>)</w:t>
      </w:r>
    </w:p>
    <w:p>
      <w:pPr>
        <w:spacing w:after="80"/>
      </w:pPr>
      <w:r>
        <w:rPr>
          <w:b w:val="0"/>
          <w:i w:val="0"/>
        </w:rPr>
        <w:t>SCF cho, 183–184, 189–190</w:t>
      </w:r>
    </w:p>
    <w:p>
      <w:pPr>
        <w:spacing w:after="80"/>
      </w:pPr>
      <w:r>
        <w:rPr>
          <w:b w:val="0"/>
          <w:i w:val="0"/>
        </w:rPr>
        <w:t>Hạ viện, 17</w:t>
      </w:r>
    </w:p>
    <w:p>
      <w:pPr>
        <w:spacing w:after="80"/>
      </w:pPr>
      <w:r>
        <w:rPr>
          <w:b w:val="0"/>
          <w:i w:val="0"/>
        </w:rPr>
        <w:t xml:space="preserve">HP. </w:t>
      </w:r>
      <w:r>
        <w:rPr>
          <w:b w:val="0"/>
          <w:i/>
        </w:rPr>
        <w:t>Xem</w:t>
      </w:r>
      <w:r>
        <w:rPr>
          <w:b w:val="0"/>
          <w:i w:val="0"/>
        </w:rPr>
        <w:t xml:space="preserve"> Hewlett-Packard</w:t>
      </w:r>
    </w:p>
    <w:p>
      <w:pPr>
        <w:spacing w:after="80"/>
      </w:pPr>
      <w:r>
        <w:rPr>
          <w:b w:val="0"/>
          <w:i w:val="0"/>
        </w:rPr>
        <w:t>IBM, 179</w:t>
      </w:r>
    </w:p>
    <w:p>
      <w:pPr>
        <w:spacing w:after="80"/>
      </w:pPr>
      <w:r>
        <w:rPr>
          <w:b w:val="0"/>
          <w:i w:val="0"/>
        </w:rPr>
        <w:t>dòng tiền tự do cho, 215</w:t>
      </w:r>
    </w:p>
    <w:p>
      <w:pPr>
        <w:spacing w:after="80"/>
      </w:pPr>
      <w:r>
        <w:rPr>
          <w:b w:val="0"/>
          <w:i w:val="0"/>
        </w:rPr>
        <w:t>Báo cáo thu nhập cho, 70–72</w:t>
      </w:r>
    </w:p>
    <w:p>
      <w:pPr>
        <w:spacing w:after="80"/>
      </w:pPr>
      <w:r>
        <w:rPr>
          <w:b w:val="0"/>
          <w:i w:val="0"/>
        </w:rPr>
        <w:t>Icahn, Carl, 273</w:t>
      </w:r>
    </w:p>
    <w:p>
      <w:pPr>
        <w:spacing w:after="80"/>
      </w:pPr>
      <w:r>
        <w:rPr>
          <w:b w:val="0"/>
          <w:i w:val="0"/>
        </w:rPr>
        <w:t>Iconix (ICON), 62</w:t>
      </w:r>
    </w:p>
    <w:p>
      <w:pPr>
        <w:spacing w:after="80"/>
      </w:pPr>
      <w:r>
        <w:rPr>
          <w:b w:val="0"/>
          <w:i w:val="0"/>
        </w:rPr>
        <w:t>Ideon Group, 6</w:t>
      </w:r>
    </w:p>
    <w:p>
      <w:pPr>
        <w:spacing w:after="80"/>
      </w:pPr>
      <w:r>
        <w:rPr>
          <w:b w:val="0"/>
          <w:i w:val="0"/>
        </w:rPr>
        <w:t>Trí tưởng tượng, 54</w:t>
      </w:r>
    </w:p>
    <w:p>
      <w:pPr>
        <w:spacing w:after="80"/>
      </w:pPr>
      <w:r>
        <w:rPr>
          <w:b w:val="0"/>
          <w:i w:val="0"/>
        </w:rPr>
        <w:t>Suy giảm giá trị</w:t>
      </w:r>
    </w:p>
    <w:p>
      <w:pPr>
        <w:spacing w:after="80"/>
      </w:pPr>
      <w:r>
        <w:rPr>
          <w:b w:val="0"/>
          <w:i w:val="0"/>
        </w:rPr>
        <w:t>các chỉ số tài sản bị bóp méo để che giấu, 227–229</w:t>
      </w:r>
    </w:p>
    <w:p>
      <w:pPr>
        <w:spacing w:after="80"/>
      </w:pPr>
      <w:r>
        <w:rPr>
          <w:b w:val="0"/>
          <w:i w:val="0"/>
        </w:rPr>
        <w:t>đánh giá suy giảm giá trị tài sản, 199</w:t>
      </w:r>
    </w:p>
    <w:p>
      <w:pPr>
        <w:spacing w:after="80"/>
      </w:pPr>
      <w:r>
        <w:rPr>
          <w:b w:val="0"/>
          <w:i w:val="0"/>
        </w:rPr>
        <w:t>các khoản phí, 135–136</w:t>
      </w:r>
    </w:p>
    <w:p>
      <w:pPr>
        <w:spacing w:after="80"/>
      </w:pPr>
      <w:r>
        <w:rPr>
          <w:b w:val="0"/>
          <w:i w:val="0"/>
        </w:rPr>
        <w:t>suy giảm giá trị các khoản đầu tư, 102–103, 134</w:t>
      </w:r>
    </w:p>
    <w:p>
      <w:pPr>
        <w:spacing w:after="80"/>
      </w:pPr>
      <w:r>
        <w:rPr>
          <w:b w:val="0"/>
          <w:i w:val="0"/>
        </w:rPr>
        <w:t>ghi giảm giá trị tài sản có giá trị, 95–97</w:t>
      </w:r>
    </w:p>
    <w:p>
      <w:pPr>
        <w:spacing w:after="80"/>
      </w:pPr>
      <w:r>
        <w:rPr>
          <w:b w:val="0"/>
          <w:i w:val="0"/>
        </w:rPr>
        <w:t>Việc bỏ tù</w:t>
      </w:r>
    </w:p>
    <w:p>
      <w:pPr>
        <w:spacing w:after="80"/>
      </w:pPr>
      <w:r>
        <w:rPr>
          <w:b w:val="0"/>
          <w:i w:val="0"/>
        </w:rPr>
        <w:t>của Ebbers, 10</w:t>
      </w:r>
    </w:p>
    <w:p>
      <w:pPr>
        <w:spacing w:after="80"/>
      </w:pPr>
      <w:r>
        <w:rPr>
          <w:b w:val="0"/>
          <w:i w:val="0"/>
        </w:rPr>
        <w:t>của Forbes, 7</w:t>
      </w:r>
    </w:p>
    <w:p>
      <w:pPr>
        <w:spacing w:after="80"/>
      </w:pPr>
      <w:r>
        <w:rPr>
          <w:b w:val="0"/>
          <w:i w:val="0"/>
        </w:rPr>
        <w:t>của Kumar, 32</w:t>
      </w:r>
    </w:p>
    <w:p>
      <w:pPr>
        <w:spacing w:after="80"/>
      </w:pPr>
      <w:r>
        <w:rPr>
          <w:b w:val="0"/>
          <w:i w:val="0"/>
        </w:rPr>
        <w:t>của Nacchio, 19</w:t>
      </w:r>
    </w:p>
    <w:p>
      <w:pPr>
        <w:spacing w:after="80"/>
      </w:pPr>
      <w:r>
        <w:rPr>
          <w:b w:val="0"/>
          <w:i w:val="0"/>
        </w:rPr>
        <w:t xml:space="preserve">Thu nhập. </w:t>
      </w:r>
      <w:r>
        <w:rPr>
          <w:b w:val="0"/>
          <w:i/>
        </w:rPr>
        <w:t>Xem thêm</w:t>
      </w:r>
      <w:r>
        <w:rPr>
          <w:b w:val="0"/>
          <w:i w:val="0"/>
        </w:rPr>
        <w:t xml:space="preserve"> Báo cáo thu nhập; Thu nhập ròng; Thu nhập hoạt động</w:t>
      </w:r>
    </w:p>
    <w:p>
      <w:pPr>
        <w:spacing w:after="80"/>
      </w:pPr>
      <w:r>
        <w:rPr>
          <w:b w:val="0"/>
          <w:i w:val="0"/>
        </w:rPr>
        <w:t>các công cụ phái sinh liên quan đến việc làm mượt, 124–126</w:t>
      </w:r>
    </w:p>
    <w:p>
      <w:pPr>
        <w:spacing w:after="80"/>
      </w:pPr>
      <w:r>
        <w:rPr>
          <w:b w:val="0"/>
          <w:i w:val="0"/>
        </w:rPr>
        <w:t>từ các khoản đầu tư thành doanh thu, 78–79</w:t>
      </w:r>
    </w:p>
    <w:p>
      <w:pPr>
        <w:spacing w:after="80"/>
      </w:pPr>
      <w:r>
        <w:rPr>
          <w:b w:val="0"/>
          <w:i w:val="0"/>
        </w:rPr>
        <w:t>các cách phân loại gây hiểu nhầm để thổi phồng, 75–81</w:t>
      </w:r>
    </w:p>
    <w:p>
      <w:pPr>
        <w:spacing w:after="80"/>
      </w:pPr>
      <w:r>
        <w:rPr>
          <w:b w:val="0"/>
          <w:i w:val="0"/>
        </w:rPr>
        <w:t>các sự kiện một lần thổi phồng, 70–75</w:t>
      </w:r>
    </w:p>
    <w:p>
      <w:pPr>
        <w:spacing w:after="80"/>
      </w:pPr>
      <w:r>
        <w:rPr>
          <w:b w:val="0"/>
          <w:i w:val="0"/>
        </w:rPr>
        <w:t>các khoản dự phòng được hoàn nhập vào, 120–124</w:t>
      </w:r>
    </w:p>
    <w:p>
      <w:pPr>
        <w:spacing w:after="80"/>
      </w:pPr>
      <w:r>
        <w:rPr>
          <w:b w:val="0"/>
          <w:i w:val="0"/>
        </w:rPr>
        <w:t>các khoản dự phòng được hoàn nhập cùng với một thương vụ mua lại vào, 126–128</w:t>
      </w:r>
    </w:p>
    <w:p>
      <w:pPr>
        <w:spacing w:after="80"/>
      </w:pPr>
      <w:r>
        <w:rPr>
          <w:b w:val="0"/>
          <w:i w:val="0"/>
        </w:rPr>
        <w:t>dịch chuyển, lên trên dòng, 77–78</w:t>
      </w:r>
    </w:p>
    <w:p>
      <w:pPr>
        <w:spacing w:after="80"/>
      </w:pPr>
      <w:r>
        <w:rPr>
          <w:b w:val="0"/>
          <w:i w:val="0"/>
        </w:rPr>
        <w:t>các kỹ thuật để thổi phồng, 70, 111–112</w:t>
      </w:r>
    </w:p>
    <w:p>
      <w:pPr>
        <w:spacing w:after="80"/>
      </w:pPr>
      <w:r>
        <w:rPr>
          <w:b w:val="0"/>
          <w:i w:val="0"/>
        </w:rPr>
        <w:t>các kỹ thuật để dịch chuyển, sang kỳ sau, 120</w:t>
      </w:r>
    </w:p>
    <w:p>
      <w:pPr>
        <w:spacing w:after="80"/>
      </w:pPr>
      <w:r>
        <w:rPr>
          <w:b w:val="0"/>
          <w:i w:val="0"/>
        </w:rPr>
        <w:t>Báo cáo thu nhập, 14</w:t>
      </w:r>
    </w:p>
    <w:p>
      <w:pPr>
        <w:spacing w:after="80"/>
      </w:pPr>
      <w:r>
        <w:rPr>
          <w:b w:val="0"/>
          <w:i w:val="0"/>
        </w:rPr>
        <w:t>kế toán dồn tích cho, 145</w:t>
      </w:r>
    </w:p>
    <w:p>
      <w:pPr>
        <w:spacing w:after="80"/>
      </w:pPr>
      <w:r>
        <w:rPr>
          <w:b w:val="0"/>
          <w:i w:val="0"/>
        </w:rPr>
        <w:t>Bảng cân đối kế toán liên quan đến, 8–9, 83–84</w:t>
      </w:r>
    </w:p>
    <w:p>
      <w:pPr>
        <w:spacing w:after="80"/>
      </w:pPr>
      <w:r>
        <w:rPr>
          <w:b w:val="0"/>
          <w:i w:val="0"/>
        </w:rPr>
        <w:t>cho IBM, 70–72</w:t>
      </w:r>
    </w:p>
    <w:p>
      <w:pPr>
        <w:spacing w:after="80"/>
      </w:pPr>
      <w:r>
        <w:rPr>
          <w:b w:val="0"/>
          <w:i w:val="0"/>
        </w:rPr>
        <w:t>cho Keurig, 36, 37</w:t>
      </w:r>
    </w:p>
    <w:p>
      <w:pPr>
        <w:spacing w:after="80"/>
      </w:pPr>
      <w:r>
        <w:rPr>
          <w:b w:val="0"/>
          <w:i w:val="0"/>
        </w:rPr>
        <w:t>Infinity Broadcasting, 20</w:t>
      </w:r>
    </w:p>
    <w:p>
      <w:pPr>
        <w:spacing w:after="80"/>
      </w:pPr>
      <w:r>
        <w:rPr>
          <w:b w:val="0"/>
          <w:i w:val="0"/>
        </w:rPr>
        <w:t>Lạm phát</w:t>
      </w:r>
    </w:p>
    <w:p>
      <w:pPr>
        <w:spacing w:after="80"/>
      </w:pPr>
      <w:r>
        <w:rPr>
          <w:b w:val="0"/>
          <w:i w:val="0"/>
        </w:rPr>
        <w:t>của CFFO bởi Enron, 155–156</w:t>
      </w:r>
    </w:p>
    <w:p>
      <w:pPr>
        <w:spacing w:after="80"/>
      </w:pPr>
      <w:r>
        <w:rPr>
          <w:b w:val="0"/>
          <w:i w:val="0"/>
        </w:rPr>
        <w:t>của CFFO bằng cách giả mạo bán các khoản phải thu, 160–165</w:t>
      </w:r>
    </w:p>
    <w:p>
      <w:pPr>
        <w:spacing w:after="80"/>
      </w:pPr>
      <w:r>
        <w:rPr>
          <w:b w:val="0"/>
          <w:i w:val="0"/>
        </w:rPr>
        <w:t>của CFFO từ việc mua lại, 250–256</w:t>
      </w:r>
    </w:p>
    <w:p>
      <w:pPr>
        <w:spacing w:after="80"/>
      </w:pPr>
      <w:r>
        <w:rPr>
          <w:b w:val="0"/>
          <w:i w:val="0"/>
        </w:rPr>
        <w:t>của CFFO với các giao dịch boomerang, 169–172</w:t>
      </w:r>
    </w:p>
    <w:p>
      <w:pPr>
        <w:spacing w:after="80"/>
      </w:pPr>
      <w:r>
        <w:rPr>
          <w:b w:val="0"/>
          <w:i w:val="0"/>
        </w:rPr>
        <w:t>của thu nhập kỳ hiện tại như EM, 28–29</w:t>
      </w:r>
    </w:p>
    <w:p>
      <w:pPr>
        <w:spacing w:after="80"/>
      </w:pPr>
      <w:r>
        <w:rPr>
          <w:b w:val="0"/>
          <w:i w:val="0"/>
        </w:rPr>
        <w:t>của thu nhập kỳ tương lai như EM, 29</w:t>
      </w:r>
    </w:p>
    <w:p>
      <w:pPr>
        <w:spacing w:after="80"/>
      </w:pPr>
      <w:r>
        <w:rPr>
          <w:b w:val="0"/>
          <w:i w:val="0"/>
        </w:rPr>
        <w:t>của các khoản nợ phải trả, 113</w:t>
      </w:r>
    </w:p>
    <w:p>
      <w:pPr>
        <w:spacing w:after="80"/>
      </w:pPr>
      <w:r>
        <w:rPr>
          <w:b w:val="0"/>
          <w:i w:val="0"/>
        </w:rPr>
        <w:t>Peregrine Systems CFFO liên quan, 57, 161–163, 221</w:t>
      </w:r>
    </w:p>
    <w:p>
      <w:pPr>
        <w:spacing w:after="80"/>
      </w:pPr>
      <w:r>
        <w:rPr>
          <w:b w:val="0"/>
          <w:i w:val="0"/>
        </w:rPr>
        <w:t>lợi nhuận bằng cách che giấu lỗ, 244–245</w:t>
      </w:r>
    </w:p>
    <w:p>
      <w:pPr>
        <w:spacing w:after="80"/>
      </w:pPr>
      <w:r>
        <w:rPr>
          <w:b w:val="0"/>
          <w:i w:val="0"/>
        </w:rPr>
        <w:t>lợi nhuận bằng cách giải phóng các khoản dự phòng đáng ngờ, 247–248</w:t>
      </w:r>
    </w:p>
    <w:p>
      <w:pPr>
        <w:spacing w:after="80"/>
      </w:pPr>
      <w:r>
        <w:rPr>
          <w:b w:val="0"/>
          <w:i w:val="0"/>
        </w:rPr>
        <w:t>lợi nhuận bằng các thủ thuật trước khi chốt thương vụ, 242–244</w:t>
      </w:r>
    </w:p>
    <w:p>
      <w:pPr>
        <w:spacing w:after="80"/>
      </w:pPr>
      <w:r>
        <w:rPr>
          <w:b w:val="0"/>
          <w:i w:val="0"/>
        </w:rPr>
        <w:t>ghi nhận các giao dịch doanh thu liên quan đến, 64–67</w:t>
      </w:r>
    </w:p>
    <w:p>
      <w:pPr>
        <w:spacing w:after="80"/>
      </w:pPr>
      <w:r>
        <w:rPr>
          <w:b w:val="0"/>
          <w:i w:val="0"/>
        </w:rPr>
        <w:t>doanh thu của CA, 31–32</w:t>
      </w:r>
    </w:p>
    <w:p>
      <w:pPr>
        <w:spacing w:after="80"/>
      </w:pPr>
      <w:r>
        <w:rPr>
          <w:b w:val="0"/>
          <w:i w:val="0"/>
        </w:rPr>
        <w:t>doanh thu của Keurig, 37</w:t>
      </w:r>
    </w:p>
    <w:p>
      <w:pPr>
        <w:spacing w:after="80"/>
      </w:pPr>
      <w:r>
        <w:rPr>
          <w:b w:val="0"/>
          <w:i w:val="0"/>
        </w:rPr>
        <w:t>EBITDA của Sabre Corporation, 210</w:t>
      </w:r>
    </w:p>
    <w:p>
      <w:pPr>
        <w:spacing w:after="80"/>
      </w:pPr>
      <w:r>
        <w:rPr>
          <w:b w:val="0"/>
          <w:i w:val="0"/>
        </w:rPr>
        <w:t>CFFO của WorldCom, 172–173</w:t>
      </w:r>
    </w:p>
    <w:p>
      <w:pPr>
        <w:spacing w:after="80"/>
      </w:pPr>
      <w:r>
        <w:rPr>
          <w:b w:val="0"/>
          <w:i w:val="0"/>
        </w:rPr>
        <w:t>Informix, 46</w:t>
      </w:r>
    </w:p>
    <w:p>
      <w:pPr>
        <w:spacing w:after="80"/>
      </w:pPr>
      <w:r>
        <w:rPr>
          <w:b w:val="0"/>
          <w:i w:val="0"/>
        </w:rPr>
        <w:t>Phát hành cổ phiếu lần đầu ra công chúng (IPO), 25</w:t>
      </w:r>
    </w:p>
    <w:p>
      <w:pPr>
        <w:spacing w:after="80"/>
      </w:pPr>
      <w:r>
        <w:rPr>
          <w:b w:val="0"/>
          <w:i w:val="0"/>
        </w:rPr>
        <w:t>đối với Groupon, 65–66</w:t>
      </w:r>
    </w:p>
    <w:p>
      <w:pPr>
        <w:spacing w:after="80"/>
      </w:pPr>
      <w:r>
        <w:rPr>
          <w:b w:val="0"/>
          <w:i w:val="0"/>
        </w:rPr>
        <w:t>đối với Hertz, 271–272</w:t>
      </w:r>
    </w:p>
    <w:p>
      <w:pPr>
        <w:spacing w:after="80"/>
      </w:pPr>
      <w:r>
        <w:rPr>
          <w:b w:val="0"/>
          <w:i w:val="0"/>
        </w:rPr>
        <w:t>đối với MSTR, 33</w:t>
      </w:r>
    </w:p>
    <w:p>
      <w:pPr>
        <w:spacing w:after="80"/>
      </w:pPr>
      <w:r>
        <w:rPr>
          <w:b w:val="0"/>
          <w:i w:val="0"/>
        </w:rPr>
        <w:t xml:space="preserve">Bảo hiểm, 55. </w:t>
      </w:r>
      <w:r>
        <w:rPr>
          <w:b w:val="0"/>
          <w:i/>
        </w:rPr>
        <w:t>Xem thêm</w:t>
      </w:r>
      <w:r>
        <w:rPr>
          <w:b w:val="0"/>
          <w:i w:val="0"/>
        </w:rPr>
        <w:t xml:space="preserve"> Federal Insurance Contributions Act; Finite insurance; Self-insurance</w:t>
      </w:r>
    </w:p>
    <w:p>
      <w:pPr>
        <w:spacing w:after="80"/>
      </w:pPr>
      <w:r>
        <w:rPr>
          <w:b w:val="0"/>
          <w:i w:val="0"/>
        </w:rPr>
        <w:t>Tài sản vô hình, 239, 240</w:t>
      </w:r>
    </w:p>
    <w:p>
      <w:pPr>
        <w:spacing w:after="80"/>
      </w:pPr>
      <w:r>
        <w:rPr>
          <w:b w:val="0"/>
          <w:i w:val="0"/>
        </w:rPr>
        <w:t>Intel Corporation</w:t>
      </w:r>
    </w:p>
    <w:p>
      <w:pPr>
        <w:spacing w:after="80"/>
      </w:pPr>
      <w:r>
        <w:rPr>
          <w:b w:val="0"/>
          <w:i w:val="0"/>
        </w:rPr>
        <w:t>hạch toán kế toán đối với, 93</w:t>
      </w:r>
    </w:p>
    <w:p>
      <w:pPr>
        <w:spacing w:after="80"/>
      </w:pPr>
      <w:r>
        <w:rPr>
          <w:b w:val="0"/>
          <w:i w:val="0"/>
        </w:rPr>
        <w:t>Giao dịch của Marvell Technology Group với, 72–74, 115–116, 246</w:t>
      </w:r>
    </w:p>
    <w:p>
      <w:pPr>
        <w:spacing w:after="80"/>
      </w:pPr>
      <w:r>
        <w:rPr>
          <w:b w:val="0"/>
          <w:i w:val="0"/>
        </w:rPr>
        <w:t>Internal Revenue Service, 105</w:t>
      </w:r>
    </w:p>
    <w:p>
      <w:pPr>
        <w:spacing w:after="80"/>
      </w:pPr>
      <w:r>
        <w:rPr>
          <w:b w:val="0"/>
          <w:i w:val="0"/>
        </w:rPr>
        <w:t xml:space="preserve">Hàng tồn kho. </w:t>
      </w:r>
      <w:r>
        <w:rPr>
          <w:b w:val="0"/>
          <w:i/>
        </w:rPr>
        <w:t>Xem thêm</w:t>
      </w:r>
      <w:r>
        <w:rPr>
          <w:b w:val="0"/>
          <w:i w:val="0"/>
        </w:rPr>
        <w:t xml:space="preserve"> Số ngày bán hàng tồn kho</w:t>
      </w:r>
    </w:p>
    <w:p>
      <w:pPr>
        <w:spacing w:after="80"/>
      </w:pPr>
      <w:r>
        <w:rPr>
          <w:b w:val="0"/>
          <w:i w:val="0"/>
        </w:rPr>
        <w:t>tích lũy, 97</w:t>
      </w:r>
    </w:p>
    <w:p>
      <w:pPr>
        <w:spacing w:after="80"/>
      </w:pPr>
      <w:r>
        <w:rPr>
          <w:b w:val="0"/>
          <w:i w:val="0"/>
        </w:rPr>
        <w:t>Việc thúc đẩy CFFO liên quan đến, 189–191</w:t>
      </w:r>
    </w:p>
    <w:p>
      <w:pPr>
        <w:spacing w:after="80"/>
      </w:pPr>
      <w:r>
        <w:rPr>
          <w:b w:val="0"/>
          <w:i w:val="0"/>
        </w:rPr>
        <w:t>đánh giá của nhà đầu tư về, 199</w:t>
      </w:r>
    </w:p>
    <w:p>
      <w:pPr>
        <w:spacing w:after="80"/>
      </w:pPr>
      <w:r>
        <w:rPr>
          <w:b w:val="0"/>
          <w:i w:val="0"/>
        </w:rPr>
        <w:t>đối với Merck &amp; Co. được chuyển sang Bảng cân đối kế toán, 226</w:t>
      </w:r>
    </w:p>
    <w:p>
      <w:pPr>
        <w:spacing w:after="80"/>
      </w:pPr>
      <w:r>
        <w:rPr>
          <w:b w:val="0"/>
          <w:i w:val="0"/>
        </w:rPr>
        <w:t>các chỉ số bị bóp méo để che giấu vấn đề lợi nhuận, 226–227</w:t>
      </w:r>
    </w:p>
    <w:p>
      <w:pPr>
        <w:spacing w:after="80"/>
      </w:pPr>
      <w:r>
        <w:rPr>
          <w:b w:val="0"/>
          <w:i w:val="0"/>
        </w:rPr>
        <w:t>chi phí lỗi thời, 96–97, 99</w:t>
      </w:r>
    </w:p>
    <w:p>
      <w:pPr>
        <w:spacing w:after="80"/>
      </w:pPr>
      <w:r>
        <w:rPr>
          <w:b w:val="0"/>
          <w:i w:val="0"/>
        </w:rPr>
        <w:t>các khoản mua hàng được ghi nhận là dòng tiền ra từ hoạt động đầu tư, 175–179</w:t>
      </w:r>
    </w:p>
    <w:p>
      <w:pPr>
        <w:spacing w:after="80"/>
      </w:pPr>
      <w:r>
        <w:rPr>
          <w:b w:val="0"/>
          <w:i w:val="0"/>
        </w:rPr>
        <w:t>Symbol Technologies che đậy vấn đề này, 226</w:t>
      </w:r>
    </w:p>
    <w:p>
      <w:pPr>
        <w:spacing w:after="80"/>
      </w:pPr>
      <w:r>
        <w:rPr>
          <w:b w:val="0"/>
          <w:i w:val="0"/>
        </w:rPr>
        <w:t>Hoạt động đầu tư, 167</w:t>
      </w:r>
    </w:p>
    <w:p>
      <w:pPr>
        <w:spacing w:after="80"/>
      </w:pPr>
      <w:r>
        <w:rPr>
          <w:b w:val="0"/>
          <w:i w:val="0"/>
        </w:rPr>
        <w:t>dòng tiền vào cho, 147, 149, 152, 168, 251, 259</w:t>
      </w:r>
    </w:p>
    <w:p>
      <w:pPr>
        <w:spacing w:after="80"/>
      </w:pPr>
      <w:r>
        <w:rPr>
          <w:b w:val="0"/>
          <w:i w:val="0"/>
        </w:rPr>
        <w:t>dòng tiền ra cho, 147–149, 152, 168, 251, 259</w:t>
      </w:r>
    </w:p>
    <w:p>
      <w:pPr>
        <w:spacing w:after="80"/>
      </w:pPr>
      <w:r>
        <w:rPr>
          <w:b w:val="0"/>
          <w:i w:val="0"/>
        </w:rPr>
        <w:t>dòng tiền ra được chuyển sang, 240–241, 250–258</w:t>
      </w:r>
    </w:p>
    <w:p>
      <w:pPr>
        <w:spacing w:after="80"/>
      </w:pPr>
      <w:r>
        <w:rPr>
          <w:b w:val="0"/>
          <w:i w:val="0"/>
        </w:rPr>
        <w:t>các khoản mua hàng tồn kho được ghi nhận là dòng tiền ra cho, 175–179</w:t>
      </w:r>
    </w:p>
    <w:p>
      <w:pPr>
        <w:spacing w:after="80"/>
      </w:pPr>
      <w:r>
        <w:rPr>
          <w:b w:val="0"/>
          <w:i w:val="0"/>
        </w:rPr>
        <w:t xml:space="preserve">Mục Đầu tư. </w:t>
      </w:r>
      <w:r>
        <w:rPr>
          <w:b w:val="0"/>
          <w:i/>
        </w:rPr>
        <w:t>Xem</w:t>
      </w:r>
      <w:r>
        <w:rPr>
          <w:b w:val="0"/>
          <w:i w:val="0"/>
        </w:rPr>
        <w:t xml:space="preserve"> Hoạt động đầu tư</w:t>
      </w:r>
    </w:p>
    <w:p>
      <w:pPr>
        <w:spacing w:after="80"/>
      </w:pPr>
      <w:r>
        <w:rPr>
          <w:b w:val="0"/>
          <w:i w:val="0"/>
        </w:rPr>
        <w:t>Các khoản đầu tư</w:t>
      </w:r>
    </w:p>
    <w:p>
      <w:pPr>
        <w:spacing w:after="80"/>
      </w:pPr>
      <w:r>
        <w:rPr>
          <w:b w:val="0"/>
          <w:i w:val="0"/>
        </w:rPr>
        <w:t>suy giảm giá trị của, 102–103, 134</w:t>
      </w:r>
    </w:p>
    <w:p>
      <w:pPr>
        <w:spacing w:after="80"/>
      </w:pPr>
      <w:r>
        <w:rPr>
          <w:b w:val="0"/>
          <w:i w:val="0"/>
        </w:rPr>
        <w:t>thu nhập như doanh thu, 78–79</w:t>
      </w:r>
    </w:p>
    <w:p>
      <w:pPr>
        <w:spacing w:after="80"/>
      </w:pPr>
      <w:r>
        <w:rPr>
          <w:b w:val="0"/>
          <w:i w:val="0"/>
        </w:rPr>
        <w:t>Nhà đầu tư</w:t>
      </w:r>
    </w:p>
    <w:p>
      <w:pPr>
        <w:spacing w:after="80"/>
      </w:pPr>
      <w:r>
        <w:rPr>
          <w:b w:val="0"/>
          <w:i w:val="0"/>
        </w:rPr>
        <w:t>thay đổi kế toán liên quan đến, 88–89</w:t>
      </w:r>
    </w:p>
    <w:p>
      <w:pPr>
        <w:spacing w:after="80"/>
      </w:pPr>
      <w:r>
        <w:rPr>
          <w:b w:val="0"/>
          <w:i w:val="0"/>
        </w:rPr>
        <w:t>các khoản phải thu được đánh giá bởi, 199</w:t>
      </w:r>
    </w:p>
    <w:p>
      <w:pPr>
        <w:spacing w:after="80"/>
      </w:pPr>
      <w:r>
        <w:rPr>
          <w:b w:val="0"/>
          <w:i w:val="0"/>
        </w:rPr>
        <w:t>đánh giá công bố thông tin về thương vụ mua lại, 264</w:t>
      </w:r>
    </w:p>
    <w:p>
      <w:pPr>
        <w:spacing w:after="80"/>
      </w:pPr>
      <w:r>
        <w:rPr>
          <w:b w:val="0"/>
          <w:i w:val="0"/>
        </w:rPr>
        <w:t>chú ý đến các thay đổi, 288–289</w:t>
      </w:r>
    </w:p>
    <w:p>
      <w:pPr>
        <w:spacing w:after="80"/>
      </w:pPr>
      <w:r>
        <w:rPr>
          <w:b w:val="0"/>
          <w:i w:val="0"/>
        </w:rPr>
        <w:t>kiểm toán viên liên quan đến, 22–23, 38–39</w:t>
      </w:r>
    </w:p>
    <w:p>
      <w:pPr>
        <w:spacing w:after="80"/>
      </w:pPr>
      <w:r>
        <w:rPr>
          <w:b w:val="0"/>
          <w:i w:val="0"/>
        </w:rPr>
        <w:t>giao dịch hàng đổi hàng liên quan đến, 57–58</w:t>
      </w:r>
    </w:p>
    <w:p>
      <w:pPr>
        <w:spacing w:after="80"/>
      </w:pPr>
      <w:r>
        <w:rPr>
          <w:b w:val="0"/>
          <w:i w:val="0"/>
        </w:rPr>
        <w:t>thành viên hội đồng quản trị được đánh giá bởi, 20</w:t>
      </w:r>
    </w:p>
    <w:p>
      <w:pPr>
        <w:spacing w:after="80"/>
      </w:pPr>
      <w:r>
        <w:rPr>
          <w:b w:val="0"/>
          <w:i w:val="0"/>
        </w:rPr>
        <w:t>tầm quan trọng của CFFO đối với, 146–147</w:t>
      </w:r>
    </w:p>
    <w:p>
      <w:pPr>
        <w:spacing w:after="80"/>
      </w:pPr>
      <w:r>
        <w:rPr>
          <w:b w:val="0"/>
          <w:i w:val="0"/>
        </w:rPr>
        <w:t>các kế hoạch thù lao bị chất vấn bởi, 22</w:t>
      </w:r>
    </w:p>
    <w:p>
      <w:pPr>
        <w:spacing w:after="80"/>
      </w:pPr>
      <w:r>
        <w:rPr>
          <w:b w:val="0"/>
          <w:i w:val="0"/>
        </w:rPr>
        <w:t>các khoản dự phòng liên quan đến, 108–109</w:t>
      </w:r>
    </w:p>
    <w:p>
      <w:pPr>
        <w:spacing w:after="80"/>
      </w:pPr>
      <w:r>
        <w:rPr>
          <w:b w:val="0"/>
          <w:i w:val="0"/>
        </w:rPr>
        <w:t>quản lý doanh nghiệp gây hiểu lầm, 28–29, 294–295</w:t>
      </w:r>
    </w:p>
    <w:p>
      <w:pPr>
        <w:spacing w:after="80"/>
      </w:pPr>
      <w:r>
        <w:rPr>
          <w:b w:val="0"/>
          <w:i w:val="0"/>
        </w:rPr>
        <w:t>thận trọng về tài trợ khách hàng đối với, 49</w:t>
      </w:r>
    </w:p>
    <w:p>
      <w:pPr>
        <w:spacing w:after="80"/>
      </w:pPr>
      <w:r>
        <w:rPr>
          <w:b w:val="0"/>
          <w:i w:val="0"/>
        </w:rPr>
        <w:t>một cách siêng năng, 48</w:t>
      </w:r>
    </w:p>
    <w:p>
      <w:pPr>
        <w:spacing w:after="80"/>
      </w:pPr>
      <w:r>
        <w:rPr>
          <w:b w:val="0"/>
          <w:i w:val="0"/>
        </w:rPr>
        <w:t>DPO được phân tích bởi, 184</w:t>
      </w:r>
    </w:p>
    <w:p>
      <w:pPr>
        <w:spacing w:after="80"/>
      </w:pPr>
      <w:r>
        <w:rPr>
          <w:b w:val="0"/>
          <w:i w:val="0"/>
        </w:rPr>
        <w:t>DSO được đo lường bởi, 41, 222, 226</w:t>
      </w:r>
    </w:p>
    <w:p>
      <w:pPr>
        <w:spacing w:after="80"/>
      </w:pPr>
      <w:r>
        <w:rPr>
          <w:b w:val="0"/>
          <w:i w:val="0"/>
        </w:rPr>
        <w:t>thận trọng về điều khoản thanh toán kéo dài đối với, 49–50</w:t>
      </w:r>
    </w:p>
    <w:p>
      <w:pPr>
        <w:spacing w:after="80"/>
      </w:pPr>
      <w:r>
        <w:rPr>
          <w:b w:val="0"/>
          <w:i w:val="0"/>
        </w:rPr>
        <w:t>báo cáo tài chính được đánh giá bởi, 195</w:t>
      </w:r>
    </w:p>
    <w:p>
      <w:pPr>
        <w:spacing w:after="80"/>
      </w:pPr>
      <w:r>
        <w:rPr>
          <w:b w:val="0"/>
          <w:i w:val="0"/>
        </w:rPr>
        <w:t>các yếu tố then chốt của báo cáo tài chính để giải thích cho, 287–295</w:t>
      </w:r>
    </w:p>
    <w:p>
      <w:pPr>
        <w:spacing w:after="80"/>
      </w:pPr>
      <w:r>
        <w:rPr>
          <w:b w:val="0"/>
          <w:i w:val="0"/>
        </w:rPr>
        <w:t>sự đánh lừa của, 3–4</w:t>
      </w:r>
    </w:p>
    <w:p>
      <w:pPr>
        <w:spacing w:after="80"/>
      </w:pPr>
      <w:r>
        <w:rPr>
          <w:b w:val="0"/>
          <w:i w:val="0"/>
        </w:rPr>
        <w:t>FSLR liên quan đến, 39–40</w:t>
      </w:r>
    </w:p>
    <w:p>
      <w:pPr>
        <w:spacing w:after="80"/>
      </w:pPr>
      <w:r>
        <w:rPr>
          <w:b w:val="0"/>
          <w:i w:val="0"/>
        </w:rPr>
        <w:t>đánh giá hàng tồn kho, 199</w:t>
      </w:r>
    </w:p>
    <w:p>
      <w:pPr>
        <w:spacing w:after="80"/>
      </w:pPr>
      <w:r>
        <w:rPr>
          <w:b w:val="0"/>
          <w:i w:val="0"/>
        </w:rPr>
        <w:t>bài học cho, 35</w:t>
      </w:r>
    </w:p>
    <w:p>
      <w:pPr>
        <w:spacing w:after="80"/>
      </w:pPr>
      <w:r>
        <w:rPr>
          <w:b w:val="0"/>
          <w:i w:val="0"/>
        </w:rPr>
        <w:t>giải thích doanh thu hữu cơ bởi, 263</w:t>
      </w:r>
    </w:p>
    <w:p>
      <w:pPr>
        <w:spacing w:after="80"/>
      </w:pPr>
      <w:r>
        <w:rPr>
          <w:b w:val="0"/>
          <w:i w:val="0"/>
        </w:rPr>
        <w:t>các chỉ số pro forma liên quan đến, 197–198</w:t>
      </w:r>
    </w:p>
    <w:p>
      <w:pPr>
        <w:spacing w:after="80"/>
      </w:pPr>
      <w:r>
        <w:rPr>
          <w:b w:val="0"/>
          <w:i w:val="0"/>
        </w:rPr>
        <w:t>câu hỏi cho các công ty, 18</w:t>
      </w:r>
    </w:p>
    <w:p>
      <w:pPr>
        <w:spacing w:after="80"/>
      </w:pPr>
      <w:r>
        <w:rPr>
          <w:b w:val="0"/>
          <w:i w:val="0"/>
        </w:rPr>
        <w:t>về SCF, 15</w:t>
      </w:r>
    </w:p>
    <w:p>
      <w:pPr>
        <w:spacing w:after="80"/>
      </w:pPr>
      <w:r>
        <w:rPr>
          <w:b w:val="0"/>
          <w:i w:val="0"/>
        </w:rPr>
        <w:t>sự hoài nghi bởi, 288</w:t>
      </w:r>
    </w:p>
    <w:p>
      <w:pPr>
        <w:spacing w:after="80"/>
      </w:pPr>
      <w:r>
        <w:rPr>
          <w:b w:val="0"/>
          <w:i w:val="0"/>
        </w:rPr>
        <w:t>các chỉ số dựa trên người đăng ký được điều tra bởi, 196</w:t>
      </w:r>
    </w:p>
    <w:p>
      <w:pPr>
        <w:spacing w:after="80"/>
      </w:pPr>
      <w:r>
        <w:rPr>
          <w:b w:val="0"/>
          <w:i w:val="0"/>
        </w:rPr>
        <w:t>mô hình kinh doanh dựa trên thuê bao được đánh giá bởi, 195–196</w:t>
      </w:r>
    </w:p>
    <w:p>
      <w:pPr>
        <w:spacing w:after="80"/>
      </w:pPr>
      <w:r>
        <w:rPr>
          <w:b w:val="0"/>
          <w:i w:val="0"/>
        </w:rPr>
        <w:t>Tween Brands Inc. lừa đảo, 226–227</w:t>
      </w:r>
    </w:p>
    <w:p>
      <w:pPr>
        <w:spacing w:after="80"/>
      </w:pPr>
      <w:r>
        <w:rPr>
          <w:b w:val="0"/>
          <w:i w:val="0"/>
        </w:rPr>
        <w:t>các dấu hiệu cảnh báo cho, 34–35</w:t>
      </w:r>
    </w:p>
    <w:p>
      <w:pPr>
        <w:spacing w:after="80"/>
      </w:pPr>
      <w:r>
        <w:rPr>
          <w:b w:val="0"/>
          <w:i w:val="0"/>
        </w:rPr>
        <w:t>WM cảnh báo cho, 5</w:t>
      </w:r>
    </w:p>
    <w:p>
      <w:pPr>
        <w:spacing w:after="80"/>
      </w:pPr>
      <w:r>
        <w:rPr>
          <w:b w:val="0"/>
          <w:i w:val="0"/>
        </w:rPr>
        <w:t>nhận thức về việc xóa sổ cho, 266–267</w:t>
      </w:r>
    </w:p>
    <w:p>
      <w:pPr>
        <w:spacing w:after="80"/>
      </w:pPr>
      <w:r>
        <w:rPr>
          <w:b w:val="0"/>
          <w:i w:val="0"/>
        </w:rPr>
        <w:t>Hóa đơn, 106</w:t>
      </w:r>
    </w:p>
    <w:p>
      <w:pPr>
        <w:spacing w:after="80"/>
      </w:pPr>
      <w:r>
        <w:rPr>
          <w:b w:val="0"/>
          <w:i w:val="0"/>
        </w:rPr>
        <w:t xml:space="preserve">IPO. </w:t>
      </w:r>
      <w:r>
        <w:rPr>
          <w:b w:val="0"/>
          <w:i/>
        </w:rPr>
        <w:t>Xem</w:t>
      </w:r>
      <w:r>
        <w:rPr>
          <w:b w:val="0"/>
          <w:i w:val="0"/>
        </w:rPr>
        <w:t xml:space="preserve"> Phát hành cổ phiếu lần đầu ra công chúng</w:t>
      </w:r>
    </w:p>
    <w:p>
      <w:pPr>
        <w:spacing w:after="80"/>
      </w:pPr>
      <w:r>
        <w:rPr>
          <w:b w:val="0"/>
          <w:i w:val="0"/>
        </w:rPr>
        <w:t xml:space="preserve">Tù. </w:t>
      </w:r>
      <w:r>
        <w:rPr>
          <w:b w:val="0"/>
          <w:i/>
        </w:rPr>
        <w:t>Xem</w:t>
      </w:r>
      <w:r>
        <w:rPr>
          <w:b w:val="0"/>
          <w:i w:val="0"/>
        </w:rPr>
        <w:t xml:space="preserve"> Việc bỏ tù</w:t>
      </w:r>
    </w:p>
    <w:p>
      <w:pPr>
        <w:spacing w:after="80"/>
      </w:pPr>
      <w:r>
        <w:rPr>
          <w:b w:val="0"/>
          <w:i w:val="0"/>
        </w:rPr>
        <w:t>James, Bill, 196</w:t>
      </w:r>
    </w:p>
    <w:p>
      <w:pPr>
        <w:spacing w:after="80"/>
      </w:pPr>
      <w:r>
        <w:rPr>
          <w:b w:val="0"/>
          <w:i w:val="0"/>
        </w:rPr>
        <w:t>Liên doanh</w:t>
      </w:r>
    </w:p>
    <w:p>
      <w:pPr>
        <w:spacing w:after="80"/>
      </w:pPr>
      <w:r>
        <w:rPr>
          <w:b w:val="0"/>
          <w:i w:val="0"/>
        </w:rPr>
        <w:t>cho Enron, 80–81</w:t>
      </w:r>
    </w:p>
    <w:p>
      <w:pPr>
        <w:spacing w:after="80"/>
      </w:pPr>
      <w:r>
        <w:rPr>
          <w:b w:val="0"/>
          <w:i w:val="0"/>
        </w:rPr>
        <w:t>các đối tác, 62</w:t>
      </w:r>
    </w:p>
    <w:p>
      <w:pPr>
        <w:spacing w:after="80"/>
      </w:pPr>
      <w:r>
        <w:rPr>
          <w:b w:val="0"/>
          <w:i w:val="0"/>
        </w:rPr>
        <w:t>Kanebo, 23–24</w:t>
      </w:r>
    </w:p>
    <w:p>
      <w:pPr>
        <w:spacing w:after="80"/>
      </w:pPr>
      <w:r>
        <w:rPr>
          <w:b w:val="0"/>
          <w:i w:val="0"/>
        </w:rPr>
        <w:t>Kendall Square Research Corporation, 47</w:t>
      </w:r>
    </w:p>
    <w:p>
      <w:pPr>
        <w:spacing w:after="80"/>
      </w:pPr>
      <w:r>
        <w:rPr>
          <w:b w:val="0"/>
          <w:i w:val="0"/>
        </w:rPr>
        <w:t>Kennedy, Thomas, 272</w:t>
      </w:r>
    </w:p>
    <w:p>
      <w:pPr>
        <w:spacing w:after="80"/>
      </w:pPr>
      <w:r>
        <w:rPr>
          <w:b w:val="0"/>
          <w:i w:val="0"/>
        </w:rPr>
        <w:t>Keurig Green Mountain (Keurig), 36, 37</w:t>
      </w:r>
    </w:p>
    <w:p>
      <w:pPr>
        <w:spacing w:after="80"/>
      </w:pPr>
      <w:r>
        <w:rPr>
          <w:b w:val="0"/>
          <w:i w:val="0"/>
        </w:rPr>
        <w:t xml:space="preserve">Các chỉ số chính (Key Metrics - KM), 195. </w:t>
      </w:r>
      <w:r>
        <w:rPr>
          <w:b w:val="0"/>
          <w:i/>
        </w:rPr>
        <w:t>Xem thêm</w:t>
      </w:r>
      <w:r>
        <w:rPr>
          <w:b w:val="0"/>
          <w:i w:val="0"/>
        </w:rPr>
        <w:t xml:space="preserve"> Các chỉ số sức khỏe kinh tế; Các chỉ số hiệu suất</w:t>
      </w:r>
    </w:p>
    <w:p>
      <w:pPr>
        <w:spacing w:after="80"/>
      </w:pPr>
      <w:r>
        <w:rPr>
          <w:b w:val="0"/>
          <w:i w:val="0"/>
        </w:rPr>
        <w:t>các danh mục được xác định, 16, 194</w:t>
      </w:r>
    </w:p>
    <w:p>
      <w:pPr>
        <w:spacing w:after="80"/>
      </w:pPr>
      <w:r>
        <w:rPr>
          <w:b w:val="0"/>
          <w:i w:val="0"/>
        </w:rPr>
        <w:t>đối với Global Crossing, 171–172</w:t>
      </w:r>
    </w:p>
    <w:p>
      <w:pPr>
        <w:spacing w:after="80"/>
      </w:pPr>
      <w:r>
        <w:rPr>
          <w:b w:val="0"/>
          <w:i w:val="0"/>
        </w:rPr>
        <w:t>Kolin, 89–90, 108</w:t>
      </w:r>
    </w:p>
    <w:p>
      <w:pPr>
        <w:spacing w:after="80"/>
      </w:pPr>
      <w:r>
        <w:rPr>
          <w:b w:val="0"/>
          <w:i w:val="0"/>
        </w:rPr>
        <w:t>Krispy Kreme, 43, 243</w:t>
      </w:r>
    </w:p>
    <w:p>
      <w:pPr>
        <w:spacing w:after="80"/>
      </w:pPr>
      <w:r>
        <w:rPr>
          <w:b w:val="0"/>
          <w:i w:val="0"/>
        </w:rPr>
        <w:t>Kumar, Sanjay, 32</w:t>
      </w:r>
    </w:p>
    <w:p>
      <w:pPr>
        <w:spacing w:after="80"/>
      </w:pPr>
      <w:r>
        <w:rPr>
          <w:b w:val="0"/>
          <w:i w:val="0"/>
        </w:rPr>
        <w:t>Lasorda, Tommy, 20</w:t>
      </w:r>
    </w:p>
    <w:p>
      <w:pPr>
        <w:spacing w:after="80"/>
      </w:pPr>
      <w:r>
        <w:rPr>
          <w:b w:val="0"/>
          <w:i w:val="0"/>
        </w:rPr>
        <w:t>Vụ kiện, 47</w:t>
      </w:r>
    </w:p>
    <w:p>
      <w:pPr>
        <w:spacing w:after="80"/>
      </w:pPr>
      <w:r>
        <w:rPr>
          <w:b w:val="0"/>
          <w:i w:val="0"/>
        </w:rPr>
        <w:t xml:space="preserve">Learning Company. </w:t>
      </w:r>
      <w:r>
        <w:rPr>
          <w:b w:val="0"/>
          <w:i/>
        </w:rPr>
        <w:t>Xem</w:t>
      </w:r>
      <w:r>
        <w:rPr>
          <w:b w:val="0"/>
          <w:i w:val="0"/>
        </w:rPr>
        <w:t xml:space="preserve"> The Learning Company</w:t>
      </w:r>
    </w:p>
    <w:p>
      <w:pPr>
        <w:spacing w:after="80"/>
      </w:pPr>
      <w:r>
        <w:rPr>
          <w:b w:val="0"/>
          <w:i w:val="0"/>
        </w:rPr>
        <w:t>Hợp đồng thuê, 109–110</w:t>
      </w:r>
    </w:p>
    <w:p>
      <w:pPr>
        <w:spacing w:after="80"/>
      </w:pPr>
      <w:r>
        <w:rPr>
          <w:b w:val="0"/>
          <w:i w:val="0"/>
        </w:rPr>
        <w:t>Lehman Brothers</w:t>
      </w:r>
    </w:p>
    <w:p>
      <w:pPr>
        <w:spacing w:after="80"/>
      </w:pPr>
      <w:r>
        <w:rPr>
          <w:b w:val="0"/>
          <w:i w:val="0"/>
        </w:rPr>
        <w:t>gian lận bởi, 10–11</w:t>
      </w:r>
    </w:p>
    <w:p>
      <w:pPr>
        <w:spacing w:after="80"/>
      </w:pPr>
      <w:r>
        <w:rPr>
          <w:b w:val="0"/>
          <w:i w:val="0"/>
        </w:rPr>
        <w:t>Bên cho vay, 102</w:t>
      </w:r>
    </w:p>
    <w:p>
      <w:pPr>
        <w:spacing w:after="80"/>
      </w:pPr>
      <w:r>
        <w:rPr>
          <w:b w:val="0"/>
          <w:i w:val="0"/>
        </w:rPr>
        <w:t>New Century Financial Corp. với tư cách là, 227–228</w:t>
      </w:r>
    </w:p>
    <w:p>
      <w:pPr>
        <w:spacing w:after="80"/>
      </w:pPr>
      <w:r>
        <w:rPr>
          <w:b w:val="0"/>
          <w:i w:val="0"/>
        </w:rPr>
        <w:t>các khoản dự trữ liên quan đến, 100–101</w:t>
      </w:r>
    </w:p>
    <w:p>
      <w:pPr>
        <w:spacing w:after="80"/>
      </w:pPr>
      <w:r>
        <w:rPr>
          <w:b w:val="0"/>
          <w:i w:val="0"/>
        </w:rPr>
        <w:t>Li &amp; Fung, 248</w:t>
      </w:r>
    </w:p>
    <w:p>
      <w:pPr>
        <w:spacing w:after="80"/>
      </w:pPr>
      <w:r>
        <w:rPr>
          <w:b w:val="0"/>
          <w:i w:val="0"/>
        </w:rPr>
        <w:t>Li Hejun, 61</w:t>
      </w:r>
    </w:p>
    <w:p>
      <w:pPr>
        <w:spacing w:after="80"/>
      </w:pPr>
      <w:r>
        <w:rPr>
          <w:b w:val="0"/>
          <w:i w:val="0"/>
        </w:rPr>
        <w:t>Các khoản nợ phải trả</w:t>
      </w:r>
    </w:p>
    <w:p>
      <w:pPr>
        <w:spacing w:after="80"/>
      </w:pPr>
      <w:r>
        <w:rPr>
          <w:b w:val="0"/>
          <w:i w:val="0"/>
        </w:rPr>
        <w:t>việc mua lại liên quan đến khoản thanh toán tiềm tàng, 247–248</w:t>
      </w:r>
    </w:p>
    <w:p>
      <w:pPr>
        <w:spacing w:after="80"/>
      </w:pPr>
      <w:r>
        <w:rPr>
          <w:b w:val="0"/>
          <w:i w:val="0"/>
        </w:rPr>
        <w:t>trên Bảng cân đối kế toán, 108–109</w:t>
      </w:r>
    </w:p>
    <w:p>
      <w:pPr>
        <w:spacing w:after="80"/>
      </w:pPr>
      <w:r>
        <w:rPr>
          <w:b w:val="0"/>
          <w:i w:val="0"/>
        </w:rPr>
        <w:t>lạm phát của, 113</w:t>
      </w:r>
    </w:p>
    <w:p>
      <w:pPr>
        <w:spacing w:after="80"/>
      </w:pPr>
      <w:r>
        <w:rPr>
          <w:b w:val="0"/>
          <w:i w:val="0"/>
        </w:rPr>
        <w:t>các khoản dự trữ như là, 112–113, 114–115, 116</w:t>
      </w:r>
    </w:p>
    <w:p>
      <w:pPr>
        <w:spacing w:after="80"/>
      </w:pPr>
      <w:r>
        <w:rPr>
          <w:b w:val="0"/>
          <w:i w:val="0"/>
        </w:rPr>
        <w:t>chi phí tái cơ cấu liên quan đến, 140–141</w:t>
      </w:r>
    </w:p>
    <w:p>
      <w:pPr>
        <w:spacing w:after="80"/>
      </w:pPr>
      <w:r>
        <w:rPr>
          <w:b w:val="0"/>
          <w:i w:val="0"/>
        </w:rPr>
        <w:t>doanh thu so với, 63</w:t>
      </w:r>
    </w:p>
    <w:p>
      <w:pPr>
        <w:spacing w:after="80"/>
      </w:pPr>
      <w:r>
        <w:rPr>
          <w:b w:val="0"/>
          <w:i w:val="0"/>
        </w:rPr>
        <w:t>cho bảo hành, 117–118</w:t>
      </w:r>
    </w:p>
    <w:p>
      <w:pPr>
        <w:spacing w:after="80"/>
      </w:pPr>
      <w:r>
        <w:rPr>
          <w:b w:val="0"/>
          <w:i w:val="0"/>
        </w:rPr>
        <w:t>Lifeline, 181–183</w:t>
      </w:r>
    </w:p>
    <w:p>
      <w:pPr>
        <w:spacing w:after="80"/>
      </w:pPr>
      <w:r>
        <w:rPr>
          <w:b w:val="0"/>
          <w:i w:val="0"/>
        </w:rPr>
        <w:t>Chi phí đường dây, 8–9, 85–86, 113, 172–173</w:t>
      </w:r>
    </w:p>
    <w:p>
      <w:pPr>
        <w:spacing w:after="80"/>
      </w:pPr>
      <w:r>
        <w:rPr>
          <w:b w:val="0"/>
          <w:i w:val="0"/>
        </w:rPr>
        <w:t>Linn Energy</w:t>
      </w:r>
    </w:p>
    <w:p>
      <w:pPr>
        <w:spacing w:after="80"/>
      </w:pPr>
      <w:r>
        <w:rPr>
          <w:b w:val="0"/>
          <w:i w:val="0"/>
        </w:rPr>
        <w:t>chi tiêu vốn cho, 217–218</w:t>
      </w:r>
    </w:p>
    <w:p>
      <w:pPr>
        <w:spacing w:after="80"/>
      </w:pPr>
      <w:r>
        <w:rPr>
          <w:b w:val="0"/>
          <w:i w:val="0"/>
        </w:rPr>
        <w:t>như là MLPs, 215–216, 218</w:t>
      </w:r>
    </w:p>
    <w:p>
      <w:pPr>
        <w:spacing w:after="80"/>
      </w:pPr>
      <w:r>
        <w:rPr>
          <w:b w:val="0"/>
          <w:i w:val="0"/>
        </w:rPr>
        <w:t>các chỉ số phi GAAP và GAAP cho, 215–217, 291</w:t>
      </w:r>
    </w:p>
    <w:p>
      <w:pPr>
        <w:spacing w:after="80"/>
      </w:pPr>
      <w:r>
        <w:rPr>
          <w:b w:val="0"/>
          <w:i w:val="0"/>
        </w:rPr>
        <w:t>Thanh khoản</w:t>
      </w:r>
    </w:p>
    <w:p>
      <w:pPr>
        <w:spacing w:after="80"/>
      </w:pPr>
      <w:r>
        <w:rPr>
          <w:b w:val="0"/>
          <w:i w:val="0"/>
        </w:rPr>
        <w:t>các chỉ số nợ bị bóp méo để che giấu vấn đề, 229–231</w:t>
      </w:r>
    </w:p>
    <w:p>
      <w:pPr>
        <w:spacing w:after="80"/>
      </w:pPr>
      <w:r>
        <w:rPr>
          <w:b w:val="0"/>
          <w:i w:val="0"/>
        </w:rPr>
        <w:t>Enron trong mối liên hệ với điều này, 199–200</w:t>
      </w:r>
    </w:p>
    <w:p>
      <w:pPr>
        <w:spacing w:after="80"/>
      </w:pPr>
      <w:r>
        <w:rPr>
          <w:b w:val="0"/>
          <w:i w:val="0"/>
        </w:rPr>
        <w:t>Thanh khoản và Nguồn vốn, 190</w:t>
      </w:r>
    </w:p>
    <w:p>
      <w:pPr>
        <w:spacing w:after="80"/>
      </w:pPr>
      <w:r>
        <w:rPr>
          <w:b w:val="0"/>
          <w:i w:val="0"/>
        </w:rPr>
        <w:t>Tổn thất cho vay, 227–229</w:t>
      </w:r>
    </w:p>
    <w:p>
      <w:pPr>
        <w:spacing w:after="80"/>
      </w:pPr>
      <w:r>
        <w:rPr>
          <w:b w:val="0"/>
          <w:i w:val="0"/>
        </w:rPr>
        <w:t>Danh mục cho vay, 227</w:t>
      </w:r>
    </w:p>
    <w:p>
      <w:pPr>
        <w:spacing w:after="80"/>
      </w:pPr>
      <w:r>
        <w:rPr>
          <w:b w:val="0"/>
          <w:i w:val="0"/>
        </w:rPr>
        <w:t>Lockhead, 94–95</w:t>
      </w:r>
    </w:p>
    <w:p>
      <w:pPr>
        <w:spacing w:after="80"/>
      </w:pPr>
      <w:r>
        <w:rPr>
          <w:b w:val="0"/>
          <w:i w:val="0"/>
        </w:rPr>
        <w:t>Lone Star Steakhouse, 20</w:t>
      </w:r>
    </w:p>
    <w:p>
      <w:pPr>
        <w:spacing w:after="80"/>
      </w:pPr>
      <w:r>
        <w:rPr>
          <w:b w:val="0"/>
          <w:i w:val="0"/>
        </w:rPr>
        <w:t>Các khoản phải thu dài hạn, 40–41</w:t>
      </w:r>
    </w:p>
    <w:p>
      <w:pPr>
        <w:spacing w:after="80"/>
      </w:pPr>
      <w:r>
        <w:rPr>
          <w:b w:val="0"/>
          <w:i w:val="0"/>
        </w:rPr>
        <w:t xml:space="preserve">Tổn thất. </w:t>
      </w:r>
      <w:r>
        <w:rPr>
          <w:b w:val="0"/>
          <w:i/>
        </w:rPr>
        <w:t>Xem thêm</w:t>
      </w:r>
      <w:r>
        <w:rPr>
          <w:b w:val="0"/>
          <w:i w:val="0"/>
        </w:rPr>
        <w:t xml:space="preserve"> Tổn thất tín dụng; Tổn thất cho vay</w:t>
      </w:r>
    </w:p>
    <w:p>
      <w:pPr>
        <w:spacing w:after="80"/>
      </w:pPr>
      <w:r>
        <w:rPr>
          <w:b w:val="0"/>
          <w:i w:val="0"/>
        </w:rPr>
        <w:t>thổi phồng lợi nhuận bằng cách che giấu, 244–245</w:t>
      </w:r>
    </w:p>
    <w:p>
      <w:pPr>
        <w:spacing w:after="80"/>
      </w:pPr>
      <w:r>
        <w:rPr>
          <w:b w:val="0"/>
          <w:i w:val="0"/>
        </w:rPr>
        <w:t>các thủ thuật để che giấu chi phí hoặc, 106</w:t>
      </w:r>
    </w:p>
    <w:p>
      <w:pPr>
        <w:spacing w:after="80"/>
      </w:pPr>
      <w:r>
        <w:rPr>
          <w:b w:val="0"/>
          <w:i w:val="0"/>
        </w:rPr>
        <w:t>Lucent, 112</w:t>
      </w:r>
    </w:p>
    <w:p>
      <w:pPr>
        <w:spacing w:after="80"/>
      </w:pPr>
      <w:r>
        <w:rPr>
          <w:b w:val="0"/>
          <w:i w:val="0"/>
        </w:rPr>
        <w:t>Chi phí bảo trì, 217, 218</w:t>
      </w:r>
    </w:p>
    <w:p>
      <w:pPr>
        <w:spacing w:after="80"/>
      </w:pPr>
      <w:r>
        <w:rPr>
          <w:b w:val="0"/>
          <w:i w:val="0"/>
        </w:rPr>
        <w:t>Thảo luận và Phân tích của Ban điều hành (MD&amp;A), 190</w:t>
      </w:r>
    </w:p>
    <w:p>
      <w:pPr>
        <w:spacing w:after="80"/>
      </w:pPr>
      <w:r>
        <w:rPr>
          <w:b w:val="0"/>
          <w:i w:val="0"/>
        </w:rPr>
        <w:t>Hôn nhân, 18</w:t>
      </w:r>
    </w:p>
    <w:p>
      <w:pPr>
        <w:spacing w:after="80"/>
      </w:pPr>
      <w:r>
        <w:rPr>
          <w:b w:val="0"/>
          <w:i w:val="0"/>
        </w:rPr>
        <w:t>Marvell Technology Group, 72–74, 115–116, 246</w:t>
      </w:r>
    </w:p>
    <w:p>
      <w:pPr>
        <w:spacing w:after="80"/>
      </w:pPr>
      <w:r>
        <w:rPr>
          <w:b w:val="0"/>
          <w:i w:val="0"/>
        </w:rPr>
        <w:t>Hợp danh hữu hạn niêm yết (MLPs), 215–216, 218</w:t>
      </w:r>
    </w:p>
    <w:p>
      <w:pPr>
        <w:spacing w:after="80"/>
      </w:pPr>
      <w:r>
        <w:rPr>
          <w:b w:val="0"/>
          <w:i w:val="0"/>
        </w:rPr>
        <w:t>Mattel, 236</w:t>
      </w:r>
    </w:p>
    <w:p>
      <w:pPr>
        <w:spacing w:after="80"/>
      </w:pPr>
      <w:r>
        <w:rPr>
          <w:b w:val="0"/>
          <w:i w:val="0"/>
        </w:rPr>
        <w:t>Maytas, 21</w:t>
      </w:r>
    </w:p>
    <w:p>
      <w:pPr>
        <w:spacing w:after="80"/>
      </w:pPr>
      <w:r>
        <w:rPr>
          <w:b w:val="0"/>
          <w:i w:val="0"/>
        </w:rPr>
        <w:t>MCI Communications, 8, 10</w:t>
      </w:r>
    </w:p>
    <w:p>
      <w:pPr>
        <w:spacing w:after="80"/>
      </w:pPr>
      <w:r>
        <w:rPr>
          <w:b w:val="0"/>
          <w:i w:val="0"/>
        </w:rPr>
        <w:t>McKinsey &amp; Company, 276</w:t>
      </w:r>
    </w:p>
    <w:p>
      <w:pPr>
        <w:spacing w:after="80"/>
      </w:pPr>
      <w:r>
        <w:rPr>
          <w:b w:val="0"/>
          <w:i w:val="0"/>
        </w:rPr>
        <w:t xml:space="preserve">MD&amp;A. </w:t>
      </w:r>
      <w:r>
        <w:rPr>
          <w:b w:val="0"/>
          <w:i/>
        </w:rPr>
        <w:t>Xem</w:t>
      </w:r>
      <w:r>
        <w:rPr>
          <w:b w:val="0"/>
          <w:i w:val="0"/>
        </w:rPr>
        <w:t xml:space="preserve"> Management Discussion and Analysis</w:t>
      </w:r>
    </w:p>
    <w:p>
      <w:pPr>
        <w:spacing w:after="80"/>
      </w:pPr>
      <w:r>
        <w:rPr>
          <w:b w:val="0"/>
          <w:i w:val="0"/>
        </w:rPr>
        <w:t>MDC Partners, 262</w:t>
      </w:r>
    </w:p>
    <w:p>
      <w:pPr>
        <w:spacing w:after="80"/>
      </w:pPr>
      <w:r>
        <w:rPr>
          <w:b w:val="0"/>
          <w:i w:val="0"/>
        </w:rPr>
        <w:t>Medicis, 44–45, 246–247, 279</w:t>
      </w:r>
    </w:p>
    <w:p>
      <w:pPr>
        <w:spacing w:after="80"/>
      </w:pPr>
      <w:r>
        <w:rPr>
          <w:b w:val="0"/>
          <w:i w:val="0"/>
        </w:rPr>
        <w:t>Melnyk, Eugene, 278</w:t>
      </w:r>
    </w:p>
    <w:p>
      <w:pPr>
        <w:spacing w:after="80"/>
      </w:pPr>
      <w:r>
        <w:rPr>
          <w:b w:val="0"/>
          <w:i w:val="0"/>
        </w:rPr>
        <w:t>Merck &amp; Co., 226</w:t>
      </w:r>
    </w:p>
    <w:p>
      <w:pPr>
        <w:spacing w:after="80"/>
      </w:pPr>
      <w:r>
        <w:rPr>
          <w:b w:val="0"/>
          <w:i w:val="0"/>
        </w:rPr>
        <w:t xml:space="preserve">Sáp nhập. </w:t>
      </w:r>
      <w:r>
        <w:rPr>
          <w:b w:val="0"/>
          <w:i/>
        </w:rPr>
        <w:t>Xem thêm</w:t>
      </w:r>
      <w:r>
        <w:rPr>
          <w:b w:val="0"/>
          <w:i w:val="0"/>
        </w:rPr>
        <w:t xml:space="preserve"> Thương vụ mua lại</w:t>
      </w:r>
    </w:p>
    <w:p>
      <w:pPr>
        <w:spacing w:after="80"/>
      </w:pPr>
      <w:r>
        <w:rPr>
          <w:b w:val="0"/>
          <w:i w:val="0"/>
        </w:rPr>
        <w:t>giữa Biovail Corporation và Valeant Pharmaceuticals, 277–278</w:t>
      </w:r>
    </w:p>
    <w:p>
      <w:pPr>
        <w:spacing w:after="80"/>
      </w:pPr>
      <w:r>
        <w:rPr>
          <w:b w:val="0"/>
          <w:i w:val="0"/>
        </w:rPr>
        <w:t>giữa 3Com với U.S. Robotics, 127, 137–138</w:t>
      </w:r>
    </w:p>
    <w:p>
      <w:pPr>
        <w:spacing w:after="80"/>
      </w:pPr>
      <w:r>
        <w:rPr>
          <w:b w:val="0"/>
          <w:i w:val="0"/>
        </w:rPr>
        <w:t>Phương pháp luận, 64–65</w:t>
      </w:r>
    </w:p>
    <w:p>
      <w:pPr>
        <w:spacing w:after="80"/>
      </w:pPr>
      <w:r>
        <w:rPr>
          <w:b w:val="0"/>
          <w:i w:val="0"/>
        </w:rPr>
        <w:t xml:space="preserve">Các chỉ số đo lường. </w:t>
      </w:r>
      <w:r>
        <w:rPr>
          <w:b w:val="0"/>
          <w:i/>
        </w:rPr>
        <w:t>Xem thêm</w:t>
      </w:r>
      <w:r>
        <w:rPr>
          <w:b w:val="0"/>
          <w:i w:val="0"/>
        </w:rPr>
        <w:t xml:space="preserve"> Các chỉ số đo lường sức khỏe kinh tế; Các chỉ số đo lường theo GAAP; Các chỉ số đo lường chính; Các chỉ số đo lường gây hiểu lầm; Các chỉ số đo lường phi GAAP; Các chỉ số đo lường hiệu quả; Các chỉ số đo lường pro forma</w:t>
      </w:r>
    </w:p>
    <w:p>
      <w:pPr>
        <w:spacing w:after="80"/>
      </w:pPr>
      <w:r>
        <w:rPr>
          <w:b w:val="0"/>
          <w:i w:val="0"/>
        </w:rPr>
        <w:t>đối với các khoản phải thu bị bóp méo để che giấu doanh thu, 220–226</w:t>
      </w:r>
    </w:p>
    <w:p>
      <w:pPr>
        <w:spacing w:after="80"/>
      </w:pPr>
      <w:r>
        <w:rPr>
          <w:b w:val="0"/>
          <w:i w:val="0"/>
        </w:rPr>
        <w:t>đối với tài sản bị bóp méo để che giấu tổn thất, 227–229</w:t>
      </w:r>
    </w:p>
    <w:p>
      <w:pPr>
        <w:spacing w:after="80"/>
      </w:pPr>
      <w:r>
        <w:rPr>
          <w:b w:val="0"/>
          <w:i w:val="0"/>
        </w:rPr>
        <w:t>các kỹ thuật bóp méo Bảng cân đối kế toán, 220</w:t>
      </w:r>
    </w:p>
    <w:p>
      <w:pPr>
        <w:spacing w:after="80"/>
      </w:pPr>
      <w:r>
        <w:rPr>
          <w:b w:val="0"/>
          <w:i w:val="0"/>
        </w:rPr>
        <w:t>đối với nợ bị bóp méo để che giấu vấn đề thanh khoản, 229–231</w:t>
      </w:r>
    </w:p>
    <w:p>
      <w:pPr>
        <w:spacing w:after="80"/>
      </w:pPr>
      <w:r>
        <w:rPr>
          <w:b w:val="0"/>
          <w:i w:val="0"/>
        </w:rPr>
        <w:t>đối với hàng tồn kho bị bóp méo để che giấu vấn đề lợi nhuận, 226–227</w:t>
      </w:r>
    </w:p>
    <w:p>
      <w:pPr>
        <w:spacing w:after="80"/>
      </w:pPr>
      <w:r>
        <w:rPr>
          <w:b w:val="0"/>
          <w:i w:val="0"/>
        </w:rPr>
        <w:t>Microsoft</w:t>
      </w:r>
    </w:p>
    <w:p>
      <w:pPr>
        <w:spacing w:after="80"/>
      </w:pPr>
      <w:r>
        <w:rPr>
          <w:b w:val="0"/>
          <w:i w:val="0"/>
        </w:rPr>
        <w:t>việc công bố thông tin, 122–123</w:t>
      </w:r>
    </w:p>
    <w:p>
      <w:pPr>
        <w:spacing w:after="80"/>
      </w:pPr>
      <w:r>
        <w:rPr>
          <w:b w:val="0"/>
          <w:i w:val="0"/>
        </w:rPr>
        <w:t>Sun Microsystems liên quan đến vấn đề này, 191</w:t>
      </w:r>
    </w:p>
    <w:p>
      <w:pPr>
        <w:spacing w:after="80"/>
      </w:pPr>
      <w:r>
        <w:rPr>
          <w:b w:val="0"/>
          <w:i w:val="0"/>
        </w:rPr>
        <w:t>doanh thu chưa thực hiện đối với, 121–123</w:t>
      </w:r>
    </w:p>
    <w:p>
      <w:pPr>
        <w:spacing w:after="80"/>
      </w:pPr>
      <w:r>
        <w:rPr>
          <w:b w:val="0"/>
          <w:i w:val="0"/>
        </w:rPr>
        <w:t>MicroStrategy (MSTR)</w:t>
      </w:r>
    </w:p>
    <w:p>
      <w:pPr>
        <w:spacing w:after="80"/>
      </w:pPr>
      <w:r>
        <w:rPr>
          <w:b w:val="0"/>
          <w:i w:val="0"/>
        </w:rPr>
        <w:t>Exchange Applications liên quan đến, 35</w:t>
      </w:r>
    </w:p>
    <w:p>
      <w:pPr>
        <w:spacing w:after="80"/>
      </w:pPr>
      <w:r>
        <w:rPr>
          <w:b w:val="0"/>
          <w:i w:val="0"/>
        </w:rPr>
        <w:t>báo cáo tài chính cho, 33–34</w:t>
      </w:r>
    </w:p>
    <w:p>
      <w:pPr>
        <w:spacing w:after="80"/>
      </w:pPr>
      <w:r>
        <w:rPr>
          <w:b w:val="0"/>
          <w:i w:val="0"/>
        </w:rPr>
        <w:t>sự tăng trưởng của, 32–33</w:t>
      </w:r>
    </w:p>
    <w:p>
      <w:pPr>
        <w:spacing w:after="80"/>
      </w:pPr>
      <w:r>
        <w:rPr>
          <w:b w:val="0"/>
          <w:i w:val="0"/>
        </w:rPr>
        <w:t>Saylor của, 33</w:t>
      </w:r>
    </w:p>
    <w:p>
      <w:pPr>
        <w:spacing w:after="80"/>
      </w:pPr>
      <w:r>
        <w:rPr>
          <w:b w:val="0"/>
          <w:i w:val="0"/>
        </w:rPr>
        <w:t>Các chỉ số gây hiểu lầm</w:t>
      </w:r>
    </w:p>
    <w:p>
      <w:pPr>
        <w:spacing w:after="80"/>
      </w:pPr>
      <w:r>
        <w:rPr>
          <w:b w:val="0"/>
          <w:i w:val="0"/>
        </w:rPr>
        <w:t>như là các đại diện thay thế cho dòng tiền, 212–218</w:t>
      </w:r>
    </w:p>
    <w:p>
      <w:pPr>
        <w:spacing w:after="80"/>
      </w:pPr>
      <w:r>
        <w:rPr>
          <w:b w:val="0"/>
          <w:i w:val="0"/>
        </w:rPr>
        <w:t>như là các đại diện thay thế cho thu nhập, 208–212</w:t>
      </w:r>
    </w:p>
    <w:p>
      <w:pPr>
        <w:spacing w:after="80"/>
      </w:pPr>
      <w:r>
        <w:rPr>
          <w:b w:val="0"/>
          <w:i w:val="0"/>
        </w:rPr>
        <w:t>như là các đại diện thay thế cho doanh thu, 202–208</w:t>
      </w:r>
    </w:p>
    <w:p>
      <w:pPr>
        <w:spacing w:after="80"/>
      </w:pPr>
      <w:r>
        <w:rPr>
          <w:b w:val="0"/>
          <w:i w:val="0"/>
        </w:rPr>
        <w:t>các kỹ thuật để giới thiệu, 202</w:t>
      </w:r>
    </w:p>
    <w:p>
      <w:pPr>
        <w:spacing w:after="80"/>
      </w:pPr>
      <w:r>
        <w:rPr>
          <w:b w:val="0"/>
          <w:i w:val="0"/>
        </w:rPr>
        <w:t xml:space="preserve">MLPs. </w:t>
      </w:r>
      <w:r>
        <w:rPr>
          <w:b w:val="0"/>
          <w:i/>
        </w:rPr>
        <w:t>Xem</w:t>
      </w:r>
      <w:r>
        <w:rPr>
          <w:b w:val="0"/>
          <w:i w:val="0"/>
        </w:rPr>
        <w:t xml:space="preserve"> Master limited partnerships</w:t>
      </w:r>
    </w:p>
    <w:p>
      <w:pPr>
        <w:spacing w:after="80"/>
      </w:pPr>
      <w:r>
        <w:rPr>
          <w:b w:val="0"/>
          <w:i w:val="0"/>
        </w:rPr>
        <w:t xml:space="preserve">MSTR. </w:t>
      </w:r>
      <w:r>
        <w:rPr>
          <w:b w:val="0"/>
          <w:i/>
        </w:rPr>
        <w:t>Xem</w:t>
      </w:r>
      <w:r>
        <w:rPr>
          <w:b w:val="0"/>
          <w:i w:val="0"/>
        </w:rPr>
        <w:t xml:space="preserve"> MicroStrategy</w:t>
      </w:r>
    </w:p>
    <w:p>
      <w:pPr>
        <w:spacing w:after="80"/>
      </w:pPr>
      <w:r>
        <w:rPr>
          <w:b w:val="0"/>
          <w:i w:val="0"/>
        </w:rPr>
        <w:t>Nacchio, Joe, 3, 19, 290</w:t>
      </w:r>
    </w:p>
    <w:p>
      <w:pPr>
        <w:spacing w:after="80"/>
      </w:pPr>
      <w:r>
        <w:rPr>
          <w:b w:val="0"/>
          <w:i w:val="0"/>
        </w:rPr>
        <w:t>Nardelli, Bob, 183, 185, 189–190</w:t>
      </w:r>
    </w:p>
    <w:p>
      <w:pPr>
        <w:spacing w:after="80"/>
      </w:pPr>
      <w:r>
        <w:rPr>
          <w:b w:val="0"/>
          <w:i w:val="0"/>
        </w:rPr>
        <w:t>Navistar International Corp., 111</w:t>
      </w:r>
    </w:p>
    <w:p>
      <w:pPr>
        <w:spacing w:after="80"/>
      </w:pPr>
      <w:r>
        <w:rPr>
          <w:b w:val="0"/>
          <w:i w:val="0"/>
        </w:rPr>
        <w:t>NCR Corporation, 34</w:t>
      </w:r>
    </w:p>
    <w:p>
      <w:pPr>
        <w:spacing w:after="80"/>
      </w:pPr>
      <w:r>
        <w:rPr>
          <w:b w:val="0"/>
          <w:i w:val="0"/>
        </w:rPr>
        <w:t>Neil, Steven, 91</w:t>
      </w:r>
    </w:p>
    <w:p>
      <w:pPr>
        <w:spacing w:after="80"/>
      </w:pPr>
      <w:r>
        <w:rPr>
          <w:b w:val="0"/>
          <w:i w:val="0"/>
        </w:rPr>
        <w:t>Thu nhập ròng</w:t>
      </w:r>
    </w:p>
    <w:p>
      <w:pPr>
        <w:spacing w:after="80"/>
      </w:pPr>
      <w:r>
        <w:rPr>
          <w:b w:val="0"/>
          <w:i w:val="0"/>
        </w:rPr>
        <w:t>đối với AOL, 92–93</w:t>
      </w:r>
    </w:p>
    <w:p>
      <w:pPr>
        <w:spacing w:after="80"/>
      </w:pPr>
      <w:r>
        <w:rPr>
          <w:b w:val="0"/>
          <w:i w:val="0"/>
        </w:rPr>
        <w:t>CFFO trong mối quan hệ với, 146</w:t>
      </w:r>
    </w:p>
    <w:p>
      <w:pPr>
        <w:spacing w:after="80"/>
      </w:pPr>
      <w:r>
        <w:rPr>
          <w:b w:val="0"/>
          <w:i w:val="0"/>
        </w:rPr>
        <w:t>đối với Freddie Mac, 124</w:t>
      </w:r>
    </w:p>
    <w:p>
      <w:pPr>
        <w:spacing w:after="80"/>
      </w:pPr>
      <w:r>
        <w:rPr>
          <w:b w:val="0"/>
          <w:i w:val="0"/>
        </w:rPr>
        <w:t>các chỉ số GAAP trong mối quan hệ với, 10–11</w:t>
      </w:r>
    </w:p>
    <w:p>
      <w:pPr>
        <w:spacing w:after="80"/>
      </w:pPr>
      <w:r>
        <w:rPr>
          <w:b w:val="0"/>
          <w:i w:val="0"/>
        </w:rPr>
        <w:t>đối với Global Crossing so với CFFO, 169–170</w:t>
      </w:r>
    </w:p>
    <w:p>
      <w:pPr>
        <w:spacing w:after="80"/>
      </w:pPr>
      <w:r>
        <w:rPr>
          <w:b w:val="0"/>
          <w:i w:val="0"/>
        </w:rPr>
        <w:t>doanh thu liên quan đến, 7–8</w:t>
      </w:r>
    </w:p>
    <w:p>
      <w:pPr>
        <w:spacing w:after="80"/>
      </w:pPr>
      <w:r>
        <w:rPr>
          <w:b w:val="0"/>
          <w:i w:val="0"/>
        </w:rPr>
        <w:t>Netflix, 175–176</w:t>
      </w:r>
    </w:p>
    <w:p>
      <w:pPr>
        <w:spacing w:after="80"/>
      </w:pPr>
      <w:r>
        <w:rPr>
          <w:b w:val="0"/>
          <w:i w:val="0"/>
        </w:rPr>
        <w:t>New Century Financial Corp.</w:t>
      </w:r>
    </w:p>
    <w:p>
      <w:pPr>
        <w:spacing w:after="80"/>
      </w:pPr>
      <w:r>
        <w:rPr>
          <w:b w:val="0"/>
          <w:i w:val="0"/>
        </w:rPr>
        <w:t>công bố thông tin, 228–229</w:t>
      </w:r>
    </w:p>
    <w:p>
      <w:pPr>
        <w:spacing w:after="80"/>
      </w:pPr>
      <w:r>
        <w:rPr>
          <w:b w:val="0"/>
          <w:i w:val="0"/>
        </w:rPr>
        <w:t>gian lận bởi, 101</w:t>
      </w:r>
    </w:p>
    <w:p>
      <w:pPr>
        <w:spacing w:after="80"/>
      </w:pPr>
      <w:r>
        <w:rPr>
          <w:b w:val="0"/>
          <w:i w:val="0"/>
        </w:rPr>
        <w:t>dự phòng tổn thất cho vay, 227–229</w:t>
      </w:r>
    </w:p>
    <w:p>
      <w:pPr>
        <w:spacing w:after="80"/>
      </w:pPr>
      <w:r>
        <w:rPr>
          <w:b w:val="0"/>
          <w:i w:val="0"/>
        </w:rPr>
        <w:t>Tổng thống Nixon, 17</w:t>
      </w:r>
    </w:p>
    <w:p>
      <w:pPr>
        <w:spacing w:after="80"/>
      </w:pPr>
      <w:r>
        <w:rPr>
          <w:b w:val="0"/>
          <w:i w:val="0"/>
        </w:rPr>
        <w:t>Các chỉ số phi GAAP</w:t>
      </w:r>
    </w:p>
    <w:p>
      <w:pPr>
        <w:spacing w:after="80"/>
      </w:pPr>
      <w:r>
        <w:rPr>
          <w:b w:val="0"/>
          <w:i w:val="0"/>
        </w:rPr>
        <w:t>cho đặt chỗ và lượng công việc tồn đọng, 207</w:t>
      </w:r>
    </w:p>
    <w:p>
      <w:pPr>
        <w:spacing w:after="80"/>
      </w:pPr>
      <w:r>
        <w:rPr>
          <w:b w:val="0"/>
          <w:i w:val="0"/>
        </w:rPr>
        <w:t>các chỉ số thay thế dòng tiền, 197</w:t>
      </w:r>
    </w:p>
    <w:p>
      <w:pPr>
        <w:spacing w:after="80"/>
      </w:pPr>
      <w:r>
        <w:rPr>
          <w:b w:val="0"/>
          <w:i w:val="0"/>
        </w:rPr>
        <w:t>các chỉ số thay thế lợi nhuận, 197</w:t>
      </w:r>
    </w:p>
    <w:p>
      <w:pPr>
        <w:spacing w:after="80"/>
      </w:pPr>
      <w:r>
        <w:rPr>
          <w:b w:val="0"/>
          <w:i w:val="0"/>
        </w:rPr>
        <w:t>dòng tiền tự do như là, 215</w:t>
      </w:r>
    </w:p>
    <w:p>
      <w:pPr>
        <w:spacing w:after="80"/>
      </w:pPr>
      <w:r>
        <w:rPr>
          <w:b w:val="0"/>
          <w:i w:val="0"/>
        </w:rPr>
        <w:t>cho Gogo Inc., 213</w:t>
      </w:r>
    </w:p>
    <w:p>
      <w:pPr>
        <w:spacing w:after="80"/>
      </w:pPr>
      <w:r>
        <w:rPr>
          <w:b w:val="0"/>
          <w:i w:val="0"/>
        </w:rPr>
        <w:t>cho Groupon, 210–211</w:t>
      </w:r>
    </w:p>
    <w:p>
      <w:pPr>
        <w:spacing w:after="80"/>
      </w:pPr>
      <w:r>
        <w:rPr>
          <w:b w:val="0"/>
          <w:i w:val="0"/>
        </w:rPr>
        <w:t>cho Linn Energy, 215–217, 291</w:t>
      </w:r>
    </w:p>
    <w:p>
      <w:pPr>
        <w:spacing w:after="80"/>
      </w:pPr>
      <w:r>
        <w:rPr>
          <w:b w:val="0"/>
          <w:i w:val="0"/>
        </w:rPr>
        <w:t>các chỉ số thay thế doanh thu, 202, 205</w:t>
      </w:r>
    </w:p>
    <w:p>
      <w:pPr>
        <w:spacing w:after="80"/>
      </w:pPr>
      <w:r>
        <w:rPr>
          <w:b w:val="0"/>
          <w:i w:val="0"/>
        </w:rPr>
        <w:t>đối với Valeant Pharmaceuticals, 267–268</w:t>
      </w:r>
    </w:p>
    <w:p>
      <w:pPr>
        <w:spacing w:after="80"/>
      </w:pPr>
      <w:r>
        <w:rPr>
          <w:b w:val="0"/>
          <w:i w:val="0"/>
        </w:rPr>
        <w:t xml:space="preserve">Giao dịch phi tiền tệ. </w:t>
      </w:r>
      <w:r>
        <w:rPr>
          <w:b w:val="0"/>
          <w:i/>
        </w:rPr>
        <w:t>Xem</w:t>
      </w:r>
      <w:r>
        <w:rPr>
          <w:b w:val="0"/>
          <w:i w:val="0"/>
        </w:rPr>
        <w:t xml:space="preserve"> Giao dịch hàng đổi hàng</w:t>
      </w:r>
    </w:p>
    <w:p>
      <w:pPr>
        <w:spacing w:after="80"/>
      </w:pPr>
      <w:r>
        <w:rPr>
          <w:b w:val="0"/>
          <w:i w:val="0"/>
        </w:rPr>
        <w:t>Thỏa thuận không truy đòi, 164–165</w:t>
      </w:r>
    </w:p>
    <w:p>
      <w:pPr>
        <w:spacing w:after="80"/>
      </w:pPr>
      <w:r>
        <w:rPr>
          <w:b w:val="0"/>
          <w:i w:val="0"/>
        </w:rPr>
        <w:t>Giấy tờ phải thu, 221–223</w:t>
      </w:r>
    </w:p>
    <w:p>
      <w:pPr>
        <w:spacing w:after="80"/>
      </w:pPr>
      <w:r>
        <w:rPr>
          <w:b w:val="0"/>
          <w:i w:val="0"/>
        </w:rPr>
        <w:t>Nuance Communications, 177–178</w:t>
      </w:r>
    </w:p>
    <w:p>
      <w:pPr>
        <w:spacing w:after="80"/>
      </w:pPr>
      <w:r>
        <w:rPr>
          <w:b w:val="0"/>
          <w:i w:val="0"/>
        </w:rPr>
        <w:t xml:space="preserve">Lời thề. </w:t>
      </w:r>
      <w:r>
        <w:rPr>
          <w:b w:val="0"/>
          <w:i/>
        </w:rPr>
        <w:t>Xem</w:t>
      </w:r>
      <w:r>
        <w:rPr>
          <w:b w:val="0"/>
          <w:i w:val="0"/>
        </w:rPr>
        <w:t xml:space="preserve"> Lời thề Hippocrates</w:t>
      </w:r>
    </w:p>
    <w:p>
      <w:pPr>
        <w:spacing w:after="80"/>
      </w:pPr>
      <w:r>
        <w:rPr>
          <w:b w:val="0"/>
          <w:i w:val="0"/>
        </w:rPr>
        <w:t xml:space="preserve">OEM. </w:t>
      </w:r>
      <w:r>
        <w:rPr>
          <w:b w:val="0"/>
          <w:i/>
        </w:rPr>
        <w:t>Xem</w:t>
      </w:r>
      <w:r>
        <w:rPr>
          <w:b w:val="0"/>
          <w:i w:val="0"/>
        </w:rPr>
        <w:t xml:space="preserve"> Nhà sản xuất thiết bị gốc</w:t>
      </w:r>
    </w:p>
    <w:p>
      <w:pPr>
        <w:spacing w:after="80"/>
      </w:pPr>
      <w:r>
        <w:rPr>
          <w:b w:val="0"/>
          <w:i w:val="0"/>
        </w:rPr>
        <w:t>O’Leary, Kevin, 236</w:t>
      </w:r>
    </w:p>
    <w:p>
      <w:pPr>
        <w:spacing w:after="80"/>
      </w:pPr>
      <w:r>
        <w:rPr>
          <w:b w:val="0"/>
          <w:i w:val="0"/>
        </w:rPr>
        <w:t>Olympus Corp.</w:t>
      </w:r>
    </w:p>
    <w:p>
      <w:pPr>
        <w:spacing w:after="80"/>
      </w:pPr>
      <w:r>
        <w:rPr>
          <w:b w:val="0"/>
          <w:i w:val="0"/>
        </w:rPr>
        <w:t>EM bởi, 237</w:t>
      </w:r>
    </w:p>
    <w:p>
      <w:pPr>
        <w:spacing w:after="80"/>
      </w:pPr>
      <w:r>
        <w:rPr>
          <w:b w:val="0"/>
          <w:i w:val="0"/>
        </w:rPr>
        <w:t>Olympus Corp. (</w:t>
      </w:r>
      <w:r>
        <w:rPr>
          <w:b w:val="0"/>
          <w:i/>
        </w:rPr>
        <w:t>tiếp theo</w:t>
      </w:r>
      <w:r>
        <w:rPr>
          <w:b w:val="0"/>
          <w:i w:val="0"/>
        </w:rPr>
        <w:t>)</w:t>
      </w:r>
    </w:p>
    <w:p>
      <w:pPr>
        <w:spacing w:after="80"/>
      </w:pPr>
      <w:r>
        <w:rPr>
          <w:b w:val="0"/>
          <w:i w:val="0"/>
        </w:rPr>
        <w:t>gian lận bởi, 102–103</w:t>
      </w:r>
    </w:p>
    <w:p>
      <w:pPr>
        <w:spacing w:after="80"/>
      </w:pPr>
      <w:r>
        <w:rPr>
          <w:b w:val="0"/>
          <w:i w:val="0"/>
        </w:rPr>
        <w:t>Woodford là CEO của, 244–245</w:t>
      </w:r>
    </w:p>
    <w:p>
      <w:pPr>
        <w:spacing w:after="80"/>
      </w:pPr>
      <w:r>
        <w:rPr>
          <w:b w:val="0"/>
          <w:i w:val="0"/>
        </w:rPr>
        <w:t>Lợi ích một lần, 191</w:t>
      </w:r>
    </w:p>
    <w:p>
      <w:pPr>
        <w:spacing w:after="80"/>
      </w:pPr>
      <w:r>
        <w:rPr>
          <w:b w:val="0"/>
          <w:i w:val="0"/>
        </w:rPr>
        <w:t>Sự kiện một lần, 70–75</w:t>
      </w:r>
    </w:p>
    <w:p>
      <w:pPr>
        <w:spacing w:after="80"/>
      </w:pPr>
      <w:r>
        <w:rPr>
          <w:b w:val="0"/>
          <w:i w:val="0"/>
        </w:rPr>
        <w:t>Lợi nhuận một lần</w:t>
      </w:r>
    </w:p>
    <w:p>
      <w:pPr>
        <w:spacing w:after="80"/>
      </w:pPr>
      <w:r>
        <w:rPr>
          <w:b w:val="0"/>
          <w:i w:val="0"/>
        </w:rPr>
        <w:t>cho Softbank, 74</w:t>
      </w:r>
    </w:p>
    <w:p>
      <w:pPr>
        <w:spacing w:after="80"/>
      </w:pPr>
      <w:r>
        <w:rPr>
          <w:b w:val="0"/>
          <w:i w:val="0"/>
        </w:rPr>
        <w:t>Spansion liên quan đến, 209–210</w:t>
      </w:r>
    </w:p>
    <w:p>
      <w:pPr>
        <w:spacing w:after="80"/>
      </w:pPr>
      <w:r>
        <w:rPr>
          <w:b w:val="0"/>
          <w:i w:val="0"/>
        </w:rPr>
        <w:t>các khoản phí đặc biệt liên quan đến, 5–6</w:t>
      </w:r>
    </w:p>
    <w:p>
      <w:pPr>
        <w:spacing w:after="80"/>
      </w:pPr>
      <w:r>
        <w:rPr>
          <w:b w:val="0"/>
          <w:i w:val="0"/>
        </w:rPr>
        <w:t>Các hoạt động kinh doanh đang tiếp diễn, 204–205</w:t>
      </w:r>
    </w:p>
    <w:p>
      <w:pPr>
        <w:spacing w:after="80"/>
      </w:pPr>
      <w:r>
        <w:rPr>
          <w:b w:val="0"/>
          <w:i w:val="0"/>
        </w:rPr>
        <w:t>Quảng cáo trực tuyến, 66–67</w:t>
      </w:r>
    </w:p>
    <w:p>
      <w:pPr>
        <w:spacing w:after="80"/>
      </w:pPr>
      <w:r>
        <w:rPr>
          <w:b w:val="0"/>
          <w:i w:val="0"/>
        </w:rPr>
        <w:t>Openwave Systems, 48–49</w:t>
      </w:r>
    </w:p>
    <w:p>
      <w:pPr>
        <w:spacing w:after="80"/>
      </w:pPr>
      <w:r>
        <w:rPr>
          <w:b w:val="0"/>
          <w:i w:val="0"/>
        </w:rPr>
        <w:t>Hoạt động kinh doanh</w:t>
      </w:r>
    </w:p>
    <w:p>
      <w:pPr>
        <w:spacing w:after="80"/>
      </w:pPr>
      <w:r>
        <w:rPr>
          <w:b w:val="0"/>
          <w:i w:val="0"/>
        </w:rPr>
        <w:t>thừa hưởng dòng tiền vào từ việc mua lại, 250–256</w:t>
      </w:r>
    </w:p>
    <w:p>
      <w:pPr>
        <w:spacing w:after="80"/>
      </w:pPr>
      <w:r>
        <w:rPr>
          <w:b w:val="0"/>
          <w:i w:val="0"/>
        </w:rPr>
        <w:t>dòng tiền vào cho, 147, 149, 152, 168, 251, 259</w:t>
      </w:r>
    </w:p>
    <w:p>
      <w:pPr>
        <w:spacing w:after="80"/>
      </w:pPr>
      <w:r>
        <w:rPr>
          <w:b w:val="0"/>
          <w:i w:val="0"/>
        </w:rPr>
        <w:t>dòng tiền vào được chuyển sang, 258–262</w:t>
      </w:r>
    </w:p>
    <w:p>
      <w:pPr>
        <w:spacing w:after="80"/>
      </w:pPr>
      <w:r>
        <w:rPr>
          <w:b w:val="0"/>
          <w:i w:val="0"/>
        </w:rPr>
        <w:t>dòng tiền ra cho, 147, 149, 152, 168, 251, 259</w:t>
      </w:r>
    </w:p>
    <w:p>
      <w:pPr>
        <w:spacing w:after="80"/>
      </w:pPr>
      <w:r>
        <w:rPr>
          <w:b w:val="0"/>
          <w:i w:val="0"/>
        </w:rPr>
        <w:t>Chi phí hoạt động</w:t>
      </w:r>
    </w:p>
    <w:p>
      <w:pPr>
        <w:spacing w:after="80"/>
      </w:pPr>
      <w:r>
        <w:rPr>
          <w:b w:val="0"/>
          <w:i w:val="0"/>
        </w:rPr>
        <w:t>đối với Bảng cân đối kế toán, 240</w:t>
      </w:r>
    </w:p>
    <w:p>
      <w:pPr>
        <w:spacing w:after="80"/>
      </w:pPr>
      <w:r>
        <w:rPr>
          <w:b w:val="0"/>
          <w:i w:val="0"/>
        </w:rPr>
        <w:t>việc vốn hóa, 172–175</w:t>
      </w:r>
    </w:p>
    <w:p>
      <w:pPr>
        <w:spacing w:after="80"/>
      </w:pPr>
      <w:r>
        <w:rPr>
          <w:b w:val="0"/>
          <w:i w:val="0"/>
        </w:rPr>
        <w:t>Thu nhập hoạt động</w:t>
      </w:r>
    </w:p>
    <w:p>
      <w:pPr>
        <w:spacing w:after="80"/>
      </w:pPr>
      <w:r>
        <w:rPr>
          <w:b w:val="0"/>
          <w:i w:val="0"/>
        </w:rPr>
        <w:t>Bảng cân đối kế toán liên quan đến, 79–81</w:t>
      </w:r>
    </w:p>
    <w:p>
      <w:pPr>
        <w:spacing w:after="80"/>
      </w:pPr>
      <w:r>
        <w:rPr>
          <w:b w:val="0"/>
          <w:i w:val="0"/>
        </w:rPr>
        <w:t>cho Boston Chicken, 78–79</w:t>
      </w:r>
    </w:p>
    <w:p>
      <w:pPr>
        <w:spacing w:after="80"/>
      </w:pPr>
      <w:r>
        <w:rPr>
          <w:b w:val="0"/>
          <w:i w:val="0"/>
        </w:rPr>
        <w:t>các khoản phí tái cấu trúc liên quan đến, 76, 139</w:t>
      </w:r>
    </w:p>
    <w:p>
      <w:pPr>
        <w:spacing w:after="80"/>
      </w:pPr>
      <w:r>
        <w:rPr>
          <w:b w:val="0"/>
          <w:i w:val="0"/>
        </w:rPr>
        <w:t xml:space="preserve">Mục Hoạt động. </w:t>
      </w:r>
      <w:r>
        <w:rPr>
          <w:b w:val="0"/>
          <w:i/>
        </w:rPr>
        <w:t>Xem</w:t>
      </w:r>
      <w:r>
        <w:rPr>
          <w:b w:val="0"/>
          <w:i w:val="0"/>
        </w:rPr>
        <w:t xml:space="preserve"> Hoạt động kinh doanh</w:t>
      </w:r>
    </w:p>
    <w:p>
      <w:pPr>
        <w:spacing w:after="80"/>
      </w:pPr>
      <w:r>
        <w:rPr>
          <w:b w:val="0"/>
          <w:i w:val="0"/>
        </w:rPr>
        <w:t xml:space="preserve">Hoạt động. </w:t>
      </w:r>
      <w:r>
        <w:rPr>
          <w:b w:val="0"/>
          <w:i/>
        </w:rPr>
        <w:t>Xem</w:t>
      </w:r>
      <w:r>
        <w:rPr>
          <w:b w:val="0"/>
          <w:i w:val="0"/>
        </w:rPr>
        <w:t xml:space="preserve"> Dòng tiền từ hoạt động kinh doanh; Hoạt động đã chấm dứt; Báo cáo hoạt động</w:t>
      </w:r>
    </w:p>
    <w:p>
      <w:pPr>
        <w:spacing w:after="80"/>
      </w:pPr>
      <w:r>
        <w:rPr>
          <w:b w:val="0"/>
          <w:i w:val="0"/>
        </w:rPr>
        <w:t>Oracle từ Omaha, 13</w:t>
      </w:r>
    </w:p>
    <w:p>
      <w:pPr>
        <w:spacing w:after="80"/>
      </w:pPr>
      <w:r>
        <w:rPr>
          <w:b w:val="0"/>
          <w:i w:val="0"/>
        </w:rPr>
        <w:t>Nhà sản xuất thiết bị gốc (OEM), 34</w:t>
      </w:r>
    </w:p>
    <w:p>
      <w:pPr>
        <w:spacing w:after="80"/>
      </w:pPr>
      <w:r>
        <w:rPr>
          <w:b w:val="0"/>
          <w:i w:val="0"/>
        </w:rPr>
        <w:t>Các công ty mẹ, 61</w:t>
      </w:r>
    </w:p>
    <w:p>
      <w:pPr>
        <w:spacing w:after="80"/>
      </w:pPr>
      <w:r>
        <w:rPr>
          <w:b w:val="0"/>
          <w:i w:val="0"/>
        </w:rPr>
        <w:t>Parmalat Finanziaria SpA</w:t>
      </w:r>
    </w:p>
    <w:p>
      <w:pPr>
        <w:spacing w:after="80"/>
      </w:pPr>
      <w:r>
        <w:rPr>
          <w:b w:val="0"/>
          <w:i w:val="0"/>
        </w:rPr>
        <w:t>So sánh với Enron, 23</w:t>
      </w:r>
    </w:p>
    <w:p>
      <w:pPr>
        <w:spacing w:after="80"/>
      </w:pPr>
      <w:r>
        <w:rPr>
          <w:b w:val="0"/>
          <w:i w:val="0"/>
        </w:rPr>
        <w:t>gian lận bởi, 229–231</w:t>
      </w:r>
    </w:p>
    <w:p>
      <w:pPr>
        <w:spacing w:after="80"/>
      </w:pPr>
      <w:r>
        <w:rPr>
          <w:b w:val="0"/>
          <w:i w:val="0"/>
        </w:rPr>
        <w:t xml:space="preserve">Phải trả. </w:t>
      </w:r>
      <w:r>
        <w:rPr>
          <w:b w:val="0"/>
          <w:i/>
        </w:rPr>
        <w:t>Xem</w:t>
      </w:r>
      <w:r>
        <w:rPr>
          <w:b w:val="0"/>
          <w:i w:val="0"/>
        </w:rPr>
        <w:t xml:space="preserve"> Các khoản phải trả</w:t>
      </w:r>
    </w:p>
    <w:p>
      <w:pPr>
        <w:spacing w:after="80"/>
      </w:pPr>
      <w:r>
        <w:rPr>
          <w:b w:val="0"/>
          <w:i w:val="0"/>
        </w:rPr>
        <w:t xml:space="preserve">Thanh toán. </w:t>
      </w:r>
      <w:r>
        <w:rPr>
          <w:b w:val="0"/>
          <w:i/>
        </w:rPr>
        <w:t>Xem</w:t>
      </w:r>
      <w:r>
        <w:rPr>
          <w:b w:val="0"/>
          <w:i w:val="0"/>
        </w:rPr>
        <w:t xml:space="preserve"> Điều khoản thanh toán mở rộng</w:t>
      </w:r>
    </w:p>
    <w:p>
      <w:pPr>
        <w:spacing w:after="80"/>
      </w:pPr>
      <w:r>
        <w:rPr>
          <w:b w:val="0"/>
          <w:i w:val="0"/>
        </w:rPr>
        <w:t>Pearson, Michael, 22, 136, 276–277, 279–281, 283, 286</w:t>
      </w:r>
    </w:p>
    <w:p>
      <w:pPr>
        <w:spacing w:after="80"/>
      </w:pPr>
      <w:r>
        <w:rPr>
          <w:b w:val="0"/>
          <w:i w:val="0"/>
        </w:rPr>
        <w:t>Kế hoạch lương hưu</w:t>
      </w:r>
    </w:p>
    <w:p>
      <w:pPr>
        <w:spacing w:after="80"/>
      </w:pPr>
      <w:r>
        <w:rPr>
          <w:b w:val="0"/>
          <w:i w:val="0"/>
        </w:rPr>
        <w:t>Diageo liên quan đến, 179</w:t>
      </w:r>
    </w:p>
    <w:p>
      <w:pPr>
        <w:spacing w:after="80"/>
      </w:pPr>
      <w:r>
        <w:rPr>
          <w:b w:val="0"/>
          <w:i w:val="0"/>
        </w:rPr>
        <w:t>đối với Lucent, 112</w:t>
      </w:r>
    </w:p>
    <w:p>
      <w:pPr>
        <w:spacing w:after="80"/>
      </w:pPr>
      <w:r>
        <w:rPr>
          <w:b w:val="0"/>
          <w:i w:val="0"/>
        </w:rPr>
        <w:t>đối với Navistar International Corp., 111</w:t>
      </w:r>
    </w:p>
    <w:p>
      <w:pPr>
        <w:spacing w:after="80"/>
      </w:pPr>
      <w:r>
        <w:rPr>
          <w:b w:val="0"/>
          <w:i w:val="0"/>
        </w:rPr>
        <w:t>đối với Raytheon Co., 111–112</w:t>
      </w:r>
    </w:p>
    <w:p>
      <w:pPr>
        <w:spacing w:after="80"/>
      </w:pPr>
      <w:r>
        <w:rPr>
          <w:b w:val="0"/>
          <w:i w:val="0"/>
        </w:rPr>
        <w:t>Tỷ lệ hoàn thành (Percentage of completion - POC)</w:t>
      </w:r>
    </w:p>
    <w:p>
      <w:pPr>
        <w:spacing w:after="80"/>
      </w:pPr>
      <w:r>
        <w:rPr>
          <w:b w:val="0"/>
          <w:i w:val="0"/>
        </w:rPr>
        <w:t>bối cảnh về, 40</w:t>
      </w:r>
    </w:p>
    <w:p>
      <w:pPr>
        <w:spacing w:after="80"/>
      </w:pPr>
      <w:r>
        <w:rPr>
          <w:b w:val="0"/>
          <w:i w:val="0"/>
        </w:rPr>
        <w:t>Ulvac liên quan đến, 38–39, 289</w:t>
      </w:r>
    </w:p>
    <w:p>
      <w:pPr>
        <w:spacing w:after="80"/>
      </w:pPr>
      <w:r>
        <w:rPr>
          <w:b w:val="0"/>
          <w:i w:val="0"/>
        </w:rPr>
        <w:t>Peregrine Systems, 36</w:t>
      </w:r>
    </w:p>
    <w:p>
      <w:pPr>
        <w:spacing w:after="80"/>
      </w:pPr>
      <w:r>
        <w:rPr>
          <w:b w:val="0"/>
          <w:i w:val="0"/>
        </w:rPr>
        <w:t>các khoản phải thu giả liên quan đến, 56–57, 161–163, 211, 221</w:t>
      </w:r>
    </w:p>
    <w:p>
      <w:pPr>
        <w:spacing w:after="80"/>
      </w:pPr>
      <w:r>
        <w:rPr>
          <w:b w:val="0"/>
          <w:i w:val="0"/>
        </w:rPr>
        <w:t>CFFO bị thổi phồng liên quan đến, 57, 161–163, 221</w:t>
      </w:r>
    </w:p>
    <w:p>
      <w:pPr>
        <w:spacing w:after="80"/>
      </w:pPr>
      <w:r>
        <w:rPr>
          <w:b w:val="0"/>
          <w:i w:val="0"/>
        </w:rPr>
        <w:t>các chỉ số pro forma liên quan đến, 211</w:t>
      </w:r>
    </w:p>
    <w:p>
      <w:pPr>
        <w:spacing w:after="80"/>
      </w:pPr>
      <w:r>
        <w:rPr>
          <w:b w:val="0"/>
          <w:i w:val="0"/>
        </w:rPr>
        <w:t>công bố yếu tố rủi ro, 161–163</w:t>
      </w:r>
    </w:p>
    <w:p>
      <w:pPr>
        <w:spacing w:after="80"/>
      </w:pPr>
      <w:r>
        <w:rPr>
          <w:b w:val="0"/>
          <w:i w:val="0"/>
        </w:rPr>
        <w:t>SEC buộc tội, 56</w:t>
      </w:r>
    </w:p>
    <w:p>
      <w:pPr>
        <w:spacing w:after="80"/>
      </w:pPr>
      <w:r>
        <w:rPr>
          <w:b w:val="0"/>
          <w:i w:val="0"/>
        </w:rPr>
        <w:t>Các chỉ số hiệu suất, 195–198</w:t>
      </w:r>
    </w:p>
    <w:p>
      <w:pPr>
        <w:spacing w:after="80"/>
      </w:pPr>
      <w:r>
        <w:rPr>
          <w:b w:val="0"/>
          <w:i w:val="0"/>
        </w:rPr>
        <w:t>Lợi nhuận ảo, 3</w:t>
      </w:r>
    </w:p>
    <w:p>
      <w:pPr>
        <w:spacing w:after="80"/>
      </w:pPr>
      <w:r>
        <w:rPr>
          <w:b w:val="0"/>
          <w:i w:val="0"/>
        </w:rPr>
        <w:t>Philidor Rx, 286</w:t>
      </w:r>
    </w:p>
    <w:p>
      <w:pPr>
        <w:spacing w:after="80"/>
      </w:pPr>
      <w:r>
        <w:rPr>
          <w:b w:val="0"/>
          <w:i w:val="0"/>
        </w:rPr>
        <w:t>Platinum Technologies, 128</w:t>
      </w:r>
    </w:p>
    <w:p>
      <w:pPr>
        <w:spacing w:after="80"/>
      </w:pPr>
      <w:r>
        <w:rPr>
          <w:b w:val="0"/>
          <w:i w:val="0"/>
        </w:rPr>
        <w:t xml:space="preserve">POC. </w:t>
      </w:r>
      <w:r>
        <w:rPr>
          <w:b w:val="0"/>
          <w:i/>
        </w:rPr>
        <w:t>Xem</w:t>
      </w:r>
      <w:r>
        <w:rPr>
          <w:b w:val="0"/>
          <w:i w:val="0"/>
        </w:rPr>
        <w:t xml:space="preserve"> Tỷ lệ hoàn thành</w:t>
      </w:r>
    </w:p>
    <w:p>
      <w:pPr>
        <w:spacing w:after="80"/>
      </w:pPr>
      <w:r>
        <w:rPr>
          <w:b w:val="0"/>
          <w:i w:val="0"/>
        </w:rPr>
        <w:t>PricewaterhouseCoopers (PwC)</w:t>
      </w:r>
    </w:p>
    <w:p>
      <w:pPr>
        <w:spacing w:after="80"/>
      </w:pPr>
      <w:r>
        <w:rPr>
          <w:b w:val="0"/>
          <w:i w:val="0"/>
        </w:rPr>
        <w:t>các kiểm toán viên của Hertz, 273</w:t>
      </w:r>
    </w:p>
    <w:p>
      <w:pPr>
        <w:spacing w:after="80"/>
      </w:pPr>
      <w:r>
        <w:rPr>
          <w:b w:val="0"/>
          <w:i w:val="0"/>
        </w:rPr>
        <w:t>các kiểm toán viên của MSTR, 34</w:t>
      </w:r>
    </w:p>
    <w:p>
      <w:pPr>
        <w:spacing w:after="80"/>
      </w:pPr>
      <w:r>
        <w:rPr>
          <w:b w:val="0"/>
          <w:i w:val="0"/>
        </w:rPr>
        <w:t xml:space="preserve">Tù. </w:t>
      </w:r>
      <w:r>
        <w:rPr>
          <w:b w:val="0"/>
          <w:i/>
        </w:rPr>
        <w:t>Xem</w:t>
      </w:r>
      <w:r>
        <w:rPr>
          <w:b w:val="0"/>
          <w:i w:val="0"/>
        </w:rPr>
        <w:t xml:space="preserve"> Giam giữ</w:t>
      </w:r>
    </w:p>
    <w:p>
      <w:pPr>
        <w:spacing w:after="80"/>
      </w:pPr>
      <w:r>
        <w:rPr>
          <w:b w:val="0"/>
          <w:i w:val="0"/>
        </w:rPr>
        <w:t>Thương hiệu riêng, 261</w:t>
      </w:r>
    </w:p>
    <w:p>
      <w:pPr>
        <w:spacing w:after="80"/>
      </w:pPr>
      <w:r>
        <w:rPr>
          <w:b w:val="0"/>
          <w:i w:val="0"/>
        </w:rPr>
        <w:t>Các chỉ số pro forma</w:t>
      </w:r>
    </w:p>
    <w:p>
      <w:pPr>
        <w:spacing w:after="80"/>
      </w:pPr>
      <w:r>
        <w:rPr>
          <w:b w:val="0"/>
          <w:i w:val="0"/>
        </w:rPr>
        <w:t>Buffett liên quan đến, 208</w:t>
      </w:r>
    </w:p>
    <w:p>
      <w:pPr>
        <w:spacing w:after="80"/>
      </w:pPr>
      <w:r>
        <w:rPr>
          <w:b w:val="0"/>
          <w:i w:val="0"/>
        </w:rPr>
        <w:t>đối với Delphi Corporation, 213–215</w:t>
      </w:r>
    </w:p>
    <w:p>
      <w:pPr>
        <w:spacing w:after="80"/>
      </w:pPr>
      <w:r>
        <w:rPr>
          <w:b w:val="0"/>
          <w:i w:val="0"/>
        </w:rPr>
        <w:t>Global Crossing liên quan đến, 208–209</w:t>
      </w:r>
    </w:p>
    <w:p>
      <w:pPr>
        <w:spacing w:after="80"/>
      </w:pPr>
      <w:r>
        <w:rPr>
          <w:b w:val="0"/>
          <w:i w:val="0"/>
        </w:rPr>
        <w:t>các nhà đầu tư liên quan đến, 197–198</w:t>
      </w:r>
    </w:p>
    <w:p>
      <w:pPr>
        <w:spacing w:after="80"/>
      </w:pPr>
      <w:r>
        <w:rPr>
          <w:b w:val="0"/>
          <w:i w:val="0"/>
        </w:rPr>
        <w:t>Peregrine Systems liên quan đến, 211</w:t>
      </w:r>
    </w:p>
    <w:p>
      <w:pPr>
        <w:spacing w:after="80"/>
      </w:pPr>
      <w:r>
        <w:rPr>
          <w:b w:val="0"/>
          <w:i w:val="0"/>
        </w:rPr>
        <w:t>Lợi nhuận</w:t>
      </w:r>
    </w:p>
    <w:p>
      <w:pPr>
        <w:spacing w:after="80"/>
      </w:pPr>
      <w:r>
        <w:rPr>
          <w:b w:val="0"/>
          <w:i w:val="0"/>
        </w:rPr>
        <w:t>thổi phồng bằng cách che giấu các khoản lỗ, 244–245</w:t>
      </w:r>
    </w:p>
    <w:p>
      <w:pPr>
        <w:spacing w:after="80"/>
      </w:pPr>
      <w:r>
        <w:rPr>
          <w:b w:val="0"/>
          <w:i w:val="0"/>
        </w:rPr>
        <w:t>thổi phồng bằng cách giải phóng các khoản dự phòng đáng ngờ, 247–248</w:t>
      </w:r>
    </w:p>
    <w:p>
      <w:pPr>
        <w:spacing w:after="80"/>
      </w:pPr>
      <w:r>
        <w:rPr>
          <w:b w:val="0"/>
          <w:i w:val="0"/>
        </w:rPr>
        <w:t>thổi phồng bằng các thủ thuật trước khi chốt thương vụ, 242–244</w:t>
      </w:r>
    </w:p>
    <w:p>
      <w:pPr>
        <w:spacing w:after="80"/>
      </w:pPr>
      <w:r>
        <w:rPr>
          <w:b w:val="0"/>
          <w:i w:val="0"/>
        </w:rPr>
        <w:t>các chỉ số hàng tồn kho bị bóp méo để che giấu vấn đề với, 226–227</w:t>
      </w:r>
    </w:p>
    <w:p>
      <w:pPr>
        <w:spacing w:after="80"/>
      </w:pPr>
      <w:r>
        <w:rPr>
          <w:b w:val="0"/>
          <w:i w:val="0"/>
        </w:rPr>
        <w:t>Kế toán chương trình</w:t>
      </w:r>
    </w:p>
    <w:p>
      <w:pPr>
        <w:spacing w:after="80"/>
      </w:pPr>
      <w:r>
        <w:rPr>
          <w:b w:val="0"/>
          <w:i w:val="0"/>
        </w:rPr>
        <w:t>cho Boeing, 95</w:t>
      </w:r>
    </w:p>
    <w:p>
      <w:pPr>
        <w:spacing w:after="80"/>
      </w:pPr>
      <w:r>
        <w:rPr>
          <w:b w:val="0"/>
          <w:i w:val="0"/>
        </w:rPr>
        <w:t>cho Lockhead, 94–95</w:t>
      </w:r>
    </w:p>
    <w:p>
      <w:pPr>
        <w:spacing w:after="80"/>
      </w:pPr>
      <w:r>
        <w:rPr>
          <w:b w:val="0"/>
          <w:i w:val="0"/>
        </w:rPr>
        <w:t xml:space="preserve">Bảo vệ. </w:t>
      </w:r>
      <w:r>
        <w:rPr>
          <w:b w:val="0"/>
          <w:i/>
        </w:rPr>
        <w:t>Xem</w:t>
      </w:r>
      <w:r>
        <w:rPr>
          <w:b w:val="0"/>
          <w:i w:val="0"/>
        </w:rPr>
        <w:t xml:space="preserve"> Bảo vệ tài sản</w:t>
      </w:r>
    </w:p>
    <w:p>
      <w:pPr>
        <w:spacing w:after="80"/>
      </w:pPr>
      <w:r>
        <w:rPr>
          <w:b w:val="0"/>
          <w:i w:val="0"/>
        </w:rPr>
        <w:t>Các công ty đại chúng</w:t>
      </w:r>
    </w:p>
    <w:p>
      <w:pPr>
        <w:spacing w:after="80"/>
      </w:pPr>
      <w:r>
        <w:rPr>
          <w:b w:val="0"/>
          <w:i w:val="0"/>
        </w:rPr>
        <w:t>quản trị doanh nghiệp của, 3–4</w:t>
      </w:r>
    </w:p>
    <w:p>
      <w:pPr>
        <w:spacing w:after="80"/>
      </w:pPr>
      <w:r>
        <w:rPr>
          <w:b w:val="0"/>
          <w:i w:val="0"/>
        </w:rPr>
        <w:t>thuế cho, 119</w:t>
      </w:r>
    </w:p>
    <w:p>
      <w:pPr>
        <w:spacing w:after="80"/>
      </w:pPr>
      <w:r>
        <w:rPr>
          <w:b w:val="0"/>
          <w:i w:val="0"/>
        </w:rPr>
        <w:t xml:space="preserve">PwC. </w:t>
      </w:r>
      <w:r>
        <w:rPr>
          <w:b w:val="0"/>
          <w:i/>
        </w:rPr>
        <w:t>Xem</w:t>
      </w:r>
      <w:r>
        <w:rPr>
          <w:b w:val="0"/>
          <w:i w:val="0"/>
        </w:rPr>
        <w:t xml:space="preserve"> PricewaterhouseCoopers</w:t>
      </w:r>
    </w:p>
    <w:p>
      <w:pPr>
        <w:spacing w:after="80"/>
      </w:pPr>
      <w:r>
        <w:rPr>
          <w:b w:val="0"/>
          <w:i w:val="0"/>
        </w:rPr>
        <w:t>Qwest Communications, 3, 19, 290</w:t>
      </w:r>
    </w:p>
    <w:p>
      <w:pPr>
        <w:spacing w:after="80"/>
      </w:pPr>
      <w:r>
        <w:rPr>
          <w:b w:val="0"/>
          <w:i w:val="0"/>
        </w:rPr>
        <w:t>Raju, Ramalinga, 24</w:t>
      </w:r>
    </w:p>
    <w:p>
      <w:pPr>
        <w:spacing w:after="80"/>
      </w:pPr>
      <w:r>
        <w:rPr>
          <w:b w:val="0"/>
          <w:i w:val="0"/>
        </w:rPr>
        <w:t>Rank Group, 141</w:t>
      </w:r>
    </w:p>
    <w:p>
      <w:pPr>
        <w:spacing w:after="80"/>
      </w:pPr>
      <w:r>
        <w:rPr>
          <w:b w:val="0"/>
          <w:i w:val="0"/>
        </w:rPr>
        <w:t>Raytheon Co., 111–112</w:t>
      </w:r>
    </w:p>
    <w:p>
      <w:pPr>
        <w:spacing w:after="80"/>
      </w:pPr>
      <w:r>
        <w:rPr>
          <w:b w:val="0"/>
          <w:i w:val="0"/>
        </w:rPr>
        <w:t xml:space="preserve">R&amp;D. </w:t>
      </w:r>
      <w:r>
        <w:rPr>
          <w:b w:val="0"/>
          <w:i/>
        </w:rPr>
        <w:t>Xem</w:t>
      </w:r>
      <w:r>
        <w:rPr>
          <w:b w:val="0"/>
          <w:i w:val="0"/>
        </w:rPr>
        <w:t xml:space="preserve"> Nghiên cứu và phát triển</w:t>
      </w:r>
    </w:p>
    <w:p>
      <w:pPr>
        <w:spacing w:after="80"/>
      </w:pPr>
      <w:r>
        <w:rPr>
          <w:b w:val="0"/>
          <w:i w:val="0"/>
        </w:rPr>
        <w:t>Các khoản giảm giá</w:t>
      </w:r>
    </w:p>
    <w:p>
      <w:pPr>
        <w:spacing w:after="80"/>
      </w:pPr>
      <w:r>
        <w:rPr>
          <w:b w:val="0"/>
          <w:i w:val="0"/>
        </w:rPr>
        <w:t>cho Sunrise Medical, 107</w:t>
      </w:r>
    </w:p>
    <w:p>
      <w:pPr>
        <w:spacing w:after="80"/>
      </w:pPr>
      <w:r>
        <w:rPr>
          <w:b w:val="0"/>
          <w:i w:val="0"/>
        </w:rPr>
        <w:t>cho nhà cung cấp, 63–64, 108</w:t>
      </w:r>
    </w:p>
    <w:p>
      <w:pPr>
        <w:spacing w:after="80"/>
      </w:pPr>
      <w:r>
        <w:rPr>
          <w:b w:val="0"/>
          <w:i w:val="0"/>
        </w:rPr>
        <w:t xml:space="preserve">Các khoản phải thu. </w:t>
      </w:r>
      <w:r>
        <w:rPr>
          <w:b w:val="0"/>
          <w:i/>
        </w:rPr>
        <w:t>Xem thêm</w:t>
      </w:r>
      <w:r>
        <w:rPr>
          <w:b w:val="0"/>
          <w:i w:val="0"/>
        </w:rPr>
        <w:t xml:space="preserve"> Các khoản phải thu khách hàng; Các khoản phải thu dài hạn</w:t>
      </w:r>
    </w:p>
    <w:p>
      <w:pPr>
        <w:spacing w:after="80"/>
      </w:pPr>
      <w:r>
        <w:rPr>
          <w:b w:val="0"/>
          <w:i w:val="0"/>
        </w:rPr>
        <w:t>CFFO được đẩy lên nhờ bán hàng, 156–160</w:t>
      </w:r>
    </w:p>
    <w:p>
      <w:pPr>
        <w:spacing w:after="80"/>
      </w:pPr>
      <w:r>
        <w:rPr>
          <w:b w:val="0"/>
          <w:i w:val="0"/>
        </w:rPr>
        <w:t>công bố thông tin cho CA, 163–164</w:t>
      </w:r>
    </w:p>
    <w:p>
      <w:pPr>
        <w:spacing w:after="80"/>
      </w:pPr>
      <w:r>
        <w:rPr>
          <w:b w:val="0"/>
          <w:i w:val="0"/>
        </w:rPr>
        <w:t>Tính toán DSO sử dụng, 221, 223–224</w:t>
      </w:r>
    </w:p>
    <w:p>
      <w:pPr>
        <w:spacing w:after="80"/>
      </w:pPr>
      <w:r>
        <w:rPr>
          <w:b w:val="0"/>
          <w:i w:val="0"/>
        </w:rPr>
        <w:t>thổi phồng CFFO bằng cách giả mạo việc bán, 160–165</w:t>
      </w:r>
    </w:p>
    <w:p>
      <w:pPr>
        <w:spacing w:after="80"/>
      </w:pPr>
      <w:r>
        <w:rPr>
          <w:b w:val="0"/>
          <w:i w:val="0"/>
        </w:rPr>
        <w:t>là không thể thu hồi, 98–99</w:t>
      </w:r>
    </w:p>
    <w:p>
      <w:pPr>
        <w:spacing w:after="80"/>
      </w:pPr>
      <w:r>
        <w:rPr>
          <w:b w:val="0"/>
          <w:i w:val="0"/>
        </w:rPr>
        <w:t>Peregrine Systems liên quan đến việc giả mạo, 56–57, 161–163, 211, 221</w:t>
      </w:r>
    </w:p>
    <w:p>
      <w:pPr>
        <w:spacing w:after="80"/>
      </w:pPr>
      <w:r>
        <w:rPr>
          <w:b w:val="0"/>
          <w:i w:val="0"/>
        </w:rPr>
        <w:t>việc bán, bị giả mạo bằng cách thổi phồng CFFO, 160–165</w:t>
      </w:r>
    </w:p>
    <w:p>
      <w:pPr>
        <w:spacing w:after="80"/>
      </w:pPr>
      <w:r>
        <w:rPr>
          <w:b w:val="0"/>
          <w:i w:val="0"/>
        </w:rPr>
        <w:t>Symbol Technologies liên quan đến, 221–222</w:t>
      </w:r>
    </w:p>
    <w:p>
      <w:pPr>
        <w:spacing w:after="80"/>
      </w:pPr>
      <w:r>
        <w:rPr>
          <w:b w:val="0"/>
          <w:i w:val="0"/>
        </w:rPr>
        <w:t>đối với Syntax-Brillian, 60–61</w:t>
      </w:r>
    </w:p>
    <w:p>
      <w:pPr>
        <w:spacing w:after="80"/>
      </w:pPr>
      <w:r>
        <w:rPr>
          <w:b w:val="0"/>
          <w:i w:val="0"/>
        </w:rPr>
        <w:t>Tenet Healthcare liên quan đến, 260–261</w:t>
      </w:r>
    </w:p>
    <w:p>
      <w:pPr>
        <w:spacing w:after="80"/>
      </w:pPr>
      <w:r>
        <w:rPr>
          <w:b w:val="0"/>
          <w:i w:val="0"/>
        </w:rPr>
        <w:t>Thỏa thuận truy đòi, 164–165</w:t>
      </w:r>
    </w:p>
    <w:p>
      <w:pPr>
        <w:spacing w:after="80"/>
      </w:pPr>
      <w:r>
        <w:rPr>
          <w:b w:val="0"/>
          <w:i w:val="0"/>
        </w:rPr>
        <w:t xml:space="preserve">Hoàn tiền. </w:t>
      </w:r>
      <w:r>
        <w:rPr>
          <w:b w:val="0"/>
          <w:i/>
        </w:rPr>
        <w:t>Xem</w:t>
      </w:r>
      <w:r>
        <w:rPr>
          <w:b w:val="0"/>
          <w:i w:val="0"/>
        </w:rPr>
        <w:t xml:space="preserve"> Giảm giá</w:t>
      </w:r>
    </w:p>
    <w:p>
      <w:pPr>
        <w:spacing w:after="80"/>
      </w:pPr>
      <w:r>
        <w:rPr>
          <w:b w:val="0"/>
          <w:i w:val="0"/>
        </w:rPr>
        <w:t>Rent-A-Center Inc., 110–111</w:t>
      </w:r>
    </w:p>
    <w:p>
      <w:pPr>
        <w:spacing w:after="80"/>
      </w:pPr>
      <w:r>
        <w:rPr>
          <w:b w:val="0"/>
          <w:i w:val="0"/>
        </w:rPr>
        <w:t>Repo 103, 10–11</w:t>
      </w:r>
    </w:p>
    <w:p>
      <w:pPr>
        <w:spacing w:after="80"/>
      </w:pPr>
      <w:r>
        <w:rPr>
          <w:b w:val="0"/>
          <w:i w:val="0"/>
        </w:rPr>
        <w:t>Nghiên cứu và phát triển (R&amp;D)</w:t>
      </w:r>
    </w:p>
    <w:p>
      <w:pPr>
        <w:spacing w:after="80"/>
      </w:pPr>
      <w:r>
        <w:rPr>
          <w:b w:val="0"/>
          <w:i w:val="0"/>
        </w:rPr>
        <w:t>việc mua lại liên quan đến, 240</w:t>
      </w:r>
    </w:p>
    <w:p>
      <w:pPr>
        <w:spacing w:after="80"/>
      </w:pPr>
      <w:r>
        <w:rPr>
          <w:b w:val="0"/>
          <w:i w:val="0"/>
        </w:rPr>
        <w:t>bởi các công ty, 176–178</w:t>
      </w:r>
    </w:p>
    <w:p>
      <w:pPr>
        <w:spacing w:after="80"/>
      </w:pPr>
      <w:r>
        <w:rPr>
          <w:b w:val="0"/>
          <w:i w:val="0"/>
        </w:rPr>
        <w:t>Nhà bán lại, 43–44</w:t>
      </w:r>
    </w:p>
    <w:p>
      <w:pPr>
        <w:spacing w:after="80"/>
      </w:pPr>
      <w:r>
        <w:rPr>
          <w:b w:val="0"/>
          <w:i w:val="0"/>
        </w:rPr>
        <w:t>Dự phòng</w:t>
      </w:r>
    </w:p>
    <w:p>
      <w:pPr>
        <w:spacing w:after="80"/>
      </w:pPr>
      <w:r>
        <w:rPr>
          <w:b w:val="0"/>
          <w:i w:val="0"/>
        </w:rPr>
        <w:t>tích lũy, 141–142</w:t>
      </w:r>
    </w:p>
    <w:p>
      <w:pPr>
        <w:spacing w:after="80"/>
      </w:pPr>
      <w:r>
        <w:rPr>
          <w:b w:val="0"/>
          <w:i w:val="0"/>
        </w:rPr>
        <w:t>cho tổn thất tín dụng, 100–101</w:t>
      </w:r>
    </w:p>
    <w:p>
      <w:pPr>
        <w:spacing w:after="80"/>
      </w:pPr>
      <w:r>
        <w:rPr>
          <w:b w:val="0"/>
          <w:i w:val="0"/>
        </w:rPr>
        <w:t>cho CUC International, 6–7</w:t>
      </w:r>
    </w:p>
    <w:p>
      <w:pPr>
        <w:spacing w:after="80"/>
      </w:pPr>
      <w:r>
        <w:rPr>
          <w:b w:val="0"/>
          <w:i w:val="0"/>
        </w:rPr>
        <w:t>chi phí giảm nhờ ghi các khoản phí vào, 138–142</w:t>
      </w:r>
    </w:p>
    <w:p>
      <w:pPr>
        <w:spacing w:after="80"/>
      </w:pPr>
      <w:r>
        <w:rPr>
          <w:b w:val="0"/>
          <w:i w:val="0"/>
        </w:rPr>
        <w:t>chi phí giảm nhờ hoàn nhập, 112–118</w:t>
      </w:r>
    </w:p>
    <w:p>
      <w:pPr>
        <w:spacing w:after="80"/>
      </w:pPr>
      <w:r>
        <w:rPr>
          <w:b w:val="0"/>
          <w:i w:val="0"/>
        </w:rPr>
        <w:t>thu nhập từ khoản hoàn nhập, 120–124</w:t>
      </w:r>
    </w:p>
    <w:p>
      <w:pPr>
        <w:spacing w:after="80"/>
      </w:pPr>
      <w:r>
        <w:rPr>
          <w:b w:val="0"/>
          <w:i w:val="0"/>
        </w:rPr>
        <w:t>thu nhập từ khoản hoàn nhập, với một thương vụ mua lại, 126–128</w:t>
      </w:r>
    </w:p>
    <w:p>
      <w:pPr>
        <w:spacing w:after="80"/>
      </w:pPr>
      <w:r>
        <w:rPr>
          <w:b w:val="0"/>
          <w:i w:val="0"/>
        </w:rPr>
        <w:t>như các khoản nợ phải trả, 112–113, 114–115, 116</w:t>
      </w:r>
    </w:p>
    <w:p>
      <w:pPr>
        <w:spacing w:after="80"/>
      </w:pPr>
      <w:r>
        <w:rPr>
          <w:b w:val="0"/>
          <w:i w:val="0"/>
        </w:rPr>
        <w:t>tổn thất cho vay đối với New Century Financial Corp., 227–229</w:t>
      </w:r>
    </w:p>
    <w:p>
      <w:pPr>
        <w:spacing w:after="80"/>
      </w:pPr>
      <w:r>
        <w:rPr>
          <w:b w:val="0"/>
          <w:i w:val="0"/>
        </w:rPr>
        <w:t>thổi phồng lợi nhuận bằng cách hoàn nhập các khoản đáng ngờ, 247–248</w:t>
      </w:r>
    </w:p>
    <w:p>
      <w:pPr>
        <w:spacing w:after="80"/>
      </w:pPr>
      <w:r>
        <w:rPr>
          <w:b w:val="0"/>
          <w:i w:val="0"/>
        </w:rPr>
        <w:t>tự bảo hiểm, 110</w:t>
      </w:r>
    </w:p>
    <w:p>
      <w:pPr>
        <w:spacing w:after="80"/>
      </w:pPr>
      <w:r>
        <w:rPr>
          <w:b w:val="0"/>
          <w:i w:val="0"/>
        </w:rPr>
        <w:t>các khoản phí đặc biệt như, 112</w:t>
      </w:r>
    </w:p>
    <w:p>
      <w:pPr>
        <w:spacing w:after="80"/>
      </w:pPr>
      <w:r>
        <w:rPr>
          <w:b w:val="0"/>
          <w:i w:val="0"/>
        </w:rPr>
        <w:t>cho WorldCom, 8</w:t>
      </w:r>
    </w:p>
    <w:p>
      <w:pPr>
        <w:spacing w:after="80"/>
      </w:pPr>
      <w:r>
        <w:rPr>
          <w:b w:val="0"/>
          <w:i w:val="0"/>
        </w:rPr>
        <w:t xml:space="preserve">Nguồn lực. </w:t>
      </w:r>
      <w:r>
        <w:rPr>
          <w:b w:val="0"/>
          <w:i/>
        </w:rPr>
        <w:t>Xem</w:t>
      </w:r>
      <w:r>
        <w:rPr>
          <w:b w:val="0"/>
          <w:i w:val="0"/>
        </w:rPr>
        <w:t xml:space="preserve"> Thanh khoản và Nguồn lực vốn</w:t>
      </w:r>
    </w:p>
    <w:p>
      <w:pPr>
        <w:spacing w:after="80"/>
      </w:pPr>
      <w:r>
        <w:rPr>
          <w:b w:val="0"/>
          <w:i w:val="0"/>
        </w:rPr>
        <w:t>Chi phí tái cấu trúc</w:t>
      </w:r>
    </w:p>
    <w:p>
      <w:pPr>
        <w:spacing w:after="80"/>
      </w:pPr>
      <w:r>
        <w:rPr>
          <w:b w:val="0"/>
          <w:i w:val="0"/>
        </w:rPr>
        <w:t>trong quá trình mua lại, 137–138</w:t>
      </w:r>
    </w:p>
    <w:p>
      <w:pPr>
        <w:spacing w:after="80"/>
      </w:pPr>
      <w:r>
        <w:rPr>
          <w:b w:val="0"/>
          <w:i w:val="0"/>
        </w:rPr>
        <w:t>đối với Alcatel, 76</w:t>
      </w:r>
    </w:p>
    <w:p>
      <w:pPr>
        <w:spacing w:after="80"/>
      </w:pPr>
      <w:r>
        <w:rPr>
          <w:b w:val="0"/>
          <w:i w:val="0"/>
        </w:rPr>
        <w:t>các khoản nợ phải trả liên quan, 140–141</w:t>
      </w:r>
    </w:p>
    <w:p>
      <w:pPr>
        <w:spacing w:after="80"/>
      </w:pPr>
      <w:r>
        <w:rPr>
          <w:b w:val="0"/>
          <w:i w:val="0"/>
        </w:rPr>
        <w:t>thu nhập hoạt động liên quan đến, 76, 139</w:t>
      </w:r>
    </w:p>
    <w:p>
      <w:pPr>
        <w:spacing w:after="80"/>
      </w:pPr>
      <w:r>
        <w:rPr>
          <w:b w:val="0"/>
          <w:i w:val="0"/>
        </w:rPr>
        <w:t>đối với Sunbeam, 114, 139</w:t>
      </w:r>
    </w:p>
    <w:p>
      <w:pPr>
        <w:spacing w:after="80"/>
      </w:pPr>
      <w:r>
        <w:rPr>
          <w:b w:val="0"/>
          <w:i w:val="0"/>
        </w:rPr>
        <w:t>đối với Toys ’R’ Us, 135</w:t>
      </w:r>
    </w:p>
    <w:p>
      <w:pPr>
        <w:spacing w:after="80"/>
      </w:pPr>
      <w:r>
        <w:rPr>
          <w:b w:val="0"/>
          <w:i w:val="0"/>
        </w:rPr>
        <w:t>đối với Whirlpool, 76, 212, 293</w:t>
      </w:r>
    </w:p>
    <w:p>
      <w:pPr>
        <w:spacing w:after="80"/>
      </w:pPr>
      <w:r>
        <w:rPr>
          <w:b w:val="0"/>
          <w:i w:val="0"/>
        </w:rPr>
        <w:t xml:space="preserve">Lợi nhuận. </w:t>
      </w:r>
      <w:r>
        <w:rPr>
          <w:b w:val="0"/>
          <w:i/>
        </w:rPr>
        <w:t>Xem</w:t>
      </w:r>
      <w:r>
        <w:rPr>
          <w:b w:val="0"/>
          <w:i w:val="0"/>
        </w:rPr>
        <w:t xml:space="preserve"> Quyền trả lại hàng; Tổng lợi nhuận cổ đông</w:t>
      </w:r>
    </w:p>
    <w:p>
      <w:pPr>
        <w:spacing w:after="80"/>
      </w:pPr>
      <w:r>
        <w:rPr>
          <w:b w:val="0"/>
          <w:i w:val="0"/>
        </w:rPr>
        <w:t>Lợi nhuận trên vốn đầu tư (ROIC), 16</w:t>
      </w:r>
    </w:p>
    <w:p>
      <w:pPr>
        <w:spacing w:after="80"/>
      </w:pPr>
      <w:r>
        <w:rPr>
          <w:b w:val="0"/>
          <w:i w:val="0"/>
        </w:rPr>
        <w:t>Reuters, Thomson, 204–205</w:t>
      </w:r>
    </w:p>
    <w:p>
      <w:pPr>
        <w:spacing w:after="80"/>
      </w:pPr>
      <w:r>
        <w:rPr>
          <w:b w:val="0"/>
          <w:i w:val="0"/>
        </w:rPr>
        <w:t xml:space="preserve">Doanh thu. </w:t>
      </w:r>
      <w:r>
        <w:rPr>
          <w:b w:val="0"/>
          <w:i/>
        </w:rPr>
        <w:t>Xem thêm</w:t>
      </w:r>
      <w:r>
        <w:rPr>
          <w:b w:val="0"/>
          <w:i w:val="0"/>
        </w:rPr>
        <w:t xml:space="preserve"> Doanh thu trung bình trên mỗi người dùng; Doanh thu hoãn lại; Doanh thu thay thế; Doanh thu chưa kiếm được</w:t>
      </w:r>
    </w:p>
    <w:p>
      <w:pPr>
        <w:spacing w:after="80"/>
      </w:pPr>
      <w:r>
        <w:rPr>
          <w:b w:val="0"/>
          <w:i w:val="0"/>
        </w:rPr>
        <w:t>Các kỹ thuật AA để thổi phồng, 241</w:t>
      </w:r>
    </w:p>
    <w:p>
      <w:pPr>
        <w:spacing w:after="80"/>
      </w:pPr>
      <w:r>
        <w:rPr>
          <w:b w:val="0"/>
          <w:i w:val="0"/>
        </w:rPr>
        <w:t>các chỉ số khoản phải thu bị bóp méo để che giấu, 220–226</w:t>
      </w:r>
    </w:p>
    <w:p>
      <w:pPr>
        <w:spacing w:after="80"/>
      </w:pPr>
      <w:r>
        <w:rPr>
          <w:b w:val="0"/>
          <w:i w:val="0"/>
        </w:rPr>
        <w:t>được tạo sau khi đóng, 245–247</w:t>
      </w:r>
    </w:p>
    <w:p>
      <w:pPr>
        <w:spacing w:after="80"/>
      </w:pPr>
      <w:r>
        <w:rPr>
          <w:b w:val="0"/>
          <w:i w:val="0"/>
        </w:rPr>
        <w:t>công bố thông tin cho ACS, 264–265</w:t>
      </w:r>
    </w:p>
    <w:p>
      <w:pPr>
        <w:spacing w:after="80"/>
      </w:pPr>
      <w:r>
        <w:rPr>
          <w:b w:val="0"/>
          <w:i w:val="0"/>
        </w:rPr>
        <w:t>thổi phồng thu nhập kỳ hiện tại liên quan đến, 28–29</w:t>
      </w:r>
    </w:p>
    <w:p>
      <w:pPr>
        <w:spacing w:after="80"/>
      </w:pPr>
      <w:r>
        <w:rPr>
          <w:b w:val="0"/>
          <w:i w:val="0"/>
        </w:rPr>
        <w:t>thổi phồng thu nhập kỳ tương lai liên quan đến, 29</w:t>
      </w:r>
    </w:p>
    <w:p>
      <w:pPr>
        <w:spacing w:after="80"/>
      </w:pPr>
      <w:r>
        <w:rPr>
          <w:b w:val="0"/>
          <w:i w:val="0"/>
        </w:rPr>
        <w:t>thổi phồng bởi CA, 31–32</w:t>
      </w:r>
    </w:p>
    <w:p>
      <w:pPr>
        <w:spacing w:after="80"/>
      </w:pPr>
      <w:r>
        <w:rPr>
          <w:b w:val="0"/>
          <w:i w:val="0"/>
        </w:rPr>
        <w:t>thổi phồng bởi Keurig, 37</w:t>
      </w:r>
    </w:p>
    <w:p>
      <w:pPr>
        <w:spacing w:after="80"/>
      </w:pPr>
      <w:r>
        <w:rPr>
          <w:b w:val="0"/>
          <w:i w:val="0"/>
        </w:rPr>
        <w:t>thu nhập đầu tư như là, 78–79</w:t>
      </w:r>
    </w:p>
    <w:p>
      <w:pPr>
        <w:spacing w:after="80"/>
      </w:pPr>
      <w:r>
        <w:rPr>
          <w:b w:val="0"/>
          <w:i w:val="0"/>
        </w:rPr>
        <w:t>nhà đầu tư diễn giải organic, 263</w:t>
      </w:r>
    </w:p>
    <w:p>
      <w:pPr>
        <w:spacing w:after="80"/>
      </w:pPr>
      <w:r>
        <w:rPr>
          <w:b w:val="0"/>
          <w:i w:val="0"/>
        </w:rPr>
        <w:t>đối với Krispy Kreme trong quá trình mua lại, 243</w:t>
      </w:r>
    </w:p>
    <w:p>
      <w:pPr>
        <w:spacing w:after="80"/>
      </w:pPr>
      <w:r>
        <w:rPr>
          <w:b w:val="0"/>
          <w:i w:val="0"/>
        </w:rPr>
        <w:t>nợ phải trả so với, 63</w:t>
      </w:r>
    </w:p>
    <w:p>
      <w:pPr>
        <w:spacing w:after="80"/>
      </w:pPr>
      <w:r>
        <w:rPr>
          <w:b w:val="0"/>
          <w:i w:val="0"/>
        </w:rPr>
        <w:t>thu nhập ròng liên quan đến, 7–8</w:t>
      </w:r>
    </w:p>
    <w:p>
      <w:pPr>
        <w:spacing w:after="80"/>
      </w:pPr>
      <w:r>
        <w:rPr>
          <w:b w:val="0"/>
          <w:i w:val="0"/>
        </w:rPr>
        <w:t>Openwave Systems ghi nhận, 48–49</w:t>
      </w:r>
    </w:p>
    <w:p>
      <w:pPr>
        <w:spacing w:after="80"/>
      </w:pPr>
      <w:r>
        <w:rPr>
          <w:b w:val="0"/>
          <w:i w:val="0"/>
        </w:rPr>
        <w:t>ghi nhận trước khi người mua chấp nhận sản phẩm, 41–47</w:t>
      </w:r>
    </w:p>
    <w:p>
      <w:pPr>
        <w:spacing w:after="80"/>
      </w:pPr>
      <w:r>
        <w:rPr>
          <w:b w:val="0"/>
          <w:i w:val="0"/>
        </w:rPr>
        <w:t>ghi nhận trước khi hoàn thành nghĩa vụ, 32–37</w:t>
      </w:r>
    </w:p>
    <w:p>
      <w:pPr>
        <w:spacing w:after="80"/>
      </w:pPr>
      <w:r>
        <w:rPr>
          <w:b w:val="0"/>
          <w:i w:val="0"/>
        </w:rPr>
        <w:t>ghi nhận vượt quá khối lượng công việc đã hoàn thành, 37–41</w:t>
      </w:r>
    </w:p>
    <w:p>
      <w:pPr>
        <w:spacing w:after="80"/>
      </w:pPr>
      <w:r>
        <w:rPr>
          <w:b w:val="0"/>
          <w:i w:val="0"/>
        </w:rPr>
        <w:t>ghi nhận các khoản thu từ giao dịch không phải doanh thu, 62–64</w:t>
      </w:r>
    </w:p>
    <w:p>
      <w:pPr>
        <w:spacing w:after="80"/>
      </w:pPr>
      <w:r>
        <w:rPr>
          <w:b w:val="0"/>
          <w:i w:val="0"/>
        </w:rPr>
        <w:t>ghi nhận giao dịch với số tiền phóng đại, 64–67</w:t>
      </w:r>
    </w:p>
    <w:p>
      <w:pPr>
        <w:spacing w:after="80"/>
      </w:pPr>
      <w:r>
        <w:rPr>
          <w:b w:val="0"/>
          <w:i w:val="0"/>
        </w:rPr>
        <w:t>ghi nhận giao dịch thiếu quy trình giao dịch độc lập (arm's-length), 59–62</w:t>
      </w:r>
    </w:p>
    <w:p>
      <w:pPr>
        <w:spacing w:after="80"/>
      </w:pPr>
      <w:r>
        <w:rPr>
          <w:b w:val="0"/>
          <w:i w:val="0"/>
        </w:rPr>
        <w:t>ghi nhận giao dịch thiếu thực chất, 54–59</w:t>
      </w:r>
    </w:p>
    <w:p>
      <w:pPr>
        <w:spacing w:after="80"/>
      </w:pPr>
      <w:r>
        <w:rPr>
          <w:b w:val="0"/>
          <w:i w:val="0"/>
        </w:rPr>
        <w:t>ghi nhận khi việc thanh toán của người mua chưa chắc chắn, 47–51</w:t>
      </w:r>
    </w:p>
    <w:p>
      <w:pPr>
        <w:spacing w:after="80"/>
      </w:pPr>
      <w:r>
        <w:rPr>
          <w:b w:val="0"/>
          <w:i w:val="0"/>
        </w:rPr>
        <w:t>dòng doanh thu định kỳ, 72–74</w:t>
      </w:r>
    </w:p>
    <w:p>
      <w:pPr>
        <w:spacing w:after="80"/>
      </w:pPr>
      <w:r>
        <w:rPr>
          <w:b w:val="0"/>
          <w:i w:val="0"/>
        </w:rPr>
        <w:t>quy tắc SOP 96–9, 122–123</w:t>
      </w:r>
    </w:p>
    <w:p>
      <w:pPr>
        <w:spacing w:after="80"/>
      </w:pPr>
      <w:r>
        <w:rPr>
          <w:b w:val="0"/>
          <w:i w:val="0"/>
        </w:rPr>
        <w:t>doanh số bán hàng như là, 121, 245–246</w:t>
      </w:r>
    </w:p>
    <w:p>
      <w:pPr>
        <w:spacing w:after="80"/>
      </w:pPr>
      <w:r>
        <w:rPr>
          <w:b w:val="0"/>
          <w:i w:val="0"/>
        </w:rPr>
        <w:t>đối với Salix Pharmaceuticals, 242</w:t>
      </w:r>
    </w:p>
    <w:p>
      <w:pPr>
        <w:spacing w:after="80"/>
      </w:pPr>
      <w:r>
        <w:rPr>
          <w:b w:val="0"/>
          <w:i w:val="0"/>
        </w:rPr>
        <w:t>đối với điện thoại thông minh, 234</w:t>
      </w:r>
    </w:p>
    <w:p>
      <w:pPr>
        <w:spacing w:after="80"/>
      </w:pPr>
      <w:r>
        <w:rPr>
          <w:b w:val="0"/>
          <w:i w:val="0"/>
        </w:rPr>
        <w:t>SSS liên quan đến sự thay đổi trong, 203–204</w:t>
      </w:r>
    </w:p>
    <w:p>
      <w:pPr>
        <w:spacing w:after="80"/>
      </w:pPr>
      <w:r>
        <w:rPr>
          <w:b w:val="0"/>
          <w:i w:val="0"/>
        </w:rPr>
        <w:t>các kỹ thuật ghi nhận sớm, 32</w:t>
      </w:r>
    </w:p>
    <w:p>
      <w:pPr>
        <w:spacing w:after="80"/>
      </w:pPr>
      <w:r>
        <w:rPr>
          <w:b w:val="0"/>
          <w:i w:val="0"/>
        </w:rPr>
        <w:t>các kỹ thuật ghi nhận khống, 53, 154</w:t>
      </w:r>
    </w:p>
    <w:p>
      <w:pPr>
        <w:spacing w:after="80"/>
      </w:pPr>
      <w:r>
        <w:rPr>
          <w:b w:val="0"/>
          <w:i w:val="0"/>
        </w:rPr>
        <w:t>Các khoản thay thế doanh thu</w:t>
      </w:r>
    </w:p>
    <w:p>
      <w:pPr>
        <w:spacing w:after="80"/>
      </w:pPr>
      <w:r>
        <w:rPr>
          <w:b w:val="0"/>
          <w:i w:val="0"/>
        </w:rPr>
        <w:t>các chỉ số gây hiểu lầm như là, 202–208</w:t>
      </w:r>
    </w:p>
    <w:p>
      <w:pPr>
        <w:spacing w:after="80"/>
      </w:pPr>
      <w:r>
        <w:rPr>
          <w:b w:val="0"/>
          <w:i w:val="0"/>
        </w:rPr>
        <w:t>các chỉ số phi GAAP, 202, 205</w:t>
      </w:r>
    </w:p>
    <w:p>
      <w:pPr>
        <w:spacing w:after="80"/>
      </w:pPr>
      <w:r>
        <w:rPr>
          <w:b w:val="0"/>
          <w:i w:val="0"/>
        </w:rPr>
        <w:t>như là các chỉ số hiệu suất, 196–197</w:t>
      </w:r>
    </w:p>
    <w:p>
      <w:pPr>
        <w:spacing w:after="80"/>
      </w:pPr>
      <w:r>
        <w:rPr>
          <w:b w:val="0"/>
          <w:i w:val="0"/>
        </w:rPr>
        <w:t>Quyền trả hàng, 46–47</w:t>
      </w:r>
    </w:p>
    <w:p>
      <w:pPr>
        <w:spacing w:after="80"/>
      </w:pPr>
      <w:r>
        <w:rPr>
          <w:b w:val="0"/>
          <w:i w:val="0"/>
        </w:rPr>
        <w:t>Các yếu tố rủi ro, 161–163</w:t>
      </w:r>
    </w:p>
    <w:p>
      <w:pPr>
        <w:spacing w:after="80"/>
      </w:pPr>
      <w:r>
        <w:rPr>
          <w:b w:val="0"/>
          <w:i w:val="0"/>
        </w:rPr>
        <w:t xml:space="preserve">ROIC. </w:t>
      </w:r>
      <w:r>
        <w:rPr>
          <w:b w:val="0"/>
          <w:i/>
        </w:rPr>
        <w:t>Xem</w:t>
      </w:r>
      <w:r>
        <w:rPr>
          <w:b w:val="0"/>
          <w:i w:val="0"/>
        </w:rPr>
        <w:t xml:space="preserve"> Lợi nhuận trên vốn đầu tư</w:t>
      </w:r>
    </w:p>
    <w:p>
      <w:pPr>
        <w:spacing w:after="80"/>
      </w:pPr>
      <w:r>
        <w:rPr>
          <w:b w:val="0"/>
          <w:i w:val="0"/>
        </w:rPr>
        <w:t>Roll-ups, 253, 255–256</w:t>
      </w:r>
    </w:p>
    <w:p>
      <w:pPr>
        <w:spacing w:after="80"/>
      </w:pPr>
      <w:r>
        <w:rPr>
          <w:b w:val="0"/>
          <w:i w:val="0"/>
        </w:rPr>
        <w:t>Royal Ahold</w:t>
      </w:r>
    </w:p>
    <w:p>
      <w:pPr>
        <w:spacing w:after="80"/>
      </w:pPr>
      <w:r>
        <w:rPr>
          <w:b w:val="0"/>
          <w:i w:val="0"/>
        </w:rPr>
        <w:t>gian lận của, 19–20</w:t>
      </w:r>
    </w:p>
    <w:p>
      <w:pPr>
        <w:spacing w:after="80"/>
      </w:pPr>
      <w:r>
        <w:rPr>
          <w:b w:val="0"/>
          <w:i w:val="0"/>
        </w:rPr>
        <w:t>các khoản giảm giá từ nhà cung cấp liên quan đến, 64</w:t>
      </w:r>
    </w:p>
    <w:p>
      <w:pPr>
        <w:spacing w:after="80"/>
      </w:pPr>
      <w:r>
        <w:rPr>
          <w:b w:val="0"/>
          <w:i w:val="0"/>
        </w:rPr>
        <w:t>Các quy tắc</w:t>
      </w:r>
    </w:p>
    <w:p>
      <w:pPr>
        <w:spacing w:after="80"/>
      </w:pPr>
      <w:r>
        <w:rPr>
          <w:b w:val="0"/>
          <w:i w:val="0"/>
        </w:rPr>
        <w:t>với vai trò đồng phạm, 149</w:t>
      </w:r>
    </w:p>
    <w:p>
      <w:pPr>
        <w:spacing w:after="80"/>
      </w:pPr>
      <w:r>
        <w:rPr>
          <w:b w:val="0"/>
          <w:i w:val="0"/>
        </w:rPr>
        <w:t>về kế toán, 88, 125, 126, 145, 151</w:t>
      </w:r>
    </w:p>
    <w:p>
      <w:pPr>
        <w:spacing w:after="80"/>
      </w:pPr>
      <w:r>
        <w:rPr>
          <w:b w:val="0"/>
          <w:i w:val="0"/>
        </w:rPr>
        <w:t>về doanh thu, 122–123</w:t>
      </w:r>
    </w:p>
    <w:p>
      <w:pPr>
        <w:spacing w:after="80"/>
      </w:pPr>
      <w:r>
        <w:rPr>
          <w:b w:val="0"/>
          <w:i w:val="0"/>
        </w:rPr>
        <w:t>Sabre Corporation</w:t>
      </w:r>
    </w:p>
    <w:p>
      <w:pPr>
        <w:spacing w:after="80"/>
      </w:pPr>
      <w:r>
        <w:rPr>
          <w:b w:val="0"/>
          <w:i w:val="0"/>
        </w:rPr>
        <w:t>các hoạt động đã ngừng liên quan đến, 77</w:t>
      </w:r>
    </w:p>
    <w:p>
      <w:pPr>
        <w:spacing w:after="80"/>
      </w:pPr>
      <w:r>
        <w:rPr>
          <w:b w:val="0"/>
          <w:i w:val="0"/>
        </w:rPr>
        <w:t>việc thổi phồng EBITDA, 210</w:t>
      </w:r>
    </w:p>
    <w:p>
      <w:pPr>
        <w:spacing w:after="80"/>
      </w:pPr>
      <w:r>
        <w:rPr>
          <w:b w:val="0"/>
          <w:i w:val="0"/>
        </w:rPr>
        <w:t xml:space="preserve">Doanh số bán hàng. </w:t>
      </w:r>
      <w:r>
        <w:rPr>
          <w:b w:val="0"/>
          <w:i/>
        </w:rPr>
        <w:t>Xem thêm</w:t>
      </w:r>
      <w:r>
        <w:rPr>
          <w:b w:val="0"/>
          <w:i w:val="0"/>
        </w:rPr>
        <w:t xml:space="preserve"> Số ngày bán hàng tồn kho; Số ngày thu tiền bán hàng; Doanh số bán hàng cùng cửa hàng</w:t>
      </w:r>
    </w:p>
    <w:p>
      <w:pPr>
        <w:spacing w:after="80"/>
      </w:pPr>
      <w:r>
        <w:rPr>
          <w:b w:val="0"/>
          <w:i w:val="0"/>
        </w:rPr>
        <w:t>các khoản phải thu liên quan đến DSO, 220–221</w:t>
      </w:r>
    </w:p>
    <w:p>
      <w:pPr>
        <w:spacing w:after="80"/>
      </w:pPr>
      <w:r>
        <w:rPr>
          <w:b w:val="0"/>
          <w:i w:val="0"/>
        </w:rPr>
        <w:t>của các doanh nghiệp thúc đẩy CFFO, 258–262</w:t>
      </w:r>
    </w:p>
    <w:p>
      <w:pPr>
        <w:spacing w:after="80"/>
      </w:pPr>
      <w:r>
        <w:rPr>
          <w:b w:val="0"/>
          <w:i w:val="0"/>
        </w:rPr>
        <w:t>của các khoản phải thu bị làm giả bằng cách thổi phồng CFFO, 160–165</w:t>
      </w:r>
    </w:p>
    <w:p>
      <w:pPr>
        <w:spacing w:after="80"/>
      </w:pPr>
      <w:r>
        <w:rPr>
          <w:b w:val="0"/>
          <w:i w:val="0"/>
        </w:rPr>
        <w:t>của các khoản phải thu để thúc đẩy CFFO, 156–160</w:t>
      </w:r>
    </w:p>
    <w:p>
      <w:pPr>
        <w:spacing w:after="80"/>
      </w:pPr>
      <w:r>
        <w:rPr>
          <w:b w:val="0"/>
          <w:i w:val="0"/>
        </w:rPr>
        <w:t>ghi nhận vào kỳ sau, 128–129</w:t>
      </w:r>
    </w:p>
    <w:p>
      <w:pPr>
        <w:spacing w:after="80"/>
      </w:pPr>
      <w:r>
        <w:rPr>
          <w:b w:val="0"/>
          <w:i w:val="0"/>
        </w:rPr>
        <w:t>như doanh thu, 121, 245–246</w:t>
      </w:r>
    </w:p>
    <w:p>
      <w:pPr>
        <w:spacing w:after="80"/>
      </w:pPr>
      <w:r>
        <w:rPr>
          <w:b w:val="0"/>
          <w:i w:val="0"/>
        </w:rPr>
        <w:t>bởi Salix Pharmaceuticals, 242–243</w:t>
      </w:r>
    </w:p>
    <w:p>
      <w:pPr>
        <w:spacing w:after="80"/>
      </w:pPr>
      <w:r>
        <w:rPr>
          <w:b w:val="0"/>
          <w:i w:val="0"/>
        </w:rPr>
        <w:t>Salesforce.com, 174</w:t>
      </w:r>
    </w:p>
    <w:p>
      <w:pPr>
        <w:spacing w:after="80"/>
      </w:pPr>
      <w:r>
        <w:rPr>
          <w:b w:val="0"/>
          <w:i w:val="0"/>
        </w:rPr>
        <w:t>Salix Pharmaceuticals</w:t>
      </w:r>
    </w:p>
    <w:p>
      <w:pPr>
        <w:spacing w:after="80"/>
      </w:pPr>
      <w:r>
        <w:rPr>
          <w:b w:val="0"/>
          <w:i w:val="0"/>
        </w:rPr>
        <w:t>điều tra gian lận đối với, 282–283</w:t>
      </w:r>
    </w:p>
    <w:p>
      <w:pPr>
        <w:spacing w:after="80"/>
      </w:pPr>
      <w:r>
        <w:rPr>
          <w:b w:val="0"/>
          <w:i w:val="0"/>
        </w:rPr>
        <w:t>doanh số bán hàng bởi, 242–243</w:t>
      </w:r>
    </w:p>
    <w:p>
      <w:pPr>
        <w:spacing w:after="80"/>
      </w:pPr>
      <w:r>
        <w:rPr>
          <w:b w:val="0"/>
          <w:i w:val="0"/>
        </w:rPr>
        <w:t>Valeant Pharmaceuticals mua lại, 45, 242–243, 282–284</w:t>
      </w:r>
    </w:p>
    <w:p>
      <w:pPr>
        <w:spacing w:after="80"/>
      </w:pPr>
      <w:r>
        <w:rPr>
          <w:b w:val="0"/>
          <w:i w:val="0"/>
        </w:rPr>
        <w:t>Doanh số bán hàng cùng cửa hàng (Same-store sales - SSS), 16</w:t>
      </w:r>
    </w:p>
    <w:p>
      <w:pPr>
        <w:spacing w:after="80"/>
      </w:pPr>
      <w:r>
        <w:rPr>
          <w:b w:val="0"/>
          <w:i w:val="0"/>
        </w:rPr>
        <w:t>Coach Inc. liên quan đến, 204</w:t>
      </w:r>
    </w:p>
    <w:p>
      <w:pPr>
        <w:spacing w:after="80"/>
      </w:pPr>
      <w:r>
        <w:rPr>
          <w:b w:val="0"/>
          <w:i w:val="0"/>
        </w:rPr>
        <w:t>cơ sở so sánh liên quan đến, 202–204</w:t>
      </w:r>
    </w:p>
    <w:p>
      <w:pPr>
        <w:spacing w:after="80"/>
      </w:pPr>
      <w:r>
        <w:rPr>
          <w:b w:val="0"/>
          <w:i w:val="0"/>
        </w:rPr>
        <w:t>thay đổi doanh thu liên quan đến, 203–204</w:t>
      </w:r>
    </w:p>
    <w:p>
      <w:pPr>
        <w:spacing w:after="80"/>
      </w:pPr>
      <w:r>
        <w:rPr>
          <w:b w:val="0"/>
          <w:i w:val="0"/>
        </w:rPr>
        <w:t>Starbucks liên quan đến, 265–266</w:t>
      </w:r>
    </w:p>
    <w:p>
      <w:pPr>
        <w:spacing w:after="80"/>
      </w:pPr>
      <w:r>
        <w:rPr>
          <w:b w:val="0"/>
          <w:i w:val="0"/>
        </w:rPr>
        <w:t>Sanmina-SCI Corporation, 159–160</w:t>
      </w:r>
    </w:p>
    <w:p>
      <w:pPr>
        <w:spacing w:after="80"/>
      </w:pPr>
      <w:r>
        <w:rPr>
          <w:b w:val="0"/>
          <w:i w:val="0"/>
        </w:rPr>
        <w:t>Satyam</w:t>
      </w:r>
    </w:p>
    <w:p>
      <w:pPr>
        <w:spacing w:after="80"/>
      </w:pPr>
      <w:r>
        <w:rPr>
          <w:b w:val="0"/>
          <w:i w:val="0"/>
        </w:rPr>
        <w:t>Maytas mua lại bởi, 21</w:t>
      </w:r>
    </w:p>
    <w:p>
      <w:pPr>
        <w:spacing w:after="80"/>
      </w:pPr>
      <w:r>
        <w:rPr>
          <w:b w:val="0"/>
          <w:i w:val="0"/>
        </w:rPr>
        <w:t>Raju là CEO của, 24</w:t>
      </w:r>
    </w:p>
    <w:p>
      <w:pPr>
        <w:spacing w:after="80"/>
      </w:pPr>
      <w:r>
        <w:rPr>
          <w:b w:val="0"/>
          <w:i w:val="0"/>
        </w:rPr>
        <w:t>Saylor, Michael, 33</w:t>
      </w:r>
    </w:p>
    <w:p>
      <w:pPr>
        <w:spacing w:after="80"/>
      </w:pPr>
      <w:r>
        <w:rPr>
          <w:b w:val="0"/>
          <w:i w:val="0"/>
        </w:rPr>
        <w:t xml:space="preserve">SCF. </w:t>
      </w:r>
      <w:r>
        <w:rPr>
          <w:b w:val="0"/>
          <w:i/>
        </w:rPr>
        <w:t>Xem</w:t>
      </w:r>
      <w:r>
        <w:rPr>
          <w:b w:val="0"/>
          <w:i w:val="0"/>
        </w:rPr>
        <w:t xml:space="preserve"> Statement of Cash Flows</w:t>
      </w:r>
    </w:p>
    <w:p>
      <w:pPr>
        <w:spacing w:after="80"/>
      </w:pPr>
      <w:r>
        <w:rPr>
          <w:b w:val="0"/>
          <w:i w:val="0"/>
        </w:rPr>
        <w:t xml:space="preserve">Scheme. </w:t>
      </w:r>
      <w:r>
        <w:rPr>
          <w:b w:val="0"/>
          <w:i/>
        </w:rPr>
        <w:t>Xem</w:t>
      </w:r>
      <w:r>
        <w:rPr>
          <w:b w:val="0"/>
          <w:i w:val="0"/>
        </w:rPr>
        <w:t xml:space="preserve"> Tobashi scheme</w:t>
      </w:r>
    </w:p>
    <w:p>
      <w:pPr>
        <w:spacing w:after="80"/>
      </w:pPr>
      <w:r>
        <w:rPr>
          <w:b w:val="0"/>
          <w:i w:val="0"/>
        </w:rPr>
        <w:t>Scholastic Corporation, 99–100</w:t>
      </w:r>
    </w:p>
    <w:p>
      <w:pPr>
        <w:spacing w:after="80"/>
      </w:pPr>
      <w:r>
        <w:rPr>
          <w:b w:val="0"/>
          <w:i w:val="0"/>
        </w:rPr>
        <w:t xml:space="preserve">SCHOT. </w:t>
      </w:r>
      <w:r>
        <w:rPr>
          <w:b w:val="0"/>
          <w:i/>
        </w:rPr>
        <w:t>Xem</w:t>
      </w:r>
      <w:r>
        <w:rPr>
          <w:b w:val="0"/>
          <w:i w:val="0"/>
        </w:rPr>
        <w:t xml:space="preserve"> South China House of Technology</w:t>
      </w:r>
    </w:p>
    <w:p>
      <w:pPr>
        <w:spacing w:after="80"/>
      </w:pPr>
      <w:r>
        <w:rPr>
          <w:b w:val="0"/>
          <w:i w:val="0"/>
        </w:rPr>
        <w:t>Scott Paper Company, 136–137</w:t>
      </w:r>
    </w:p>
    <w:p>
      <w:pPr>
        <w:spacing w:after="80"/>
      </w:pPr>
      <w:r>
        <w:rPr>
          <w:b w:val="0"/>
          <w:i w:val="0"/>
        </w:rPr>
        <w:t>Sears, 235</w:t>
      </w:r>
    </w:p>
    <w:p>
      <w:pPr>
        <w:spacing w:after="80"/>
      </w:pPr>
      <w:r>
        <w:rPr>
          <w:b w:val="0"/>
          <w:i w:val="0"/>
        </w:rPr>
        <w:t>SEC</w:t>
      </w:r>
    </w:p>
    <w:p>
      <w:pPr>
        <w:spacing w:after="80"/>
      </w:pPr>
      <w:r>
        <w:rPr>
          <w:b w:val="0"/>
          <w:i w:val="0"/>
        </w:rPr>
        <w:t>AIG và Brightpoint Inc. liên quan đến, 56</w:t>
      </w:r>
    </w:p>
    <w:p>
      <w:pPr>
        <w:spacing w:after="80"/>
      </w:pPr>
      <w:r>
        <w:rPr>
          <w:b w:val="0"/>
          <w:i w:val="0"/>
        </w:rPr>
        <w:t>Autonomy Corporation bị điều tra bởi, 59</w:t>
      </w:r>
    </w:p>
    <w:p>
      <w:pPr>
        <w:spacing w:after="80"/>
      </w:pPr>
      <w:r>
        <w:rPr>
          <w:b w:val="0"/>
          <w:i w:val="0"/>
        </w:rPr>
        <w:t>Biovail Corporation bị buộc tội bởi, 278</w:t>
      </w:r>
    </w:p>
    <w:p>
      <w:pPr>
        <w:spacing w:after="80"/>
      </w:pPr>
      <w:r>
        <w:rPr>
          <w:b w:val="0"/>
          <w:i w:val="0"/>
        </w:rPr>
        <w:t>CA bị buộc tội bởi, 41, 164</w:t>
      </w:r>
    </w:p>
    <w:p>
      <w:pPr>
        <w:spacing w:after="80"/>
      </w:pPr>
      <w:r>
        <w:rPr>
          <w:b w:val="0"/>
          <w:i w:val="0"/>
        </w:rPr>
        <w:t>các cơ chế kiểm tra và cân bằng liên quan đến, 24–25</w:t>
      </w:r>
    </w:p>
    <w:p>
      <w:pPr>
        <w:spacing w:after="80"/>
      </w:pPr>
      <w:r>
        <w:rPr>
          <w:b w:val="0"/>
          <w:i w:val="0"/>
        </w:rPr>
        <w:t>Groupon liên quan đến, 210–211</w:t>
      </w:r>
    </w:p>
    <w:p>
      <w:pPr>
        <w:spacing w:after="80"/>
      </w:pPr>
      <w:r>
        <w:rPr>
          <w:b w:val="0"/>
          <w:i w:val="0"/>
        </w:rPr>
        <w:t>New Century Financial Corp. bị buộc tội bởi, 229</w:t>
      </w:r>
    </w:p>
    <w:p>
      <w:pPr>
        <w:spacing w:after="80"/>
      </w:pPr>
      <w:r>
        <w:rPr>
          <w:b w:val="0"/>
          <w:i w:val="0"/>
        </w:rPr>
        <w:t>Peregrine Systems bị buộc tội bởi, 56</w:t>
      </w:r>
    </w:p>
    <w:p>
      <w:pPr>
        <w:spacing w:after="80"/>
      </w:pPr>
      <w:r>
        <w:rPr>
          <w:b w:val="0"/>
          <w:i w:val="0"/>
        </w:rPr>
        <w:t>Symbol Technologies liên quan đến, 19</w:t>
      </w:r>
    </w:p>
    <w:p>
      <w:pPr>
        <w:spacing w:after="80"/>
      </w:pPr>
      <w:r>
        <w:rPr>
          <w:b w:val="0"/>
          <w:i w:val="0"/>
        </w:rPr>
        <w:t>Tyco liên quan đến, 257–258</w:t>
      </w:r>
    </w:p>
    <w:p>
      <w:pPr>
        <w:spacing w:after="80"/>
      </w:pPr>
      <w:r>
        <w:rPr>
          <w:b w:val="0"/>
          <w:i w:val="0"/>
        </w:rPr>
        <w:t>WM liên quan đến, 4, 5</w:t>
      </w:r>
    </w:p>
    <w:p>
      <w:pPr>
        <w:spacing w:after="80"/>
      </w:pPr>
      <w:r>
        <w:rPr>
          <w:b w:val="0"/>
          <w:i w:val="0"/>
        </w:rPr>
        <w:t>WorldCom liên quan đến, 9</w:t>
      </w:r>
    </w:p>
    <w:p>
      <w:pPr>
        <w:spacing w:after="80"/>
      </w:pPr>
      <w:r>
        <w:rPr>
          <w:b w:val="0"/>
          <w:i w:val="0"/>
        </w:rPr>
        <w:t>Chứng khoán hóa (Securitization), 157</w:t>
      </w:r>
    </w:p>
    <w:p>
      <w:pPr>
        <w:spacing w:after="80"/>
      </w:pPr>
      <w:r>
        <w:rPr>
          <w:b w:val="0"/>
          <w:i w:val="0"/>
        </w:rPr>
        <w:t>Tự bảo hiểm (Self-insurance), 110–111</w:t>
      </w:r>
    </w:p>
    <w:p>
      <w:pPr>
        <w:spacing w:after="80"/>
      </w:pPr>
      <w:r>
        <w:rPr>
          <w:b w:val="0"/>
          <w:i w:val="0"/>
        </w:rPr>
        <w:t>Người bán, 245–246</w:t>
      </w:r>
    </w:p>
    <w:p>
      <w:pPr>
        <w:spacing w:after="80"/>
      </w:pPr>
      <w:r>
        <w:rPr>
          <w:b w:val="0"/>
          <w:i w:val="0"/>
        </w:rPr>
        <w:t>Cách tiếp cận bán vào (Sell-in approach), 44–45</w:t>
      </w:r>
    </w:p>
    <w:p>
      <w:pPr>
        <w:spacing w:after="80"/>
      </w:pPr>
      <w:r>
        <w:rPr>
          <w:b w:val="0"/>
          <w:i w:val="0"/>
        </w:rPr>
        <w:t>Chi phí bán hàng, chi phí chung và chi phí quản lý (SG&amp;A)</w:t>
      </w:r>
    </w:p>
    <w:p>
      <w:pPr>
        <w:spacing w:after="80"/>
      </w:pPr>
      <w:r>
        <w:rPr>
          <w:b w:val="0"/>
          <w:i w:val="0"/>
        </w:rPr>
        <w:t>đối với Under Armour, 113–114, 292</w:t>
      </w:r>
    </w:p>
    <w:p>
      <w:pPr>
        <w:spacing w:after="80"/>
      </w:pPr>
      <w:r>
        <w:rPr>
          <w:b w:val="0"/>
          <w:i w:val="0"/>
        </w:rPr>
        <w:t>COGS liên quan đến, 70–72</w:t>
      </w:r>
    </w:p>
    <w:p>
      <w:pPr>
        <w:spacing w:after="80"/>
      </w:pPr>
      <w:r>
        <w:rPr>
          <w:b w:val="0"/>
          <w:i w:val="0"/>
        </w:rPr>
        <w:t>đối với Travelocity, 77</w:t>
      </w:r>
    </w:p>
    <w:p>
      <w:pPr>
        <w:spacing w:after="80"/>
      </w:pPr>
      <w:r>
        <w:rPr>
          <w:b w:val="0"/>
          <w:i w:val="0"/>
        </w:rPr>
        <w:t>Cách tiếp cận bán hàng hết hàng (sell-through), 44–45</w:t>
      </w:r>
    </w:p>
    <w:p>
      <w:pPr>
        <w:spacing w:after="80"/>
      </w:pPr>
      <w:r>
        <w:rPr>
          <w:b w:val="0"/>
          <w:i w:val="0"/>
        </w:rPr>
        <w:t xml:space="preserve">Chi phí SG&amp;A. </w:t>
      </w:r>
      <w:r>
        <w:rPr>
          <w:b w:val="0"/>
          <w:i/>
        </w:rPr>
        <w:t>Xem</w:t>
      </w:r>
      <w:r>
        <w:rPr>
          <w:b w:val="0"/>
          <w:i w:val="0"/>
        </w:rPr>
        <w:t xml:space="preserve"> Chi phí bán hàng, chi phí chung và chi phí quản lý</w:t>
      </w:r>
    </w:p>
    <w:p>
      <w:pPr>
        <w:spacing w:after="80"/>
      </w:pPr>
      <w:r>
        <w:rPr>
          <w:b w:val="0"/>
          <w:i w:val="0"/>
        </w:rPr>
        <w:t>Signet Jewelers, 102</w:t>
      </w:r>
    </w:p>
    <w:p>
      <w:pPr>
        <w:spacing w:after="80"/>
      </w:pPr>
      <w:r>
        <w:rPr>
          <w:b w:val="0"/>
          <w:i w:val="0"/>
        </w:rPr>
        <w:t>Silicon Graphics, 187–188, 191</w:t>
      </w:r>
    </w:p>
    <w:p>
      <w:pPr>
        <w:spacing w:after="80"/>
      </w:pPr>
      <w:r>
        <w:rPr>
          <w:b w:val="0"/>
          <w:i w:val="0"/>
        </w:rPr>
        <w:t>Silverman, Henry, 6–7</w:t>
      </w:r>
    </w:p>
    <w:p>
      <w:pPr>
        <w:spacing w:after="80"/>
      </w:pPr>
      <w:r>
        <w:rPr>
          <w:b w:val="0"/>
          <w:i w:val="0"/>
        </w:rPr>
        <w:t>Simpson, O.J., 20</w:t>
      </w:r>
    </w:p>
    <w:p>
      <w:pPr>
        <w:spacing w:after="80"/>
      </w:pPr>
      <w:r>
        <w:rPr>
          <w:b w:val="0"/>
          <w:i w:val="0"/>
        </w:rPr>
        <w:t>Sirius Satellite Radio Inc., 205</w:t>
      </w:r>
    </w:p>
    <w:p>
      <w:pPr>
        <w:spacing w:after="80"/>
      </w:pPr>
      <w:r>
        <w:rPr>
          <w:b w:val="0"/>
          <w:i w:val="0"/>
        </w:rPr>
        <w:t>Chủ nghĩa hoài nghi, 288</w:t>
      </w:r>
    </w:p>
    <w:p>
      <w:pPr>
        <w:spacing w:after="80"/>
      </w:pPr>
      <w:r>
        <w:rPr>
          <w:b w:val="0"/>
          <w:i w:val="0"/>
        </w:rPr>
        <w:t>Điện thoại thông minh, 234</w:t>
      </w:r>
    </w:p>
    <w:p>
      <w:pPr>
        <w:spacing w:after="80"/>
      </w:pPr>
      <w:r>
        <w:rPr>
          <w:b w:val="0"/>
          <w:i w:val="0"/>
        </w:rPr>
        <w:t>Softbank</w:t>
      </w:r>
    </w:p>
    <w:p>
      <w:pPr>
        <w:spacing w:after="80"/>
      </w:pPr>
      <w:r>
        <w:rPr>
          <w:b w:val="0"/>
          <w:i w:val="0"/>
        </w:rPr>
        <w:t>Gemini BB liên quan đến, 258–259</w:t>
      </w:r>
    </w:p>
    <w:p>
      <w:pPr>
        <w:spacing w:after="80"/>
      </w:pPr>
      <w:r>
        <w:rPr>
          <w:b w:val="0"/>
          <w:i w:val="0"/>
        </w:rPr>
        <w:t>khoản lợi nhuận một lần cho, 74</w:t>
      </w:r>
    </w:p>
    <w:p>
      <w:pPr>
        <w:spacing w:after="80"/>
      </w:pPr>
      <w:r>
        <w:rPr>
          <w:b w:val="0"/>
          <w:i w:val="0"/>
        </w:rPr>
        <w:t>Công bố SCF cho, 259–260</w:t>
      </w:r>
    </w:p>
    <w:p>
      <w:pPr>
        <w:spacing w:after="80"/>
      </w:pPr>
      <w:r>
        <w:rPr>
          <w:b w:val="0"/>
          <w:i w:val="0"/>
        </w:rPr>
        <w:t>Phần mềm, 90–91</w:t>
      </w:r>
    </w:p>
    <w:p>
      <w:pPr>
        <w:spacing w:after="80"/>
      </w:pPr>
      <w:r>
        <w:rPr>
          <w:b w:val="0"/>
          <w:i w:val="0"/>
        </w:rPr>
        <w:t>Solomon, King, 4</w:t>
      </w:r>
    </w:p>
    <w:p>
      <w:pPr>
        <w:spacing w:after="80"/>
      </w:pPr>
      <w:r>
        <w:rPr>
          <w:b w:val="0"/>
          <w:i w:val="0"/>
        </w:rPr>
        <w:t>South China House of Technology (SCHOT), 60–61</w:t>
      </w:r>
    </w:p>
    <w:p>
      <w:pPr>
        <w:spacing w:after="80"/>
      </w:pPr>
      <w:r>
        <w:rPr>
          <w:b w:val="0"/>
          <w:i w:val="0"/>
        </w:rPr>
        <w:t>Spansion, 209–210</w:t>
      </w:r>
    </w:p>
    <w:p>
      <w:pPr>
        <w:spacing w:after="80"/>
      </w:pPr>
      <w:r>
        <w:rPr>
          <w:b w:val="0"/>
          <w:i w:val="0"/>
        </w:rPr>
        <w:t>Các khoản phí đặc biệt, 4, 136</w:t>
      </w:r>
    </w:p>
    <w:p>
      <w:pPr>
        <w:spacing w:after="80"/>
      </w:pPr>
      <w:r>
        <w:rPr>
          <w:b w:val="0"/>
          <w:i w:val="0"/>
        </w:rPr>
        <w:t>các khoản lợi nhuận một lần liên quan đến, 5–6</w:t>
      </w:r>
    </w:p>
    <w:p>
      <w:pPr>
        <w:spacing w:after="80"/>
      </w:pPr>
      <w:r>
        <w:rPr>
          <w:b w:val="0"/>
          <w:i w:val="0"/>
        </w:rPr>
        <w:t>như các khoản dự trữ, 112</w:t>
      </w:r>
    </w:p>
    <w:p>
      <w:pPr>
        <w:spacing w:after="80"/>
      </w:pPr>
      <w:r>
        <w:rPr>
          <w:b w:val="0"/>
          <w:i w:val="0"/>
        </w:rPr>
        <w:t>Sprint, 8</w:t>
      </w:r>
    </w:p>
    <w:p>
      <w:pPr>
        <w:spacing w:after="80"/>
      </w:pPr>
      <w:r>
        <w:rPr>
          <w:b w:val="0"/>
          <w:i w:val="0"/>
        </w:rPr>
        <w:t xml:space="preserve">SSS. </w:t>
      </w:r>
      <w:r>
        <w:rPr>
          <w:b w:val="0"/>
          <w:i/>
        </w:rPr>
        <w:t>Xem</w:t>
      </w:r>
      <w:r>
        <w:rPr>
          <w:b w:val="0"/>
          <w:i w:val="0"/>
        </w:rPr>
        <w:t xml:space="preserve"> Doanh số cùng cửa hàng</w:t>
      </w:r>
    </w:p>
    <w:p>
      <w:pPr>
        <w:spacing w:after="80"/>
      </w:pPr>
      <w:r>
        <w:rPr>
          <w:b w:val="0"/>
          <w:i w:val="0"/>
        </w:rPr>
        <w:t>Starbucks, 265–266</w:t>
      </w:r>
    </w:p>
    <w:p>
      <w:pPr>
        <w:spacing w:after="80"/>
      </w:pPr>
      <w:r>
        <w:rPr>
          <w:b w:val="0"/>
          <w:i w:val="0"/>
        </w:rPr>
        <w:t xml:space="preserve">Báo cáo Lưu chuyển Tiền tệ (SCF), 14. </w:t>
      </w:r>
      <w:r>
        <w:rPr>
          <w:b w:val="0"/>
          <w:i/>
        </w:rPr>
        <w:t>Xem thêm</w:t>
      </w:r>
      <w:r>
        <w:rPr>
          <w:b w:val="0"/>
          <w:i w:val="0"/>
        </w:rPr>
        <w:t xml:space="preserve"> Hoạt động tài chính; Hoạt động đầu tư; Hoạt động kinh doanh</w:t>
      </w:r>
    </w:p>
    <w:p>
      <w:pPr>
        <w:spacing w:after="80"/>
      </w:pPr>
      <w:r>
        <w:rPr>
          <w:b w:val="0"/>
          <w:i w:val="0"/>
        </w:rPr>
        <w:t>kế toán liên quan đến, 144–145</w:t>
      </w:r>
    </w:p>
    <w:p>
      <w:pPr>
        <w:spacing w:after="80"/>
      </w:pPr>
      <w:r>
        <w:rPr>
          <w:b w:val="0"/>
          <w:i w:val="0"/>
        </w:rPr>
        <w:t>đối với AOL, 92–93</w:t>
      </w:r>
    </w:p>
    <w:p>
      <w:pPr>
        <w:spacing w:after="80"/>
      </w:pPr>
      <w:r>
        <w:rPr>
          <w:b w:val="0"/>
          <w:i w:val="0"/>
        </w:rPr>
        <w:t>đối với Biovail Corporation, 178, 278</w:t>
      </w:r>
    </w:p>
    <w:p>
      <w:pPr>
        <w:spacing w:after="80"/>
      </w:pPr>
      <w:r>
        <w:rPr>
          <w:b w:val="0"/>
          <w:i w:val="0"/>
        </w:rPr>
        <w:t>đối với Cardinal Health, 157–158</w:t>
      </w:r>
    </w:p>
    <w:p>
      <w:pPr>
        <w:spacing w:after="80"/>
      </w:pPr>
      <w:r>
        <w:rPr>
          <w:b w:val="0"/>
          <w:i w:val="0"/>
        </w:rPr>
        <w:t>các dòng tiền ra bị loại khỏi, 179</w:t>
      </w:r>
    </w:p>
    <w:p>
      <w:pPr>
        <w:spacing w:after="80"/>
      </w:pPr>
      <w:r>
        <w:rPr>
          <w:b w:val="0"/>
          <w:i w:val="0"/>
        </w:rPr>
        <w:t>COGS liên quan đến, 175</w:t>
      </w:r>
    </w:p>
    <w:p>
      <w:pPr>
        <w:spacing w:after="80"/>
      </w:pPr>
      <w:r>
        <w:rPr>
          <w:b w:val="0"/>
          <w:i w:val="0"/>
        </w:rPr>
        <w:t>Báo cáo Lưu chuyển Tiền tệ (</w:t>
      </w:r>
      <w:r>
        <w:rPr>
          <w:b w:val="0"/>
          <w:i/>
        </w:rPr>
        <w:t>tiếp theo</w:t>
      </w:r>
      <w:r>
        <w:rPr>
          <w:b w:val="0"/>
          <w:i w:val="0"/>
        </w:rPr>
        <w:t>)</w:t>
      </w:r>
    </w:p>
    <w:p>
      <w:pPr>
        <w:spacing w:after="80"/>
      </w:pPr>
      <w:r>
        <w:rPr>
          <w:b w:val="0"/>
          <w:i w:val="0"/>
        </w:rPr>
        <w:t>công bố thông tin cho Softbank, 259–260</w:t>
      </w:r>
    </w:p>
    <w:p>
      <w:pPr>
        <w:spacing w:after="80"/>
      </w:pPr>
      <w:r>
        <w:rPr>
          <w:b w:val="0"/>
          <w:i w:val="0"/>
        </w:rPr>
        <w:t>EBITDA liên quan đến, 212–213</w:t>
      </w:r>
    </w:p>
    <w:p>
      <w:pPr>
        <w:spacing w:after="80"/>
      </w:pPr>
      <w:r>
        <w:rPr>
          <w:b w:val="0"/>
          <w:i w:val="0"/>
        </w:rPr>
        <w:t>đối với Home Depot, 183–184, 189–190</w:t>
      </w:r>
    </w:p>
    <w:p>
      <w:pPr>
        <w:spacing w:after="80"/>
      </w:pPr>
      <w:r>
        <w:rPr>
          <w:b w:val="0"/>
          <w:i w:val="0"/>
        </w:rPr>
        <w:t>các nhà đầu tư về, 15</w:t>
      </w:r>
    </w:p>
    <w:p>
      <w:pPr>
        <w:spacing w:after="80"/>
      </w:pPr>
      <w:r>
        <w:rPr>
          <w:b w:val="0"/>
          <w:i w:val="0"/>
        </w:rPr>
        <w:t>đối với Salesforce.com, 174</w:t>
      </w:r>
    </w:p>
    <w:p>
      <w:pPr>
        <w:spacing w:after="80"/>
      </w:pPr>
      <w:r>
        <w:rPr>
          <w:b w:val="0"/>
          <w:i w:val="0"/>
        </w:rPr>
        <w:t>các mục, 147–148, 149, 151–152</w:t>
      </w:r>
    </w:p>
    <w:p>
      <w:pPr>
        <w:spacing w:after="80"/>
      </w:pPr>
      <w:r>
        <w:rPr>
          <w:b w:val="0"/>
          <w:i w:val="0"/>
        </w:rPr>
        <w:t>đối với WorldCom, 9</w:t>
      </w:r>
    </w:p>
    <w:p>
      <w:pPr>
        <w:spacing w:after="80"/>
      </w:pPr>
      <w:r>
        <w:rPr>
          <w:b w:val="0"/>
          <w:i w:val="0"/>
        </w:rPr>
        <w:t>Báo cáo hoạt động kinh doanh, 191</w:t>
      </w:r>
    </w:p>
    <w:p>
      <w:pPr>
        <w:spacing w:after="80"/>
      </w:pPr>
      <w:r>
        <w:rPr>
          <w:b w:val="0"/>
          <w:i w:val="0"/>
        </w:rPr>
        <w:t>Strategy.com, 34, 35</w:t>
      </w:r>
    </w:p>
    <w:p>
      <w:pPr>
        <w:spacing w:after="80"/>
      </w:pPr>
      <w:r>
        <w:rPr>
          <w:b w:val="0"/>
          <w:i w:val="0"/>
        </w:rPr>
        <w:t>Giai đoạn Stub</w:t>
      </w:r>
    </w:p>
    <w:p>
      <w:pPr>
        <w:spacing w:after="80"/>
      </w:pPr>
      <w:r>
        <w:rPr>
          <w:b w:val="0"/>
          <w:i w:val="0"/>
        </w:rPr>
        <w:t>trong thương vụ mua lại, 127, 242</w:t>
      </w:r>
    </w:p>
    <w:p>
      <w:pPr>
        <w:spacing w:after="80"/>
      </w:pPr>
      <w:r>
        <w:rPr>
          <w:b w:val="0"/>
          <w:i w:val="0"/>
        </w:rPr>
        <w:t>xóa sổ trong thời gian đó, 244</w:t>
      </w:r>
    </w:p>
    <w:p>
      <w:pPr>
        <w:spacing w:after="80"/>
      </w:pPr>
      <w:r>
        <w:rPr>
          <w:b w:val="0"/>
          <w:i w:val="0"/>
        </w:rPr>
        <w:t>Các chỉ số dựa trên người đăng ký, 196, 205, 206</w:t>
      </w:r>
    </w:p>
    <w:p>
      <w:pPr>
        <w:spacing w:after="80"/>
      </w:pPr>
      <w:r>
        <w:rPr>
          <w:b w:val="0"/>
          <w:i w:val="0"/>
        </w:rPr>
        <w:t>Doanh nghiệp dựa trên thuê bao</w:t>
      </w:r>
    </w:p>
    <w:p>
      <w:pPr>
        <w:spacing w:after="80"/>
      </w:pPr>
      <w:r>
        <w:rPr>
          <w:b w:val="0"/>
          <w:i w:val="0"/>
        </w:rPr>
        <w:t>AOL như vậy, 206</w:t>
      </w:r>
    </w:p>
    <w:p>
      <w:pPr>
        <w:spacing w:after="80"/>
      </w:pPr>
      <w:r>
        <w:rPr>
          <w:b w:val="0"/>
          <w:i w:val="0"/>
        </w:rPr>
        <w:t>đánh giá của nhà đầu tư về, 195–196</w:t>
      </w:r>
    </w:p>
    <w:p>
      <w:pPr>
        <w:spacing w:after="80"/>
      </w:pPr>
      <w:r>
        <w:rPr>
          <w:b w:val="0"/>
          <w:i w:val="0"/>
        </w:rPr>
        <w:t>Sun Microsystems, 191</w:t>
      </w:r>
    </w:p>
    <w:p>
      <w:pPr>
        <w:spacing w:after="80"/>
      </w:pPr>
      <w:r>
        <w:rPr>
          <w:b w:val="0"/>
          <w:i w:val="0"/>
        </w:rPr>
        <w:t>Sunbeam, 44</w:t>
      </w:r>
    </w:p>
    <w:p>
      <w:pPr>
        <w:spacing w:after="80"/>
      </w:pPr>
      <w:r>
        <w:rPr>
          <w:b w:val="0"/>
          <w:i w:val="0"/>
        </w:rPr>
        <w:t>các giao dịch bill-and-hold liên quan đến, 42–43</w:t>
      </w:r>
    </w:p>
    <w:p>
      <w:pPr>
        <w:spacing w:after="80"/>
      </w:pPr>
      <w:r>
        <w:rPr>
          <w:b w:val="0"/>
          <w:i w:val="0"/>
        </w:rPr>
        <w:t>CA liên quan đến, 36</w:t>
      </w:r>
    </w:p>
    <w:p>
      <w:pPr>
        <w:spacing w:after="80"/>
      </w:pPr>
      <w:r>
        <w:rPr>
          <w:b w:val="0"/>
          <w:i w:val="0"/>
        </w:rPr>
        <w:t>CEO Dunlap của, 42, 43, 114, 136–137</w:t>
      </w:r>
    </w:p>
    <w:p>
      <w:pPr>
        <w:spacing w:after="80"/>
      </w:pPr>
      <w:r>
        <w:rPr>
          <w:b w:val="0"/>
          <w:i w:val="0"/>
        </w:rPr>
        <w:t>công bố thông tin, 43</w:t>
      </w:r>
    </w:p>
    <w:p>
      <w:pPr>
        <w:spacing w:after="80"/>
      </w:pPr>
      <w:r>
        <w:rPr>
          <w:b w:val="0"/>
          <w:i w:val="0"/>
        </w:rPr>
        <w:t>các khoản phí tái cấu trúc cho, 114, 139</w:t>
      </w:r>
    </w:p>
    <w:p>
      <w:pPr>
        <w:spacing w:after="80"/>
      </w:pPr>
      <w:r>
        <w:rPr>
          <w:b w:val="0"/>
          <w:i w:val="0"/>
        </w:rPr>
        <w:t>các nhà cung cấp liên quan đến, 63</w:t>
      </w:r>
    </w:p>
    <w:p>
      <w:pPr>
        <w:spacing w:after="80"/>
      </w:pPr>
      <w:r>
        <w:rPr>
          <w:b w:val="0"/>
          <w:i w:val="0"/>
        </w:rPr>
        <w:t>Sunrise Medical, 107</w:t>
      </w:r>
    </w:p>
    <w:p>
      <w:pPr>
        <w:spacing w:after="80"/>
      </w:pPr>
      <w:r>
        <w:rPr>
          <w:b w:val="0"/>
          <w:i w:val="0"/>
        </w:rPr>
        <w:t>Tòa án Tối cao, 17</w:t>
      </w:r>
    </w:p>
    <w:p>
      <w:pPr>
        <w:spacing w:after="80"/>
      </w:pPr>
      <w:r>
        <w:rPr>
          <w:b w:val="0"/>
          <w:i w:val="0"/>
        </w:rPr>
        <w:t xml:space="preserve">Surrogates. </w:t>
      </w:r>
      <w:r>
        <w:rPr>
          <w:b w:val="0"/>
          <w:i/>
        </w:rPr>
        <w:t>Xem</w:t>
      </w:r>
      <w:r>
        <w:rPr>
          <w:b w:val="0"/>
          <w:i w:val="0"/>
        </w:rPr>
        <w:t xml:space="preserve"> Cash flow surrogates; Earning surrogates; Revenue surrogates</w:t>
      </w:r>
    </w:p>
    <w:p>
      <w:pPr>
        <w:spacing w:after="80"/>
      </w:pPr>
      <w:r>
        <w:rPr>
          <w:b w:val="0"/>
          <w:i w:val="0"/>
        </w:rPr>
        <w:t>Symbol Technologies, 46</w:t>
      </w:r>
    </w:p>
    <w:p>
      <w:pPr>
        <w:spacing w:after="80"/>
      </w:pPr>
      <w:r>
        <w:rPr>
          <w:b w:val="0"/>
          <w:i w:val="0"/>
        </w:rPr>
        <w:t>các kiểm toán viên bị lừa bởi, 57</w:t>
      </w:r>
    </w:p>
    <w:p>
      <w:pPr>
        <w:spacing w:after="80"/>
      </w:pPr>
      <w:r>
        <w:rPr>
          <w:b w:val="0"/>
          <w:i w:val="0"/>
        </w:rPr>
        <w:t>FICA liên quan đến, 106–107</w:t>
      </w:r>
    </w:p>
    <w:p>
      <w:pPr>
        <w:spacing w:after="80"/>
      </w:pPr>
      <w:r>
        <w:rPr>
          <w:b w:val="0"/>
          <w:i w:val="0"/>
        </w:rPr>
        <w:t>gian lận bởi, 19</w:t>
      </w:r>
    </w:p>
    <w:p>
      <w:pPr>
        <w:spacing w:after="80"/>
      </w:pPr>
      <w:r>
        <w:rPr>
          <w:b w:val="0"/>
          <w:i w:val="0"/>
        </w:rPr>
        <w:t>che giấu hàng tồn kho, 226</w:t>
      </w:r>
    </w:p>
    <w:p>
      <w:pPr>
        <w:spacing w:after="80"/>
      </w:pPr>
      <w:r>
        <w:rPr>
          <w:b w:val="0"/>
          <w:i w:val="0"/>
        </w:rPr>
        <w:t>các khoản phải thu liên quan đến, 221–222</w:t>
      </w:r>
    </w:p>
    <w:p>
      <w:pPr>
        <w:spacing w:after="80"/>
      </w:pPr>
      <w:r>
        <w:rPr>
          <w:b w:val="0"/>
          <w:i w:val="0"/>
        </w:rPr>
        <w:t>SEC liên quan đến, 19</w:t>
      </w:r>
    </w:p>
    <w:p>
      <w:pPr>
        <w:spacing w:after="80"/>
      </w:pPr>
      <w:r>
        <w:rPr>
          <w:b w:val="0"/>
          <w:i w:val="0"/>
        </w:rPr>
        <w:t>Telxon Corporation bị mua lại bởi, 141</w:t>
      </w:r>
    </w:p>
    <w:p>
      <w:pPr>
        <w:spacing w:after="80"/>
      </w:pPr>
      <w:r>
        <w:rPr>
          <w:b w:val="0"/>
          <w:i w:val="0"/>
        </w:rPr>
        <w:t>Wall Street liên quan đến, 19</w:t>
      </w:r>
    </w:p>
    <w:p>
      <w:pPr>
        <w:spacing w:after="80"/>
      </w:pPr>
      <w:r>
        <w:rPr>
          <w:b w:val="0"/>
          <w:i w:val="0"/>
        </w:rPr>
        <w:t>Syntax-Brillian</w:t>
      </w:r>
    </w:p>
    <w:p>
      <w:pPr>
        <w:spacing w:after="80"/>
      </w:pPr>
      <w:r>
        <w:rPr>
          <w:b w:val="0"/>
          <w:i w:val="0"/>
        </w:rPr>
        <w:t>Tài sản trên Bảng cân đối kế toán (Balance Sheet), 89–90</w:t>
      </w:r>
    </w:p>
    <w:p>
      <w:pPr>
        <w:spacing w:after="80"/>
      </w:pPr>
      <w:r>
        <w:rPr>
          <w:b w:val="0"/>
          <w:i w:val="0"/>
        </w:rPr>
        <w:t>công bố thông tin, 61</w:t>
      </w:r>
    </w:p>
    <w:p>
      <w:pPr>
        <w:spacing w:after="80"/>
      </w:pPr>
      <w:r>
        <w:rPr>
          <w:b w:val="0"/>
          <w:i w:val="0"/>
        </w:rPr>
        <w:t>điều tra gian lận cho, 60</w:t>
      </w:r>
    </w:p>
    <w:p>
      <w:pPr>
        <w:spacing w:after="80"/>
      </w:pPr>
      <w:r>
        <w:rPr>
          <w:b w:val="0"/>
          <w:i w:val="0"/>
        </w:rPr>
        <w:t>Kolin liên quan đến, 89–90, 108</w:t>
      </w:r>
    </w:p>
    <w:p>
      <w:pPr>
        <w:spacing w:after="80"/>
      </w:pPr>
      <w:r>
        <w:rPr>
          <w:b w:val="0"/>
          <w:i w:val="0"/>
        </w:rPr>
        <w:t>SCHOT liên quan đến, 60–61</w:t>
      </w:r>
    </w:p>
    <w:p>
      <w:pPr>
        <w:spacing w:after="80"/>
      </w:pPr>
      <w:r>
        <w:rPr>
          <w:b w:val="0"/>
          <w:i w:val="0"/>
        </w:rPr>
        <w:t>hoàn tiền từ nhà cung cấp cho, 108</w:t>
      </w:r>
    </w:p>
    <w:p>
      <w:pPr>
        <w:spacing w:after="80"/>
      </w:pPr>
      <w:r>
        <w:rPr>
          <w:b w:val="0"/>
          <w:i w:val="0"/>
        </w:rPr>
        <w:t xml:space="preserve">Thuế. </w:t>
      </w:r>
      <w:r>
        <w:rPr>
          <w:b w:val="0"/>
          <w:i/>
        </w:rPr>
        <w:t>Xem thêm</w:t>
      </w:r>
      <w:r>
        <w:rPr>
          <w:b w:val="0"/>
          <w:i w:val="0"/>
        </w:rPr>
        <w:t xml:space="preserve"> Lợi nhuận trước lãi vay, thuế, khấu hao và phân bổ (Earnings Before Interest, Taxes, Depreciation, and Amortization)</w:t>
      </w:r>
    </w:p>
    <w:p>
      <w:pPr>
        <w:spacing w:after="80"/>
      </w:pPr>
      <w:r>
        <w:rPr>
          <w:b w:val="0"/>
          <w:i w:val="0"/>
        </w:rPr>
        <w:t>Callaway Golf Company liên quan đến, 186</w:t>
      </w:r>
    </w:p>
    <w:p>
      <w:pPr>
        <w:spacing w:after="80"/>
      </w:pPr>
      <w:r>
        <w:rPr>
          <w:b w:val="0"/>
          <w:i w:val="0"/>
        </w:rPr>
        <w:t>lợi thế của MLP với, 215</w:t>
      </w:r>
    </w:p>
    <w:p>
      <w:pPr>
        <w:spacing w:after="80"/>
      </w:pPr>
      <w:r>
        <w:rPr>
          <w:b w:val="0"/>
          <w:i w:val="0"/>
        </w:rPr>
        <w:t>đối với các công ty đại chúng, 119</w:t>
      </w:r>
    </w:p>
    <w:p>
      <w:pPr>
        <w:spacing w:after="80"/>
      </w:pPr>
      <w:r>
        <w:rPr>
          <w:b w:val="0"/>
          <w:i w:val="0"/>
        </w:rPr>
        <w:t>Tellabs Inc., 224–226</w:t>
      </w:r>
    </w:p>
    <w:p>
      <w:pPr>
        <w:spacing w:after="80"/>
      </w:pPr>
      <w:r>
        <w:rPr>
          <w:b w:val="0"/>
          <w:i w:val="0"/>
        </w:rPr>
        <w:t>Telxon Corporation, 141</w:t>
      </w:r>
    </w:p>
    <w:p>
      <w:pPr>
        <w:spacing w:after="80"/>
      </w:pPr>
      <w:r>
        <w:rPr>
          <w:b w:val="0"/>
          <w:i w:val="0"/>
        </w:rPr>
        <w:t>Tenet Healthcare, 260–261</w:t>
      </w:r>
    </w:p>
    <w:p>
      <w:pPr>
        <w:spacing w:after="80"/>
      </w:pPr>
      <w:r>
        <w:rPr>
          <w:b w:val="0"/>
          <w:i w:val="0"/>
        </w:rPr>
        <w:t>Tesco, 64</w:t>
      </w:r>
    </w:p>
    <w:p>
      <w:pPr>
        <w:spacing w:after="80"/>
      </w:pPr>
      <w:r>
        <w:rPr>
          <w:b w:val="0"/>
          <w:i w:val="0"/>
        </w:rPr>
        <w:t>Tesla Motors, 187</w:t>
      </w:r>
    </w:p>
    <w:p>
      <w:pPr>
        <w:spacing w:after="80"/>
      </w:pPr>
      <w:r>
        <w:rPr>
          <w:b w:val="0"/>
          <w:i w:val="0"/>
        </w:rPr>
        <w:t>Thaler, Richard, 293</w:t>
      </w:r>
    </w:p>
    <w:p>
      <w:pPr>
        <w:spacing w:after="80"/>
      </w:pPr>
      <w:r>
        <w:rPr>
          <w:b w:val="0"/>
          <w:i w:val="0"/>
        </w:rPr>
        <w:t>The Learning Company (TLC), 236</w:t>
      </w:r>
    </w:p>
    <w:p>
      <w:pPr>
        <w:spacing w:after="80"/>
      </w:pPr>
      <w:r>
        <w:rPr>
          <w:b w:val="0"/>
          <w:i w:val="0"/>
        </w:rPr>
        <w:t>3Com, 127, 137–138</w:t>
      </w:r>
    </w:p>
    <w:p>
      <w:pPr>
        <w:spacing w:after="80"/>
      </w:pPr>
      <w:r>
        <w:rPr>
          <w:b w:val="0"/>
          <w:i w:val="0"/>
        </w:rPr>
        <w:t>3D Systems, 266</w:t>
      </w:r>
    </w:p>
    <w:p>
      <w:pPr>
        <w:spacing w:after="80"/>
      </w:pPr>
      <w:r>
        <w:rPr>
          <w:b w:val="0"/>
          <w:i w:val="0"/>
        </w:rPr>
        <w:t>Time Warner, 235</w:t>
      </w:r>
    </w:p>
    <w:p>
      <w:pPr>
        <w:spacing w:after="80"/>
      </w:pPr>
      <w:r>
        <w:rPr>
          <w:b w:val="0"/>
          <w:i w:val="0"/>
        </w:rPr>
        <w:t xml:space="preserve">TLC. </w:t>
      </w:r>
      <w:r>
        <w:rPr>
          <w:b w:val="0"/>
          <w:i/>
        </w:rPr>
        <w:t>Xem</w:t>
      </w:r>
      <w:r>
        <w:rPr>
          <w:b w:val="0"/>
          <w:i w:val="0"/>
        </w:rPr>
        <w:t xml:space="preserve"> The Learning Company</w:t>
      </w:r>
    </w:p>
    <w:p>
      <w:pPr>
        <w:spacing w:after="80"/>
      </w:pPr>
      <w:r>
        <w:rPr>
          <w:b w:val="0"/>
          <w:i w:val="0"/>
        </w:rPr>
        <w:t>T-Mobile, 185–186</w:t>
      </w:r>
    </w:p>
    <w:p>
      <w:pPr>
        <w:spacing w:after="80"/>
      </w:pPr>
      <w:r>
        <w:rPr>
          <w:b w:val="0"/>
          <w:i w:val="0"/>
        </w:rPr>
        <w:t>Thủ đoạn Tobashi, 244</w:t>
      </w:r>
    </w:p>
    <w:p>
      <w:pPr>
        <w:spacing w:after="80"/>
      </w:pPr>
      <w:r>
        <w:rPr>
          <w:b w:val="0"/>
          <w:i w:val="0"/>
        </w:rPr>
        <w:t>Toshiba, 275–276</w:t>
      </w:r>
    </w:p>
    <w:p>
      <w:pPr>
        <w:spacing w:after="80"/>
      </w:pPr>
      <w:r>
        <w:rPr>
          <w:b w:val="0"/>
          <w:i w:val="0"/>
        </w:rPr>
        <w:t>Tổng lợi nhuận cổ đông (Total shareholder return - TSR), 22</w:t>
      </w:r>
    </w:p>
    <w:p>
      <w:pPr>
        <w:spacing w:after="80"/>
      </w:pPr>
      <w:r>
        <w:rPr>
          <w:b w:val="0"/>
          <w:i w:val="0"/>
        </w:rPr>
        <w:t>Toys ’R’ Us, 135</w:t>
      </w:r>
    </w:p>
    <w:p>
      <w:pPr>
        <w:spacing w:after="80"/>
      </w:pPr>
      <w:r>
        <w:rPr>
          <w:b w:val="0"/>
          <w:i w:val="0"/>
        </w:rPr>
        <w:t xml:space="preserve">Các giao dịch. </w:t>
      </w:r>
      <w:r>
        <w:rPr>
          <w:b w:val="0"/>
          <w:i/>
        </w:rPr>
        <w:t>Xem thêm</w:t>
      </w:r>
      <w:r>
        <w:rPr>
          <w:b w:val="0"/>
          <w:i w:val="0"/>
        </w:rPr>
        <w:t xml:space="preserve"> Giao dịch hàng đổi hàng; Giao dịch ghi hóa đơn và giữ hàng; Giao dịch boomerang</w:t>
      </w:r>
    </w:p>
    <w:p>
      <w:pPr>
        <w:spacing w:after="80"/>
      </w:pPr>
      <w:r>
        <w:rPr>
          <w:b w:val="0"/>
          <w:i w:val="0"/>
        </w:rPr>
        <w:t>với các bên liên kết, 59</w:t>
      </w:r>
    </w:p>
    <w:p>
      <w:pPr>
        <w:spacing w:after="80"/>
      </w:pPr>
      <w:r>
        <w:rPr>
          <w:b w:val="0"/>
          <w:i w:val="0"/>
        </w:rPr>
        <w:t>với các đối tác liên doanh, 62</w:t>
      </w:r>
    </w:p>
    <w:p>
      <w:pPr>
        <w:spacing w:after="80"/>
      </w:pPr>
      <w:r>
        <w:rPr>
          <w:b w:val="0"/>
          <w:i w:val="0"/>
        </w:rPr>
        <w:t>với Marvell Technology Group và Intel Corporation, 72–74, 115–116, 246</w:t>
      </w:r>
    </w:p>
    <w:p>
      <w:pPr>
        <w:spacing w:after="80"/>
      </w:pPr>
      <w:r>
        <w:rPr>
          <w:b w:val="0"/>
          <w:i w:val="0"/>
        </w:rPr>
        <w:t>với các công ty mẹ, 61</w:t>
      </w:r>
    </w:p>
    <w:p>
      <w:pPr>
        <w:spacing w:after="80"/>
      </w:pPr>
      <w:r>
        <w:rPr>
          <w:b w:val="0"/>
          <w:i w:val="0"/>
        </w:rPr>
        <w:t>ghi nhận chi phí từ hoạt động hiện tại, 106–109</w:t>
      </w:r>
    </w:p>
    <w:p>
      <w:pPr>
        <w:spacing w:after="80"/>
      </w:pPr>
      <w:r>
        <w:rPr>
          <w:b w:val="0"/>
          <w:i w:val="0"/>
        </w:rPr>
        <w:t>ghi nhận doanh thu với số tiền phóng đại, 64–67</w:t>
      </w:r>
    </w:p>
    <w:p>
      <w:pPr>
        <w:spacing w:after="80"/>
      </w:pPr>
      <w:r>
        <w:rPr>
          <w:b w:val="0"/>
          <w:i w:val="0"/>
        </w:rPr>
        <w:t>ghi nhận doanh thu thiếu quy trình giao dịch độc lập, 59–62</w:t>
      </w:r>
    </w:p>
    <w:p>
      <w:pPr>
        <w:spacing w:after="80"/>
      </w:pPr>
      <w:r>
        <w:rPr>
          <w:b w:val="0"/>
          <w:i w:val="0"/>
        </w:rPr>
        <w:t>ghi nhận doanh thu thiếu thực chất, 54–59</w:t>
      </w:r>
    </w:p>
    <w:p>
      <w:pPr>
        <w:spacing w:after="80"/>
      </w:pPr>
      <w:r>
        <w:rPr>
          <w:b w:val="0"/>
          <w:i w:val="0"/>
        </w:rPr>
        <w:t>ghi nhận các khoản thu doanh thu từ nguồn phi doanh thu, 62–64</w:t>
      </w:r>
    </w:p>
    <w:p>
      <w:pPr>
        <w:spacing w:after="80"/>
      </w:pPr>
      <w:r>
        <w:rPr>
          <w:b w:val="0"/>
          <w:i w:val="0"/>
        </w:rPr>
        <w:t>Travelocity, 77</w:t>
      </w:r>
    </w:p>
    <w:p>
      <w:pPr>
        <w:spacing w:after="80"/>
      </w:pPr>
      <w:r>
        <w:rPr>
          <w:b w:val="0"/>
          <w:i w:val="0"/>
        </w:rPr>
        <w:t>Treehouse Foods, 261</w:t>
      </w:r>
    </w:p>
    <w:p>
      <w:pPr>
        <w:spacing w:after="80"/>
      </w:pPr>
      <w:r>
        <w:rPr>
          <w:b w:val="0"/>
          <w:i w:val="0"/>
        </w:rPr>
        <w:t xml:space="preserve">TSR. </w:t>
      </w:r>
      <w:r>
        <w:rPr>
          <w:b w:val="0"/>
          <w:i/>
        </w:rPr>
        <w:t>Xem</w:t>
      </w:r>
      <w:r>
        <w:rPr>
          <w:b w:val="0"/>
          <w:i w:val="0"/>
        </w:rPr>
        <w:t xml:space="preserve"> Tỷ suất sinh lời cho cổ đông</w:t>
      </w:r>
    </w:p>
    <w:p>
      <w:pPr>
        <w:spacing w:after="80"/>
      </w:pPr>
      <w:r>
        <w:rPr>
          <w:b w:val="0"/>
          <w:i w:val="0"/>
        </w:rPr>
        <w:t>Tween Brands Inc., 226–227</w:t>
      </w:r>
    </w:p>
    <w:p>
      <w:pPr>
        <w:spacing w:after="80"/>
      </w:pPr>
      <w:r>
        <w:rPr>
          <w:b w:val="0"/>
          <w:i w:val="0"/>
        </w:rPr>
        <w:t>Tyco, 254</w:t>
      </w:r>
    </w:p>
    <w:p>
      <w:pPr>
        <w:spacing w:after="80"/>
      </w:pPr>
      <w:r>
        <w:rPr>
          <w:b w:val="0"/>
          <w:i w:val="0"/>
        </w:rPr>
        <w:t>các thương vụ mua lại, 249–250, 255–256</w:t>
      </w:r>
    </w:p>
    <w:p>
      <w:pPr>
        <w:spacing w:after="80"/>
      </w:pPr>
      <w:r>
        <w:rPr>
          <w:b w:val="0"/>
          <w:i w:val="0"/>
        </w:rPr>
        <w:t>gian lận bởi, 257–258</w:t>
      </w:r>
    </w:p>
    <w:p>
      <w:pPr>
        <w:spacing w:after="80"/>
      </w:pPr>
      <w:r>
        <w:rPr>
          <w:b w:val="0"/>
          <w:i w:val="0"/>
        </w:rPr>
        <w:t>UAL, 235</w:t>
      </w:r>
    </w:p>
    <w:p>
      <w:pPr>
        <w:spacing w:after="80"/>
      </w:pPr>
      <w:r>
        <w:rPr>
          <w:b w:val="0"/>
          <w:i w:val="0"/>
        </w:rPr>
        <w:t>Tập đoàn Ultimate Software (ULTI), 90–91</w:t>
      </w:r>
    </w:p>
    <w:p>
      <w:pPr>
        <w:spacing w:after="80"/>
      </w:pPr>
      <w:r>
        <w:rPr>
          <w:b w:val="0"/>
          <w:i w:val="0"/>
        </w:rPr>
        <w:t>Ulvac, 38–39, 289</w:t>
      </w:r>
    </w:p>
    <w:p>
      <w:pPr>
        <w:spacing w:after="80"/>
      </w:pPr>
      <w:r>
        <w:rPr>
          <w:b w:val="0"/>
          <w:i w:val="0"/>
        </w:rPr>
        <w:t>Under Armour</w:t>
      </w:r>
    </w:p>
    <w:p>
      <w:pPr>
        <w:spacing w:after="80"/>
      </w:pPr>
      <w:r>
        <w:rPr>
          <w:b w:val="0"/>
          <w:i w:val="0"/>
        </w:rPr>
        <w:t>công bố thông tin, 292</w:t>
      </w:r>
    </w:p>
    <w:p>
      <w:pPr>
        <w:spacing w:after="80"/>
      </w:pPr>
      <w:r>
        <w:rPr>
          <w:b w:val="0"/>
          <w:i w:val="0"/>
        </w:rPr>
        <w:t>chi phí SG&amp;A cho, 113–114, 292</w:t>
      </w:r>
    </w:p>
    <w:p>
      <w:pPr>
        <w:spacing w:after="80"/>
      </w:pPr>
      <w:r>
        <w:rPr>
          <w:b w:val="0"/>
          <w:i w:val="0"/>
        </w:rPr>
        <w:t>Doanh thu chưa thực hiện, 121–123</w:t>
      </w:r>
    </w:p>
    <w:p>
      <w:pPr>
        <w:spacing w:after="80"/>
      </w:pPr>
      <w:r>
        <w:rPr>
          <w:b w:val="0"/>
          <w:i w:val="0"/>
        </w:rPr>
        <w:t>U.S. Robotics, 127, 137–138</w:t>
      </w:r>
    </w:p>
    <w:p>
      <w:pPr>
        <w:spacing w:after="80"/>
      </w:pPr>
      <w:r>
        <w:rPr>
          <w:b w:val="0"/>
          <w:i w:val="0"/>
        </w:rPr>
        <w:t>UTStarcom</w:t>
      </w:r>
    </w:p>
    <w:p>
      <w:pPr>
        <w:spacing w:after="80"/>
      </w:pPr>
      <w:r>
        <w:rPr>
          <w:b w:val="0"/>
          <w:i w:val="0"/>
        </w:rPr>
        <w:t>công bố thông tin, 188–189</w:t>
      </w:r>
    </w:p>
    <w:p>
      <w:pPr>
        <w:spacing w:after="80"/>
      </w:pPr>
      <w:r>
        <w:rPr>
          <w:b w:val="0"/>
          <w:i w:val="0"/>
        </w:rPr>
        <w:t>các khoản phải thu ghi chú liên quan đến, 222–223</w:t>
      </w:r>
    </w:p>
    <w:p>
      <w:pPr>
        <w:spacing w:after="80"/>
      </w:pPr>
      <w:r>
        <w:rPr>
          <w:b w:val="0"/>
          <w:i w:val="0"/>
        </w:rPr>
        <w:t>Valeant Pharmaceuticals, 178</w:t>
      </w:r>
    </w:p>
    <w:p>
      <w:pPr>
        <w:spacing w:after="80"/>
      </w:pPr>
      <w:r>
        <w:rPr>
          <w:b w:val="0"/>
          <w:i w:val="0"/>
        </w:rPr>
        <w:t>Ackman liên quan đến, 281</w:t>
      </w:r>
    </w:p>
    <w:p>
      <w:pPr>
        <w:spacing w:after="80"/>
      </w:pPr>
      <w:r>
        <w:rPr>
          <w:b w:val="0"/>
          <w:i w:val="0"/>
        </w:rPr>
        <w:t>Nỗ lực thâu tóm Allergan của, 281–282</w:t>
      </w:r>
    </w:p>
    <w:p>
      <w:pPr>
        <w:spacing w:after="80"/>
      </w:pPr>
      <w:r>
        <w:rPr>
          <w:b w:val="0"/>
          <w:i w:val="0"/>
        </w:rPr>
        <w:t>Sáp nhập với Biovail Corporation, 277–278</w:t>
      </w:r>
    </w:p>
    <w:p>
      <w:pPr>
        <w:spacing w:after="80"/>
      </w:pPr>
      <w:r>
        <w:rPr>
          <w:b w:val="0"/>
          <w:i w:val="0"/>
        </w:rPr>
        <w:t>Thương vụ B&amp;L được thâu tóm bởi, 279–280</w:t>
      </w:r>
    </w:p>
    <w:p>
      <w:pPr>
        <w:spacing w:after="80"/>
      </w:pPr>
      <w:r>
        <w:rPr>
          <w:b w:val="0"/>
          <w:i w:val="0"/>
        </w:rPr>
        <w:t>Nỗ lực thâu tóm Cephalon của, 280–281</w:t>
      </w:r>
    </w:p>
    <w:p>
      <w:pPr>
        <w:spacing w:after="80"/>
      </w:pPr>
      <w:r>
        <w:rPr>
          <w:b w:val="0"/>
          <w:i w:val="0"/>
        </w:rPr>
        <w:t>Clinton, H., liên quan đến, 284–285</w:t>
      </w:r>
    </w:p>
    <w:p>
      <w:pPr>
        <w:spacing w:after="80"/>
      </w:pPr>
      <w:r>
        <w:rPr>
          <w:b w:val="0"/>
          <w:i w:val="0"/>
        </w:rPr>
        <w:t>kế hoạch đền bù liên quan đến, 22, 291–292</w:t>
      </w:r>
    </w:p>
    <w:p>
      <w:pPr>
        <w:spacing w:after="80"/>
      </w:pPr>
      <w:r>
        <w:rPr>
          <w:b w:val="0"/>
          <w:i w:val="0"/>
        </w:rPr>
        <w:t>gian lận bởi, 11–12, 286</w:t>
      </w:r>
    </w:p>
    <w:p>
      <w:pPr>
        <w:spacing w:after="80"/>
      </w:pPr>
      <w:r>
        <w:rPr>
          <w:b w:val="0"/>
          <w:i w:val="0"/>
        </w:rPr>
        <w:t>các chỉ số GAAP và phi GAAP cho, 267–268</w:t>
      </w:r>
    </w:p>
    <w:p>
      <w:pPr>
        <w:spacing w:after="80"/>
      </w:pPr>
      <w:r>
        <w:rPr>
          <w:b w:val="0"/>
          <w:i w:val="0"/>
        </w:rPr>
        <w:t>thương vụ Medicis được mua lại bởi, 44–45, 246–247, 279</w:t>
      </w:r>
    </w:p>
    <w:p>
      <w:pPr>
        <w:spacing w:after="80"/>
      </w:pPr>
      <w:r>
        <w:rPr>
          <w:b w:val="0"/>
          <w:i w:val="0"/>
        </w:rPr>
        <w:t>Pearson CEO của, 22, 136, 276–277, 279–281, 283, 286</w:t>
      </w:r>
    </w:p>
    <w:p>
      <w:pPr>
        <w:spacing w:after="80"/>
      </w:pPr>
      <w:r>
        <w:rPr>
          <w:b w:val="0"/>
          <w:i w:val="0"/>
        </w:rPr>
        <w:t>thương vụ Salix Pharmaceuticals được mua lại bởi, 45, 242–243, 282–284</w:t>
      </w:r>
    </w:p>
    <w:p>
      <w:pPr>
        <w:spacing w:after="80"/>
      </w:pPr>
      <w:r>
        <w:rPr>
          <w:b w:val="0"/>
          <w:i w:val="0"/>
        </w:rPr>
        <w:t>Giá trị, 95–97</w:t>
      </w:r>
    </w:p>
    <w:p>
      <w:pPr>
        <w:spacing w:after="80"/>
      </w:pPr>
      <w:r>
        <w:rPr>
          <w:b w:val="0"/>
          <w:i w:val="0"/>
        </w:rPr>
        <w:t>Valukas, Anton, 10</w:t>
      </w:r>
    </w:p>
    <w:p>
      <w:pPr>
        <w:spacing w:after="80"/>
      </w:pPr>
      <w:r>
        <w:rPr>
          <w:b w:val="0"/>
          <w:i w:val="0"/>
        </w:rPr>
        <w:t>Nhà cung cấp</w:t>
      </w:r>
    </w:p>
    <w:p>
      <w:pPr>
        <w:spacing w:after="80"/>
      </w:pPr>
      <w:r>
        <w:rPr>
          <w:b w:val="0"/>
          <w:i w:val="0"/>
        </w:rPr>
        <w:t>CFFO được thúc đẩy bằng cách thanh toán chậm, 182–186</w:t>
      </w:r>
    </w:p>
    <w:p>
      <w:pPr>
        <w:spacing w:after="80"/>
      </w:pPr>
      <w:r>
        <w:rPr>
          <w:b w:val="0"/>
          <w:i w:val="0"/>
        </w:rPr>
        <w:t>hoàn tiền, 63–64, 108</w:t>
      </w:r>
    </w:p>
    <w:p>
      <w:pPr>
        <w:spacing w:after="80"/>
      </w:pPr>
      <w:r>
        <w:rPr>
          <w:b w:val="0"/>
          <w:i w:val="0"/>
        </w:rPr>
        <w:t>Verizon Communications, 10</w:t>
      </w:r>
    </w:p>
    <w:p>
      <w:pPr>
        <w:spacing w:after="80"/>
      </w:pPr>
      <w:r>
        <w:rPr>
          <w:b w:val="0"/>
          <w:i w:val="0"/>
        </w:rPr>
        <w:t>Vitesse Semiconductor, 97, 99</w:t>
      </w:r>
    </w:p>
    <w:p>
      <w:pPr>
        <w:spacing w:after="80"/>
      </w:pPr>
      <w:r>
        <w:rPr>
          <w:b w:val="0"/>
          <w:i w:val="0"/>
        </w:rPr>
        <w:t>Phố Wall</w:t>
      </w:r>
    </w:p>
    <w:p>
      <w:pPr>
        <w:spacing w:after="80"/>
      </w:pPr>
      <w:r>
        <w:rPr>
          <w:b w:val="0"/>
          <w:i w:val="0"/>
        </w:rPr>
        <w:t>AIG liên quan đến, 54</w:t>
      </w:r>
    </w:p>
    <w:p>
      <w:pPr>
        <w:spacing w:after="80"/>
      </w:pPr>
      <w:r>
        <w:rPr>
          <w:b w:val="0"/>
          <w:i w:val="0"/>
        </w:rPr>
        <w:t>Enron liên quan đến, 123</w:t>
      </w:r>
    </w:p>
    <w:p>
      <w:pPr>
        <w:spacing w:after="80"/>
      </w:pPr>
      <w:r>
        <w:rPr>
          <w:b w:val="0"/>
          <w:i w:val="0"/>
        </w:rPr>
        <w:t>Symbol Technologies liên quan đến, 19</w:t>
      </w:r>
    </w:p>
    <w:p>
      <w:pPr>
        <w:spacing w:after="80"/>
      </w:pPr>
      <w:r>
        <w:rPr>
          <w:b w:val="0"/>
          <w:i w:val="0"/>
        </w:rPr>
        <w:t xml:space="preserve">WAMU. </w:t>
      </w:r>
      <w:r>
        <w:rPr>
          <w:b w:val="0"/>
          <w:i/>
        </w:rPr>
        <w:t>Xem</w:t>
      </w:r>
      <w:r>
        <w:rPr>
          <w:b w:val="0"/>
          <w:i w:val="0"/>
        </w:rPr>
        <w:t xml:space="preserve"> Washington Mutual Inc.</w:t>
      </w:r>
    </w:p>
    <w:p>
      <w:pPr>
        <w:spacing w:after="80"/>
      </w:pPr>
      <w:r>
        <w:rPr>
          <w:b w:val="0"/>
          <w:i w:val="0"/>
        </w:rPr>
        <w:t>Warburg Pincus (WP), 279–280</w:t>
      </w:r>
    </w:p>
    <w:p>
      <w:pPr>
        <w:spacing w:after="80"/>
      </w:pPr>
      <w:r>
        <w:rPr>
          <w:b w:val="0"/>
          <w:i w:val="0"/>
        </w:rPr>
        <w:t>Bảo hành, 117–118</w:t>
      </w:r>
    </w:p>
    <w:p>
      <w:pPr>
        <w:spacing w:after="80"/>
      </w:pPr>
      <w:r>
        <w:rPr>
          <w:b w:val="0"/>
          <w:i w:val="0"/>
        </w:rPr>
        <w:t>Washington Mutual Inc. (WAMU), 126</w:t>
      </w:r>
    </w:p>
    <w:p>
      <w:pPr>
        <w:spacing w:after="80"/>
      </w:pPr>
      <w:r>
        <w:rPr>
          <w:b w:val="0"/>
          <w:i w:val="0"/>
        </w:rPr>
        <w:t>Waste Management Inc. (WM)</w:t>
      </w:r>
    </w:p>
    <w:p>
      <w:pPr>
        <w:spacing w:after="80"/>
      </w:pPr>
      <w:r>
        <w:rPr>
          <w:b w:val="0"/>
          <w:i w:val="0"/>
        </w:rPr>
        <w:t>Arthur Andersen kiểm toán viên của, 5–6</w:t>
      </w:r>
    </w:p>
    <w:p>
      <w:pPr>
        <w:spacing w:after="80"/>
      </w:pPr>
      <w:r>
        <w:rPr>
          <w:b w:val="0"/>
          <w:i w:val="0"/>
        </w:rPr>
        <w:t>gian lận bởi, 4–6</w:t>
      </w:r>
    </w:p>
    <w:p>
      <w:pPr>
        <w:spacing w:after="80"/>
      </w:pPr>
      <w:r>
        <w:rPr>
          <w:b w:val="0"/>
          <w:i w:val="0"/>
        </w:rPr>
        <w:t>Bảo vệ tài sản, 12</w:t>
      </w:r>
    </w:p>
    <w:p>
      <w:pPr>
        <w:spacing w:after="80"/>
      </w:pPr>
      <w:r>
        <w:rPr>
          <w:b w:val="0"/>
          <w:i w:val="0"/>
        </w:rPr>
        <w:t>Whirlpool</w:t>
      </w:r>
    </w:p>
    <w:p>
      <w:pPr>
        <w:spacing w:after="80"/>
      </w:pPr>
      <w:r>
        <w:rPr>
          <w:b w:val="0"/>
          <w:i w:val="0"/>
        </w:rPr>
        <w:t>Hefei Sanyo được mua lại bởi, 261–262</w:t>
      </w:r>
    </w:p>
    <w:p>
      <w:pPr>
        <w:spacing w:after="80"/>
      </w:pPr>
      <w:r>
        <w:rPr>
          <w:b w:val="0"/>
          <w:i w:val="0"/>
        </w:rPr>
        <w:t>chi phí tái cơ cấu cho, 76, 212, 293</w:t>
      </w:r>
    </w:p>
    <w:p>
      <w:pPr>
        <w:spacing w:after="80"/>
      </w:pPr>
      <w:r>
        <w:rPr>
          <w:b w:val="0"/>
          <w:i w:val="0"/>
        </w:rPr>
        <w:t xml:space="preserve">WM. </w:t>
      </w:r>
      <w:r>
        <w:rPr>
          <w:b w:val="0"/>
          <w:i/>
        </w:rPr>
        <w:t>Xem</w:t>
      </w:r>
      <w:r>
        <w:rPr>
          <w:b w:val="0"/>
          <w:i w:val="0"/>
        </w:rPr>
        <w:t xml:space="preserve"> Waste Management Inc.</w:t>
      </w:r>
    </w:p>
    <w:p>
      <w:pPr>
        <w:spacing w:after="80"/>
      </w:pPr>
      <w:r>
        <w:rPr>
          <w:b w:val="0"/>
          <w:i w:val="0"/>
        </w:rPr>
        <w:t>Woodford, Michael, 244–245</w:t>
      </w:r>
    </w:p>
    <w:p>
      <w:pPr>
        <w:spacing w:after="80"/>
      </w:pPr>
      <w:r>
        <w:rPr>
          <w:b w:val="0"/>
          <w:i w:val="0"/>
        </w:rPr>
        <w:t>WorldCom</w:t>
      </w:r>
    </w:p>
    <w:p>
      <w:pPr>
        <w:spacing w:after="80"/>
      </w:pPr>
      <w:r>
        <w:rPr>
          <w:b w:val="0"/>
          <w:i w:val="0"/>
        </w:rPr>
        <w:t>thương vụ mua lại, 8, 249–250</w:t>
      </w:r>
    </w:p>
    <w:p>
      <w:pPr>
        <w:spacing w:after="80"/>
      </w:pPr>
      <w:r>
        <w:rPr>
          <w:b w:val="0"/>
          <w:i w:val="0"/>
        </w:rPr>
        <w:t>CFFO lạm phát do, 172–173</w:t>
      </w:r>
    </w:p>
    <w:p>
      <w:pPr>
        <w:spacing w:after="80"/>
      </w:pPr>
      <w:r>
        <w:rPr>
          <w:b w:val="0"/>
          <w:i w:val="0"/>
        </w:rPr>
        <w:t>WorldCom (</w:t>
      </w:r>
      <w:r>
        <w:rPr>
          <w:b w:val="0"/>
          <w:i/>
        </w:rPr>
        <w:t>tiếp theo</w:t>
      </w:r>
      <w:r>
        <w:rPr>
          <w:b w:val="0"/>
          <w:i w:val="0"/>
        </w:rPr>
        <w:t>)</w:t>
      </w:r>
    </w:p>
    <w:p>
      <w:pPr>
        <w:spacing w:after="80"/>
      </w:pPr>
      <w:r>
        <w:rPr>
          <w:b w:val="0"/>
          <w:i w:val="0"/>
        </w:rPr>
        <w:t>gian lận do, 8–10, 85–86</w:t>
      </w:r>
    </w:p>
    <w:p>
      <w:pPr>
        <w:spacing w:after="80"/>
      </w:pPr>
      <w:r>
        <w:rPr>
          <w:b w:val="0"/>
          <w:i w:val="0"/>
        </w:rPr>
        <w:t>dòng tiền tự do cho, 86, 173–174</w:t>
      </w:r>
    </w:p>
    <w:p>
      <w:pPr>
        <w:spacing w:after="80"/>
      </w:pPr>
      <w:r>
        <w:rPr>
          <w:b w:val="0"/>
          <w:i w:val="0"/>
        </w:rPr>
        <w:t>chi phí đường dây cho, 8–9, 85–86, 113, 172–173</w:t>
      </w:r>
    </w:p>
    <w:p>
      <w:pPr>
        <w:spacing w:after="80"/>
      </w:pPr>
      <w:r>
        <w:rPr>
          <w:b w:val="0"/>
          <w:i w:val="0"/>
        </w:rPr>
        <w:t xml:space="preserve">WP. </w:t>
      </w:r>
      <w:r>
        <w:rPr>
          <w:b w:val="0"/>
          <w:i/>
        </w:rPr>
        <w:t>Xem</w:t>
      </w:r>
      <w:r>
        <w:rPr>
          <w:b w:val="0"/>
          <w:i w:val="0"/>
        </w:rPr>
        <w:t xml:space="preserve"> Warburg Pincus</w:t>
      </w:r>
    </w:p>
    <w:p>
      <w:pPr>
        <w:spacing w:after="80"/>
      </w:pPr>
      <w:r>
        <w:rPr>
          <w:b w:val="0"/>
          <w:i w:val="0"/>
        </w:rPr>
        <w:t>Xóa sổ</w:t>
      </w:r>
    </w:p>
    <w:p>
      <w:pPr>
        <w:spacing w:after="80"/>
      </w:pPr>
      <w:r>
        <w:rPr>
          <w:b w:val="0"/>
          <w:i w:val="0"/>
        </w:rPr>
        <w:t>tài sản để tránh chi phí trong tương lai, 132–138</w:t>
      </w:r>
    </w:p>
    <w:p>
      <w:pPr>
        <w:spacing w:after="80"/>
      </w:pPr>
      <w:r>
        <w:rPr>
          <w:b w:val="0"/>
          <w:i w:val="0"/>
        </w:rPr>
        <w:t>nhận thức của nhà đầu tư về, 266–267</w:t>
      </w:r>
    </w:p>
    <w:p>
      <w:pPr>
        <w:spacing w:after="80"/>
      </w:pPr>
      <w:r>
        <w:rPr>
          <w:b w:val="0"/>
          <w:i w:val="0"/>
        </w:rPr>
        <w:t>trong giai đoạn tạm thời, 244</w:t>
      </w:r>
    </w:p>
    <w:p>
      <w:pPr>
        <w:spacing w:after="80"/>
      </w:pPr>
      <w:r>
        <w:rPr>
          <w:b w:val="0"/>
          <w:i w:val="0"/>
        </w:rPr>
        <w:t>Xerox, 141, 160</w:t>
      </w:r>
    </w:p>
    <w:p>
      <w:pPr>
        <w:spacing w:after="80"/>
      </w:pPr>
      <w:r>
        <w:rPr>
          <w:b w:val="0"/>
          <w:i w:val="0"/>
        </w:rPr>
        <w:t>XM Satellite Radio Holdings Inc., 205</w:t>
      </w:r>
    </w:p>
    <w:p>
      <w:pPr>
        <w:spacing w:after="80"/>
      </w:pPr>
      <w:r>
        <w:rPr>
          <w:b w:val="0"/>
          <w:i w:val="0"/>
        </w:rPr>
        <w:t>Z-Corp, 266</w:t>
      </w:r>
    </w:p>
    <w:p>
      <w:pPr>
        <w:spacing w:after="80"/>
      </w:pPr>
      <w:r>
        <w:rPr>
          <w:b w:val="0"/>
          <w:i w:val="0"/>
        </w:rPr>
        <w:t>Zoomlion, 164–165</w:t>
      </w:r>
    </w:p>
    <w:p>
      <w:pPr>
        <w:pStyle w:val="Heading2"/>
      </w:pPr>
      <w:r>
        <w:rPr>
          <w:rFonts w:ascii="Calibri" w:hAnsi="Calibri"/>
          <w:b/>
          <w:i w:val="0"/>
          <w:sz w:val="32"/>
        </w:rPr>
        <w:t>Lời cảm ơn</w:t>
      </w:r>
    </w:p>
    <w:p>
      <w:pPr>
        <w:spacing w:after="80"/>
      </w:pPr>
      <w:r>
        <w:rPr>
          <w:b w:val="0"/>
          <w:i w:val="0"/>
        </w:rPr>
        <w:t>Khi viết cuốn sách này, chúng tôi đã dựa trên những hiểu biết từ quá trình nghiên cứu hơn 25 năm của mình. Chúng tôi vô cùng biết ơn và ghi nhận công lao to lớn của các đồng nghiệp, cả hiện tại lẫn quá khứ, những người với sự tò mò, tinh thần khám phá, trí tuệ và niềm đam mê đã góp phần thúc đẩy lĩnh vực kế toán pháp y (forensic accounting). Chúng tôi đặc biệt tự hào về công việc của đội ngũ tại Schilit Forensics, bao gồm Aquiba Benarroch, Lucy Guo, Elie Himmelfarb, Kate Konetzke, Rebecca Lebwohl, Tom Skoglund, Sydney Traub và Andrea Willette. Được làm việc vai kề vai với một nhóm tài năng, tử tế và vui vẻ đến vậy khiến công việc trở thành niềm vui. Chúng tôi cũng mãi biết ơn các khách hàng đã tin tưởng giao cho chúng tôi trọng trách làm tuyến phòng thủ chống lại những tổn thất có thể tránh được trong danh mục đầu tư của họ.</w:t>
      </w:r>
    </w:p>
    <w:p>
      <w:pPr>
        <w:spacing w:after="80"/>
      </w:pPr>
      <w:r>
        <w:rPr>
          <w:b w:val="0"/>
          <w:i w:val="0"/>
        </w:rPr>
        <w:t>Chúng tôi cũng vô cùng biết ơn tình yêu thương và sự ủng hộ của gia đình mình:</w:t>
      </w:r>
    </w:p>
    <w:p>
      <w:pPr>
        <w:spacing w:after="80"/>
      </w:pPr>
      <w:r>
        <w:rPr>
          <w:b w:val="0"/>
          <w:i w:val="0"/>
        </w:rPr>
        <w:t>Gửi Diane, người vợ tuyệt vời của tôi suốt 37 năm qua, tình yêu và sự ủng hộ của em chính là nền tảng cho mọi thành tựu của anh. Gửi Jonathan, Suzanne và Amy, bố của các con không thể tự hào hơn được nữa. Và gửi thế hệ tiếp theo của những "thợ săn trò tai quái" nhà Schilit (Levi, Micah và Grace), ông nội mong rằng các cháu cũng sẽ đóng góp tuyệt vời cho thế giới trong thế kỷ tới.</w:t>
      </w:r>
    </w:p>
    <w:p>
      <w:pPr>
        <w:spacing w:after="80"/>
      </w:pPr>
      <w:r>
        <w:rPr>
          <w:b w:val="0"/>
          <w:i w:val="0"/>
        </w:rPr>
        <w:t>—Howard</w:t>
      </w:r>
    </w:p>
    <w:p>
      <w:pPr>
        <w:spacing w:after="80"/>
      </w:pPr>
      <w:r>
        <w:rPr>
          <w:b w:val="0"/>
          <w:i w:val="0"/>
        </w:rPr>
        <w:t>Gửi vợ tôi, Andrea, người tiếp thêm sức mạnh và truyền cảm hứng cho tôi mỗi ngày bằng sự thông tuệ, lòng nhân hậu và tình yêu vô bờ bến của em. Gửi bốn đứa con xinh đẹp của chúng tôi: Shira, Orli, Lev và Rina; những người truyền cảm hứng và soi sáng cho bố bằng sự tò mò, lòng tốt và niềm hăng hái của các con. Và gửi bố mẹ tôi, Vicki và Arthur, những tấm gương tận tụy và chính trực của tôi mỗi ngày.</w:t>
      </w:r>
    </w:p>
    <w:p>
      <w:pPr>
        <w:spacing w:after="80"/>
      </w:pPr>
      <w:r>
        <w:rPr>
          <w:b w:val="0"/>
          <w:i w:val="0"/>
        </w:rPr>
        <w:t>—Jeremy</w:t>
      </w:r>
    </w:p>
    <w:p>
      <w:pPr>
        <w:spacing w:after="80"/>
      </w:pPr>
      <w:r>
        <w:rPr>
          <w:b w:val="0"/>
          <w:i w:val="0"/>
        </w:rPr>
        <w:t>Gửi Talia, anh mãi mãi biết ơn tình yêu, sự ủng hộ, nguồn cảm hứng và sự động viên của em. Gửi Yakira, Nadav, Lior và Noam vì những câu hỏi hay, những hiểu biết sâu sắc và những tiếng cười khúc khích lan tỏa của các con. Gửi bố mẹ tôi, Larry và Marlene, vì đã cho tôi một nền tảng vững chắc và sự giáo dục, và vì luôn khuyến khích sự tò mò của tôi.</w:t>
      </w:r>
    </w:p>
    <w:p>
      <w:pPr>
        <w:spacing w:after="80"/>
      </w:pPr>
      <w:r>
        <w:rPr>
          <w:b w:val="0"/>
          <w:i w:val="0"/>
        </w:rPr>
        <w:t>—Yoni</w:t>
      </w:r>
    </w:p>
    <w:p>
      <w:pPr>
        <w:pStyle w:val="Heading2"/>
      </w:pPr>
      <w:r>
        <w:rPr>
          <w:rFonts w:ascii="Calibri" w:hAnsi="Calibri"/>
          <w:b/>
          <w:i w:val="0"/>
          <w:sz w:val="32"/>
        </w:rPr>
        <w:t>Về các tác giả</w:t>
      </w:r>
    </w:p>
    <w:p>
      <w:pPr>
        <w:spacing w:after="80"/>
      </w:pPr>
      <w:r>
        <w:rPr>
          <w:b/>
          <w:i w:val="0"/>
        </w:rPr>
        <w:t>Tiến sĩ Howard M. Schilit, PhD, CPA</w:t>
      </w:r>
      <w:r>
        <w:rPr>
          <w:b w:val="0"/>
          <w:i w:val="0"/>
        </w:rPr>
        <w:t xml:space="preserve"> là người tiên phong trong lĩnh vực phát hiện thao túng kế toán trong báo cáo tài chính doanh nghiệp. Ông là người sáng lập và CEO của Schilit Forensics, một công ty tư vấn nghiên cứu kế toán pháp y chuyên nghiệp phục vụ các nhà đầu tư tổ chức. Trước đây, ông đã sáng lập và lãnh đạo Center for Financial Research and Analysis (CFRA), một đơn vị xuất bản nghiên cứu kế toán pháp y. Trước khi thành lập CFRA, Howard là giáo sư kế toán tại American University trong mười bảy năm. Ông từng là người phát ngôn hàng đầu trước Quốc hội Hoa Kỳ, các cơ quan quản lý và truyền thông toàn cầu về các vấn đề liên quan đến thủ thuật kế toán và những dấu hiệu cảnh báo sớm về sự suy thoái kinh doanh trong các hồ sơ công bố của doanh nghiệp. Howard có bằng tiến sĩ kế toán từ University of Maryland. Ông sống ở Key Biscayne, FL và Bethesda, MD.</w:t>
      </w:r>
    </w:p>
    <w:p>
      <w:pPr>
        <w:spacing w:after="80"/>
      </w:pPr>
      <w:r>
        <w:rPr>
          <w:b/>
          <w:i w:val="0"/>
        </w:rPr>
        <w:t>Jeremy Perler, CFA, CPA</w:t>
      </w:r>
      <w:r>
        <w:rPr>
          <w:b w:val="0"/>
          <w:i w:val="0"/>
        </w:rPr>
        <w:t xml:space="preserve"> là chuyên gia được công nhận toàn cầu trong lĩnh vực nghiên cứu đầu tư kế toán pháp y. Ông là đối tác tại Schilit Forensics, một công ty tư vấn nghiên cứu kế toán pháp y phục vụ các nhà đầu tư tổ chức. Trước đây, Jeremy là chuyên viên phân tích kế toán pháp y cho Coatue Management, một quỹ đầu cơ cổ phiếu long/short toàn cầu; Giám đốc Nghiên cứu của CFRA; và kiểm toán viên cho PricewaterhouseCoopers. Ngoài ra, ông còn tham gia Nhóm Cố vấn Thường trực (Standing Advisory Group) của PCAOB, và trước đây từng tham gia Hội đồng Cố vấn Chuẩn mực Kế toán Tài chính (FASAC) của FASB. Jeremy là người nắm giữ chứng chỉ CFA, và có bằng BBA và Thạc sĩ Kế toán từ University of Michigan Ross School of Business. Ông sống ở White Plains, NY.</w:t>
      </w:r>
    </w:p>
    <w:p>
      <w:pPr>
        <w:spacing w:after="80"/>
      </w:pPr>
      <w:r>
        <w:rPr>
          <w:b/>
          <w:i w:val="0"/>
        </w:rPr>
        <w:t>Yoni Engelhart, CFA</w:t>
      </w:r>
      <w:r>
        <w:rPr>
          <w:b w:val="0"/>
          <w:i w:val="0"/>
        </w:rPr>
        <w:t xml:space="preserve"> là chuyên gia được công nhận toàn cầu trong lĩnh vực nghiên cứu đầu tư kế toán pháp y. Ông là đối tác tại Schilit Forensics, một công ty tư vấn nghiên cứu kế toán pháp y phục vụ các nhà đầu tư tổ chức. Trước đây, Yoni làm Giám đốc Đầu tư tại Partners Capital, một văn phòng đầu tư tư nhân; Chuyên viên Quản lý Sản phẩm tại Wellington Management Company; và Chuyên viên Phân tích Cấp cao, Giám đốc Nghiên cứu Định lượng, và Giám đốc Chiến lược Kinh doanh tại CFRA. Ông từng là giảng viên khách mời tại Harvard, Stanford, Columbia, Wharton, University of Chicago và nhiều trường kinh doanh hàng đầu khác. Yoni là người nắm giữ chứng chỉ CFA, và có bằng BS từ University of Maryland, và bằng MBA từ Harvard Business School. Ông sống ở Brookline, MA.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image" Target="media/image27.jpeg"/><Relationship Id="rId36" Type="http://schemas.openxmlformats.org/officeDocument/2006/relationships/image" Target="media/image28.jpeg"/><Relationship Id="rId37" Type="http://schemas.openxmlformats.org/officeDocument/2006/relationships/image" Target="media/image29.jpeg"/><Relationship Id="rId38" Type="http://schemas.openxmlformats.org/officeDocument/2006/relationships/image" Target="media/image30.jpeg"/><Relationship Id="rId39" Type="http://schemas.openxmlformats.org/officeDocument/2006/relationships/image" Target="media/image31.jpeg"/><Relationship Id="rId40" Type="http://schemas.openxmlformats.org/officeDocument/2006/relationships/image" Target="media/image32.jpeg"/><Relationship Id="rId41" Type="http://schemas.openxmlformats.org/officeDocument/2006/relationships/image" Target="media/image33.jpeg"/><Relationship Id="rId42" Type="http://schemas.openxmlformats.org/officeDocument/2006/relationships/image" Target="media/image34.jpeg"/><Relationship Id="rId43" Type="http://schemas.openxmlformats.org/officeDocument/2006/relationships/image" Target="media/image35.jpeg"/><Relationship Id="rId44" Type="http://schemas.openxmlformats.org/officeDocument/2006/relationships/image" Target="media/image36.jpeg"/><Relationship Id="rId45" Type="http://schemas.openxmlformats.org/officeDocument/2006/relationships/image" Target="media/image37.jpeg"/><Relationship Id="rId46" Type="http://schemas.openxmlformats.org/officeDocument/2006/relationships/image" Target="media/image38.jpe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50" Type="http://schemas.openxmlformats.org/officeDocument/2006/relationships/image" Target="media/image42.jpeg"/><Relationship Id="rId51" Type="http://schemas.openxmlformats.org/officeDocument/2006/relationships/image" Target="media/image43.jpeg"/><Relationship Id="rId52" Type="http://schemas.openxmlformats.org/officeDocument/2006/relationships/image" Target="media/image44.jpeg"/><Relationship Id="rId53" Type="http://schemas.openxmlformats.org/officeDocument/2006/relationships/image" Target="media/image45.jpeg"/><Relationship Id="rId54" Type="http://schemas.openxmlformats.org/officeDocument/2006/relationships/image" Target="media/image46.jpeg"/><Relationship Id="rId55" Type="http://schemas.openxmlformats.org/officeDocument/2006/relationships/image" Target="media/image47.jpeg"/><Relationship Id="rId56" Type="http://schemas.openxmlformats.org/officeDocument/2006/relationships/image" Target="media/image48.jpeg"/><Relationship Id="rId57" Type="http://schemas.openxmlformats.org/officeDocument/2006/relationships/image" Target="media/image49.jpeg"/><Relationship Id="rId58" Type="http://schemas.openxmlformats.org/officeDocument/2006/relationships/image" Target="media/image50.jpeg"/><Relationship Id="rId59" Type="http://schemas.openxmlformats.org/officeDocument/2006/relationships/image" Target="media/image51.jpeg"/><Relationship Id="rId60" Type="http://schemas.openxmlformats.org/officeDocument/2006/relationships/image" Target="media/image52.jpeg"/><Relationship Id="rId61" Type="http://schemas.openxmlformats.org/officeDocument/2006/relationships/image" Target="media/image53.jpeg"/><Relationship Id="rId62" Type="http://schemas.openxmlformats.org/officeDocument/2006/relationships/image" Target="media/image54.jpeg"/><Relationship Id="rId63" Type="http://schemas.openxmlformats.org/officeDocument/2006/relationships/image" Target="media/image55.jpeg"/><Relationship Id="rId64" Type="http://schemas.openxmlformats.org/officeDocument/2006/relationships/image" Target="media/image56.jpeg"/><Relationship Id="rId65" Type="http://schemas.openxmlformats.org/officeDocument/2006/relationships/image" Target="media/image57.jpeg"/><Relationship Id="rId66" Type="http://schemas.openxmlformats.org/officeDocument/2006/relationships/image" Target="media/image58.jpeg"/><Relationship Id="rId67" Type="http://schemas.openxmlformats.org/officeDocument/2006/relationships/image" Target="media/image59.jpeg"/><Relationship Id="rId68" Type="http://schemas.openxmlformats.org/officeDocument/2006/relationships/image" Target="media/image60.jpeg"/><Relationship Id="rId69" Type="http://schemas.openxmlformats.org/officeDocument/2006/relationships/image" Target="media/image6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